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A28B5">
      <w:pPr>
        <w:pStyle w:val="128"/>
        <w:rPr>
          <w:rFonts w:eastAsia="宋体"/>
          <w:color w:val="auto"/>
        </w:rPr>
      </w:pPr>
      <w:r>
        <w:rPr>
          <w:rFonts w:hint="eastAsia" w:hAnsi="宋体" w:eastAsia="宋体"/>
          <w:color w:val="auto"/>
          <w:lang w:val="en-US" w:eastAsia="zh-CN"/>
        </w:rPr>
        <w:t xml:space="preserve"> </w:t>
      </w:r>
      <w:r>
        <w:rPr>
          <w:rFonts w:hAnsi="宋体" w:eastAsia="宋体"/>
          <w:color w:val="auto"/>
        </w:rPr>
        <w:t>目录</w:t>
      </w:r>
    </w:p>
    <w:p w14:paraId="36FCF79F">
      <w:pPr>
        <w:pStyle w:val="128"/>
        <w:rPr>
          <w:rFonts w:eastAsia="宋体"/>
          <w:color w:val="auto"/>
        </w:rPr>
      </w:pPr>
    </w:p>
    <w:p w14:paraId="5E58A5D7">
      <w:pPr>
        <w:pStyle w:val="20"/>
        <w:tabs>
          <w:tab w:val="right" w:leader="dot" w:pos="8504"/>
          <w:tab w:val="clear" w:pos="8494"/>
        </w:tabs>
        <w:rPr>
          <w:rFonts w:eastAsia="宋体"/>
          <w:color w:val="auto"/>
        </w:rPr>
      </w:pPr>
      <w:r>
        <w:rPr>
          <w:rFonts w:eastAsia="宋体"/>
          <w:color w:val="auto"/>
        </w:rPr>
        <w:fldChar w:fldCharType="begin"/>
      </w:r>
      <w:r>
        <w:rPr>
          <w:rFonts w:eastAsia="宋体"/>
          <w:color w:val="auto"/>
        </w:rPr>
        <w:instrText xml:space="preserve">TOC \o "1-1" \h \u </w:instrText>
      </w:r>
      <w:r>
        <w:rPr>
          <w:rFonts w:eastAsia="宋体"/>
          <w:color w:val="auto"/>
        </w:rPr>
        <w:fldChar w:fldCharType="separate"/>
      </w:r>
      <w:r>
        <w:rPr>
          <w:color w:val="auto"/>
        </w:rPr>
        <w:fldChar w:fldCharType="begin"/>
      </w:r>
      <w:r>
        <w:rPr>
          <w:color w:val="auto"/>
        </w:rPr>
        <w:instrText xml:space="preserve"> HYPERLINK \l "_Toc27856" </w:instrText>
      </w:r>
      <w:r>
        <w:rPr>
          <w:color w:val="auto"/>
        </w:rPr>
        <w:fldChar w:fldCharType="separate"/>
      </w:r>
      <w:r>
        <w:rPr>
          <w:rFonts w:eastAsia="宋体"/>
          <w:snapToGrid w:val="0"/>
          <w:color w:val="auto"/>
          <w:szCs w:val="30"/>
        </w:rPr>
        <w:t>一、建设项目基本情况</w:t>
      </w:r>
      <w:r>
        <w:rPr>
          <w:rFonts w:eastAsia="宋体"/>
          <w:color w:val="auto"/>
        </w:rPr>
        <w:tab/>
      </w:r>
      <w:r>
        <w:rPr>
          <w:rFonts w:eastAsia="宋体"/>
          <w:color w:val="auto"/>
        </w:rPr>
        <w:fldChar w:fldCharType="begin"/>
      </w:r>
      <w:r>
        <w:rPr>
          <w:rFonts w:eastAsia="宋体"/>
          <w:color w:val="auto"/>
        </w:rPr>
        <w:instrText xml:space="preserve"> PAGEREF _Toc27856 \h </w:instrText>
      </w:r>
      <w:r>
        <w:rPr>
          <w:rFonts w:eastAsia="宋体"/>
          <w:color w:val="auto"/>
        </w:rPr>
        <w:fldChar w:fldCharType="separate"/>
      </w:r>
      <w:r>
        <w:rPr>
          <w:rFonts w:eastAsia="宋体"/>
          <w:color w:val="auto"/>
        </w:rPr>
        <w:t>2</w:t>
      </w:r>
      <w:r>
        <w:rPr>
          <w:rFonts w:eastAsia="宋体"/>
          <w:color w:val="auto"/>
        </w:rPr>
        <w:fldChar w:fldCharType="end"/>
      </w:r>
      <w:r>
        <w:rPr>
          <w:rFonts w:eastAsia="宋体"/>
          <w:color w:val="auto"/>
        </w:rPr>
        <w:fldChar w:fldCharType="end"/>
      </w:r>
    </w:p>
    <w:p w14:paraId="0F40A451">
      <w:pPr>
        <w:pStyle w:val="20"/>
        <w:tabs>
          <w:tab w:val="right" w:leader="dot" w:pos="8504"/>
          <w:tab w:val="clear" w:pos="8494"/>
        </w:tabs>
        <w:rPr>
          <w:rFonts w:eastAsia="宋体"/>
          <w:color w:val="auto"/>
        </w:rPr>
      </w:pPr>
      <w:r>
        <w:rPr>
          <w:color w:val="auto"/>
        </w:rPr>
        <w:fldChar w:fldCharType="begin"/>
      </w:r>
      <w:r>
        <w:rPr>
          <w:color w:val="auto"/>
        </w:rPr>
        <w:instrText xml:space="preserve"> HYPERLINK \l "_Toc3092" </w:instrText>
      </w:r>
      <w:r>
        <w:rPr>
          <w:color w:val="auto"/>
        </w:rPr>
        <w:fldChar w:fldCharType="separate"/>
      </w:r>
      <w:r>
        <w:rPr>
          <w:rFonts w:eastAsia="宋体"/>
          <w:snapToGrid w:val="0"/>
          <w:color w:val="auto"/>
          <w:szCs w:val="30"/>
        </w:rPr>
        <w:t>二、建设项目工程分析</w:t>
      </w:r>
      <w:r>
        <w:rPr>
          <w:rFonts w:eastAsia="宋体"/>
          <w:color w:val="auto"/>
        </w:rPr>
        <w:tab/>
      </w:r>
      <w:r>
        <w:rPr>
          <w:rFonts w:eastAsia="宋体"/>
          <w:color w:val="auto"/>
        </w:rPr>
        <w:fldChar w:fldCharType="begin"/>
      </w:r>
      <w:r>
        <w:rPr>
          <w:rFonts w:eastAsia="宋体"/>
          <w:color w:val="auto"/>
        </w:rPr>
        <w:instrText xml:space="preserve"> PAGEREF _Toc3092 \h </w:instrText>
      </w:r>
      <w:r>
        <w:rPr>
          <w:rFonts w:eastAsia="宋体"/>
          <w:color w:val="auto"/>
        </w:rPr>
        <w:fldChar w:fldCharType="separate"/>
      </w:r>
      <w:r>
        <w:rPr>
          <w:rFonts w:eastAsia="宋体"/>
          <w:color w:val="auto"/>
        </w:rPr>
        <w:t>31</w:t>
      </w:r>
      <w:r>
        <w:rPr>
          <w:rFonts w:eastAsia="宋体"/>
          <w:color w:val="auto"/>
        </w:rPr>
        <w:fldChar w:fldCharType="end"/>
      </w:r>
      <w:r>
        <w:rPr>
          <w:rFonts w:eastAsia="宋体"/>
          <w:color w:val="auto"/>
        </w:rPr>
        <w:fldChar w:fldCharType="end"/>
      </w:r>
    </w:p>
    <w:p w14:paraId="7CE63458">
      <w:pPr>
        <w:pStyle w:val="20"/>
        <w:tabs>
          <w:tab w:val="right" w:leader="dot" w:pos="8504"/>
          <w:tab w:val="clear" w:pos="8494"/>
        </w:tabs>
        <w:rPr>
          <w:rFonts w:eastAsia="宋体"/>
          <w:color w:val="auto"/>
        </w:rPr>
      </w:pPr>
      <w:r>
        <w:rPr>
          <w:color w:val="auto"/>
        </w:rPr>
        <w:fldChar w:fldCharType="begin"/>
      </w:r>
      <w:r>
        <w:rPr>
          <w:color w:val="auto"/>
        </w:rPr>
        <w:instrText xml:space="preserve"> HYPERLINK \l "_Toc15534" </w:instrText>
      </w:r>
      <w:r>
        <w:rPr>
          <w:color w:val="auto"/>
        </w:rPr>
        <w:fldChar w:fldCharType="separate"/>
      </w:r>
      <w:r>
        <w:rPr>
          <w:rFonts w:eastAsia="宋体"/>
          <w:snapToGrid w:val="0"/>
          <w:color w:val="auto"/>
          <w:szCs w:val="30"/>
        </w:rPr>
        <w:t>三、区域环境质量现状、环境保护目标及评价标准</w:t>
      </w:r>
      <w:r>
        <w:rPr>
          <w:rFonts w:eastAsia="宋体"/>
          <w:color w:val="auto"/>
        </w:rPr>
        <w:tab/>
      </w:r>
      <w:r>
        <w:rPr>
          <w:rFonts w:eastAsia="宋体"/>
          <w:color w:val="auto"/>
        </w:rPr>
        <w:fldChar w:fldCharType="begin"/>
      </w:r>
      <w:r>
        <w:rPr>
          <w:rFonts w:eastAsia="宋体"/>
          <w:color w:val="auto"/>
        </w:rPr>
        <w:instrText xml:space="preserve"> PAGEREF _Toc15534 \h </w:instrText>
      </w:r>
      <w:r>
        <w:rPr>
          <w:rFonts w:eastAsia="宋体"/>
          <w:color w:val="auto"/>
        </w:rPr>
        <w:fldChar w:fldCharType="separate"/>
      </w:r>
      <w:r>
        <w:rPr>
          <w:rFonts w:eastAsia="宋体"/>
          <w:color w:val="auto"/>
        </w:rPr>
        <w:t>37</w:t>
      </w:r>
      <w:r>
        <w:rPr>
          <w:rFonts w:eastAsia="宋体"/>
          <w:color w:val="auto"/>
        </w:rPr>
        <w:fldChar w:fldCharType="end"/>
      </w:r>
      <w:r>
        <w:rPr>
          <w:rFonts w:eastAsia="宋体"/>
          <w:color w:val="auto"/>
        </w:rPr>
        <w:fldChar w:fldCharType="end"/>
      </w:r>
    </w:p>
    <w:p w14:paraId="0443CDEA">
      <w:pPr>
        <w:pStyle w:val="20"/>
        <w:tabs>
          <w:tab w:val="right" w:leader="dot" w:pos="8504"/>
          <w:tab w:val="clear" w:pos="8494"/>
        </w:tabs>
        <w:rPr>
          <w:rFonts w:eastAsia="宋体"/>
          <w:color w:val="auto"/>
        </w:rPr>
      </w:pPr>
      <w:r>
        <w:rPr>
          <w:color w:val="auto"/>
        </w:rPr>
        <w:fldChar w:fldCharType="begin"/>
      </w:r>
      <w:r>
        <w:rPr>
          <w:color w:val="auto"/>
        </w:rPr>
        <w:instrText xml:space="preserve"> HYPERLINK \l "_Toc22503" </w:instrText>
      </w:r>
      <w:r>
        <w:rPr>
          <w:color w:val="auto"/>
        </w:rPr>
        <w:fldChar w:fldCharType="separate"/>
      </w:r>
      <w:r>
        <w:rPr>
          <w:rFonts w:eastAsia="宋体"/>
          <w:snapToGrid w:val="0"/>
          <w:color w:val="auto"/>
          <w:szCs w:val="30"/>
        </w:rPr>
        <w:t>四、主要环境影响和保护措施</w:t>
      </w:r>
      <w:r>
        <w:rPr>
          <w:rFonts w:eastAsia="宋体"/>
          <w:color w:val="auto"/>
        </w:rPr>
        <w:tab/>
      </w:r>
      <w:r>
        <w:rPr>
          <w:rFonts w:eastAsia="宋体"/>
          <w:color w:val="auto"/>
        </w:rPr>
        <w:fldChar w:fldCharType="begin"/>
      </w:r>
      <w:r>
        <w:rPr>
          <w:rFonts w:eastAsia="宋体"/>
          <w:color w:val="auto"/>
        </w:rPr>
        <w:instrText xml:space="preserve"> PAGEREF _Toc22503 \h </w:instrText>
      </w:r>
      <w:r>
        <w:rPr>
          <w:rFonts w:eastAsia="宋体"/>
          <w:color w:val="auto"/>
        </w:rPr>
        <w:fldChar w:fldCharType="separate"/>
      </w:r>
      <w:r>
        <w:rPr>
          <w:rFonts w:eastAsia="宋体"/>
          <w:color w:val="auto"/>
        </w:rPr>
        <w:t>45</w:t>
      </w:r>
      <w:r>
        <w:rPr>
          <w:rFonts w:eastAsia="宋体"/>
          <w:color w:val="auto"/>
        </w:rPr>
        <w:fldChar w:fldCharType="end"/>
      </w:r>
      <w:r>
        <w:rPr>
          <w:rFonts w:eastAsia="宋体"/>
          <w:color w:val="auto"/>
        </w:rPr>
        <w:fldChar w:fldCharType="end"/>
      </w:r>
    </w:p>
    <w:p w14:paraId="27EFEA83">
      <w:pPr>
        <w:pStyle w:val="20"/>
        <w:tabs>
          <w:tab w:val="right" w:leader="dot" w:pos="8504"/>
          <w:tab w:val="clear" w:pos="8494"/>
        </w:tabs>
        <w:rPr>
          <w:rFonts w:eastAsia="宋体"/>
          <w:color w:val="auto"/>
        </w:rPr>
      </w:pPr>
      <w:r>
        <w:rPr>
          <w:color w:val="auto"/>
        </w:rPr>
        <w:fldChar w:fldCharType="begin"/>
      </w:r>
      <w:r>
        <w:rPr>
          <w:color w:val="auto"/>
        </w:rPr>
        <w:instrText xml:space="preserve"> HYPERLINK \l "_Toc200" </w:instrText>
      </w:r>
      <w:r>
        <w:rPr>
          <w:color w:val="auto"/>
        </w:rPr>
        <w:fldChar w:fldCharType="separate"/>
      </w:r>
      <w:r>
        <w:rPr>
          <w:rFonts w:eastAsia="宋体"/>
          <w:snapToGrid w:val="0"/>
          <w:color w:val="auto"/>
          <w:szCs w:val="30"/>
        </w:rPr>
        <w:t>五、环境保护措施监督检查清单</w:t>
      </w:r>
      <w:r>
        <w:rPr>
          <w:rFonts w:eastAsia="宋体"/>
          <w:color w:val="auto"/>
        </w:rPr>
        <w:tab/>
      </w:r>
      <w:r>
        <w:rPr>
          <w:rFonts w:eastAsia="宋体"/>
          <w:color w:val="auto"/>
        </w:rPr>
        <w:fldChar w:fldCharType="begin"/>
      </w:r>
      <w:r>
        <w:rPr>
          <w:rFonts w:eastAsia="宋体"/>
          <w:color w:val="auto"/>
        </w:rPr>
        <w:instrText xml:space="preserve"> PAGEREF _Toc200 \h </w:instrText>
      </w:r>
      <w:r>
        <w:rPr>
          <w:rFonts w:eastAsia="宋体"/>
          <w:color w:val="auto"/>
        </w:rPr>
        <w:fldChar w:fldCharType="separate"/>
      </w:r>
      <w:r>
        <w:rPr>
          <w:rFonts w:eastAsia="宋体"/>
          <w:color w:val="auto"/>
        </w:rPr>
        <w:t>76</w:t>
      </w:r>
      <w:r>
        <w:rPr>
          <w:rFonts w:eastAsia="宋体"/>
          <w:color w:val="auto"/>
        </w:rPr>
        <w:fldChar w:fldCharType="end"/>
      </w:r>
      <w:r>
        <w:rPr>
          <w:rFonts w:eastAsia="宋体"/>
          <w:color w:val="auto"/>
        </w:rPr>
        <w:fldChar w:fldCharType="end"/>
      </w:r>
    </w:p>
    <w:p w14:paraId="1579458B">
      <w:pPr>
        <w:pStyle w:val="20"/>
        <w:tabs>
          <w:tab w:val="right" w:leader="dot" w:pos="8504"/>
          <w:tab w:val="clear" w:pos="8494"/>
        </w:tabs>
        <w:rPr>
          <w:color w:val="auto"/>
        </w:rPr>
      </w:pPr>
      <w:r>
        <w:rPr>
          <w:color w:val="auto"/>
        </w:rPr>
        <w:fldChar w:fldCharType="begin"/>
      </w:r>
      <w:r>
        <w:rPr>
          <w:color w:val="auto"/>
        </w:rPr>
        <w:instrText xml:space="preserve"> HYPERLINK \l "_Toc17186" </w:instrText>
      </w:r>
      <w:r>
        <w:rPr>
          <w:color w:val="auto"/>
        </w:rPr>
        <w:fldChar w:fldCharType="separate"/>
      </w:r>
      <w:r>
        <w:rPr>
          <w:rFonts w:eastAsia="宋体"/>
          <w:snapToGrid w:val="0"/>
          <w:color w:val="auto"/>
          <w:szCs w:val="30"/>
        </w:rPr>
        <w:t>六、结论</w:t>
      </w:r>
      <w:r>
        <w:rPr>
          <w:rFonts w:eastAsia="宋体"/>
          <w:color w:val="auto"/>
        </w:rPr>
        <w:tab/>
      </w:r>
      <w:r>
        <w:rPr>
          <w:rFonts w:eastAsia="宋体"/>
          <w:color w:val="auto"/>
        </w:rPr>
        <w:fldChar w:fldCharType="begin"/>
      </w:r>
      <w:r>
        <w:rPr>
          <w:rFonts w:eastAsia="宋体"/>
          <w:color w:val="auto"/>
        </w:rPr>
        <w:instrText xml:space="preserve"> PAGEREF _Toc17186 \h </w:instrText>
      </w:r>
      <w:r>
        <w:rPr>
          <w:rFonts w:eastAsia="宋体"/>
          <w:color w:val="auto"/>
        </w:rPr>
        <w:fldChar w:fldCharType="separate"/>
      </w:r>
      <w:r>
        <w:rPr>
          <w:rFonts w:eastAsia="宋体"/>
          <w:color w:val="auto"/>
        </w:rPr>
        <w:t>78</w:t>
      </w:r>
      <w:r>
        <w:rPr>
          <w:rFonts w:eastAsia="宋体"/>
          <w:color w:val="auto"/>
        </w:rPr>
        <w:fldChar w:fldCharType="end"/>
      </w:r>
      <w:r>
        <w:rPr>
          <w:rFonts w:eastAsia="宋体"/>
          <w:color w:val="auto"/>
        </w:rPr>
        <w:fldChar w:fldCharType="end"/>
      </w:r>
    </w:p>
    <w:p w14:paraId="5A5A5293">
      <w:pPr>
        <w:pStyle w:val="20"/>
        <w:rPr>
          <w:rFonts w:hAnsi="宋体" w:eastAsia="宋体"/>
          <w:color w:val="auto"/>
          <w:kern w:val="2"/>
          <w:sz w:val="21"/>
          <w:szCs w:val="21"/>
        </w:rPr>
      </w:pPr>
      <w:r>
        <w:rPr>
          <w:rFonts w:eastAsia="宋体"/>
          <w:color w:val="auto"/>
        </w:rPr>
        <w:fldChar w:fldCharType="end"/>
      </w:r>
      <w:r>
        <w:rPr>
          <w:rFonts w:hAnsi="宋体" w:eastAsia="宋体"/>
          <w:b/>
          <w:bCs w:val="0"/>
          <w:color w:val="auto"/>
          <w:kern w:val="2"/>
        </w:rPr>
        <w:t>附表：</w:t>
      </w:r>
      <w:r>
        <w:rPr>
          <w:rFonts w:hAnsi="宋体" w:eastAsia="宋体"/>
          <w:color w:val="auto"/>
          <w:kern w:val="2"/>
          <w:sz w:val="21"/>
          <w:szCs w:val="21"/>
        </w:rPr>
        <w:t>建设项目污染物排放量汇总表</w:t>
      </w:r>
    </w:p>
    <w:p w14:paraId="684D9F57">
      <w:pPr>
        <w:pStyle w:val="20"/>
        <w:spacing w:line="440" w:lineRule="exact"/>
        <w:ind w:firstLine="480"/>
        <w:rPr>
          <w:rFonts w:eastAsia="宋体"/>
          <w:b/>
          <w:color w:val="auto"/>
        </w:rPr>
      </w:pPr>
    </w:p>
    <w:p w14:paraId="20454946">
      <w:pPr>
        <w:rPr>
          <w:b/>
          <w:color w:val="auto"/>
          <w:sz w:val="24"/>
        </w:rPr>
      </w:pPr>
      <w:r>
        <w:rPr>
          <w:rFonts w:hAnsi="宋体"/>
          <w:b/>
          <w:color w:val="auto"/>
          <w:sz w:val="24"/>
        </w:rPr>
        <w:t>附</w:t>
      </w:r>
      <w:r>
        <w:rPr>
          <w:b/>
          <w:color w:val="auto"/>
          <w:sz w:val="24"/>
        </w:rPr>
        <w:t>图：</w:t>
      </w:r>
    </w:p>
    <w:p w14:paraId="4BAADA31">
      <w:pPr>
        <w:numPr>
          <w:ilvl w:val="1"/>
          <w:numId w:val="2"/>
        </w:numPr>
        <w:rPr>
          <w:color w:val="auto"/>
          <w:szCs w:val="21"/>
        </w:rPr>
      </w:pPr>
      <w:r>
        <w:rPr>
          <w:color w:val="auto"/>
          <w:szCs w:val="21"/>
        </w:rPr>
        <w:t>建设项目交通地理位置图</w:t>
      </w:r>
    </w:p>
    <w:p w14:paraId="1525781C">
      <w:pPr>
        <w:numPr>
          <w:ilvl w:val="1"/>
          <w:numId w:val="2"/>
        </w:numPr>
        <w:rPr>
          <w:color w:val="auto"/>
          <w:szCs w:val="21"/>
        </w:rPr>
      </w:pPr>
      <w:r>
        <w:rPr>
          <w:color w:val="auto"/>
          <w:szCs w:val="21"/>
        </w:rPr>
        <w:t>建设项目周边环境概况图</w:t>
      </w:r>
    </w:p>
    <w:p w14:paraId="2E2531F0">
      <w:pPr>
        <w:numPr>
          <w:ilvl w:val="1"/>
          <w:numId w:val="2"/>
        </w:numPr>
        <w:rPr>
          <w:color w:val="auto"/>
          <w:szCs w:val="21"/>
        </w:rPr>
      </w:pPr>
      <w:r>
        <w:rPr>
          <w:color w:val="auto"/>
          <w:szCs w:val="21"/>
        </w:rPr>
        <w:t>建设项目敏感点分布图</w:t>
      </w:r>
    </w:p>
    <w:p w14:paraId="21BF2938">
      <w:pPr>
        <w:numPr>
          <w:ilvl w:val="1"/>
          <w:numId w:val="2"/>
        </w:numPr>
        <w:rPr>
          <w:color w:val="auto"/>
          <w:szCs w:val="21"/>
        </w:rPr>
      </w:pPr>
      <w:r>
        <w:rPr>
          <w:color w:val="auto"/>
          <w:szCs w:val="21"/>
        </w:rPr>
        <w:t>建设项目平面布置</w:t>
      </w:r>
      <w:r>
        <w:rPr>
          <w:rFonts w:hint="eastAsia"/>
          <w:color w:val="auto"/>
          <w:szCs w:val="21"/>
        </w:rPr>
        <w:t>及主要产噪设施和污染防治设施分布图</w:t>
      </w:r>
    </w:p>
    <w:p w14:paraId="6BBC019C">
      <w:pPr>
        <w:numPr>
          <w:ilvl w:val="1"/>
          <w:numId w:val="2"/>
        </w:numPr>
        <w:rPr>
          <w:color w:val="auto"/>
          <w:szCs w:val="21"/>
        </w:rPr>
      </w:pPr>
      <w:r>
        <w:rPr>
          <w:rFonts w:hint="eastAsia"/>
          <w:color w:val="auto"/>
          <w:szCs w:val="21"/>
        </w:rPr>
        <w:t>建设项目监测点位示意图</w:t>
      </w:r>
    </w:p>
    <w:p w14:paraId="1AC5868A">
      <w:pPr>
        <w:numPr>
          <w:ilvl w:val="1"/>
          <w:numId w:val="2"/>
        </w:numPr>
        <w:rPr>
          <w:color w:val="auto"/>
          <w:szCs w:val="21"/>
        </w:rPr>
      </w:pPr>
      <w:r>
        <w:rPr>
          <w:color w:val="auto"/>
          <w:szCs w:val="21"/>
        </w:rPr>
        <w:t>建设项目周边环境照片</w:t>
      </w:r>
    </w:p>
    <w:p w14:paraId="65FD6E59">
      <w:pPr>
        <w:numPr>
          <w:ilvl w:val="1"/>
          <w:numId w:val="2"/>
        </w:numPr>
        <w:rPr>
          <w:color w:val="auto"/>
          <w:szCs w:val="21"/>
        </w:rPr>
      </w:pPr>
      <w:r>
        <w:rPr>
          <w:color w:val="auto"/>
          <w:szCs w:val="21"/>
        </w:rPr>
        <w:t>建设项目环境管控单元</w:t>
      </w:r>
      <w:r>
        <w:rPr>
          <w:rFonts w:hint="eastAsia"/>
          <w:color w:val="auto"/>
          <w:szCs w:val="21"/>
        </w:rPr>
        <w:t>分类</w:t>
      </w:r>
      <w:r>
        <w:rPr>
          <w:color w:val="auto"/>
          <w:szCs w:val="21"/>
        </w:rPr>
        <w:t>图</w:t>
      </w:r>
    </w:p>
    <w:p w14:paraId="4B17AD3B">
      <w:pPr>
        <w:numPr>
          <w:ilvl w:val="1"/>
          <w:numId w:val="2"/>
        </w:numPr>
        <w:rPr>
          <w:color w:val="auto"/>
          <w:szCs w:val="21"/>
        </w:rPr>
      </w:pPr>
      <w:r>
        <w:rPr>
          <w:color w:val="auto"/>
          <w:szCs w:val="21"/>
        </w:rPr>
        <w:t>建设项目水环境功能区划图</w:t>
      </w:r>
    </w:p>
    <w:p w14:paraId="4EFF0B12">
      <w:pPr>
        <w:numPr>
          <w:ilvl w:val="1"/>
          <w:numId w:val="2"/>
        </w:numPr>
        <w:rPr>
          <w:color w:val="auto"/>
          <w:szCs w:val="21"/>
        </w:rPr>
      </w:pPr>
      <w:r>
        <w:rPr>
          <w:color w:val="auto"/>
          <w:szCs w:val="21"/>
        </w:rPr>
        <w:t>建设项目生态红线图</w:t>
      </w:r>
    </w:p>
    <w:p w14:paraId="02FFDE15">
      <w:pPr>
        <w:pStyle w:val="2"/>
        <w:rPr>
          <w:color w:val="auto"/>
          <w:szCs w:val="20"/>
        </w:rPr>
      </w:pPr>
    </w:p>
    <w:p w14:paraId="2A7A5F32">
      <w:pPr>
        <w:rPr>
          <w:rFonts w:hAnsi="宋体"/>
          <w:b/>
          <w:color w:val="auto"/>
          <w:sz w:val="24"/>
        </w:rPr>
      </w:pPr>
      <w:r>
        <w:rPr>
          <w:rFonts w:hAnsi="宋体"/>
          <w:b/>
          <w:color w:val="auto"/>
          <w:sz w:val="24"/>
        </w:rPr>
        <w:t>附件：</w:t>
      </w:r>
    </w:p>
    <w:p w14:paraId="65767CB5">
      <w:pPr>
        <w:pStyle w:val="2"/>
        <w:ind w:firstLine="482"/>
        <w:rPr>
          <w:color w:val="auto"/>
        </w:rPr>
      </w:pPr>
      <w:r>
        <w:rPr>
          <w:rFonts w:hint="eastAsia" w:hAnsi="宋体"/>
          <w:b/>
          <w:color w:val="auto"/>
          <w:sz w:val="24"/>
        </w:rPr>
        <w:t xml:space="preserve"> </w:t>
      </w:r>
    </w:p>
    <w:p w14:paraId="377732BA">
      <w:pPr>
        <w:numPr>
          <w:ilvl w:val="0"/>
          <w:numId w:val="3"/>
        </w:numPr>
        <w:rPr>
          <w:color w:val="auto"/>
          <w:szCs w:val="21"/>
        </w:rPr>
      </w:pPr>
      <w:r>
        <w:rPr>
          <w:rFonts w:hint="eastAsia"/>
          <w:color w:val="auto"/>
          <w:szCs w:val="21"/>
        </w:rPr>
        <w:t>经信局备案信息表</w:t>
      </w:r>
      <w:r>
        <w:rPr>
          <w:rFonts w:hint="eastAsia"/>
          <w:color w:val="auto"/>
          <w:szCs w:val="21"/>
          <w:lang w:eastAsia="zh-CN"/>
        </w:rPr>
        <w:t>、</w:t>
      </w:r>
      <w:r>
        <w:rPr>
          <w:rFonts w:hint="eastAsia"/>
          <w:color w:val="auto"/>
          <w:szCs w:val="21"/>
          <w:lang w:val="en-US" w:eastAsia="zh-CN"/>
        </w:rPr>
        <w:t>亩均评级</w:t>
      </w:r>
      <w:r>
        <w:rPr>
          <w:rFonts w:hint="eastAsia"/>
          <w:color w:val="auto"/>
          <w:szCs w:val="21"/>
        </w:rPr>
        <w:t>及入园意见</w:t>
      </w:r>
    </w:p>
    <w:p w14:paraId="1A3BB4F1">
      <w:pPr>
        <w:numPr>
          <w:ilvl w:val="0"/>
          <w:numId w:val="3"/>
        </w:numPr>
        <w:rPr>
          <w:color w:val="auto"/>
          <w:szCs w:val="21"/>
        </w:rPr>
      </w:pPr>
      <w:r>
        <w:rPr>
          <w:color w:val="auto"/>
          <w:szCs w:val="21"/>
        </w:rPr>
        <w:t>营业执照</w:t>
      </w:r>
    </w:p>
    <w:p w14:paraId="0F3D0D28">
      <w:pPr>
        <w:numPr>
          <w:ilvl w:val="0"/>
          <w:numId w:val="3"/>
        </w:numPr>
        <w:rPr>
          <w:color w:val="auto"/>
          <w:szCs w:val="21"/>
        </w:rPr>
      </w:pPr>
      <w:r>
        <w:rPr>
          <w:color w:val="auto"/>
          <w:szCs w:val="21"/>
        </w:rPr>
        <w:t>法人身份证</w:t>
      </w:r>
    </w:p>
    <w:p w14:paraId="3C1B2911">
      <w:pPr>
        <w:numPr>
          <w:ilvl w:val="0"/>
          <w:numId w:val="3"/>
        </w:numPr>
        <w:rPr>
          <w:color w:val="auto"/>
          <w:szCs w:val="21"/>
        </w:rPr>
      </w:pPr>
      <w:r>
        <w:rPr>
          <w:rFonts w:hint="eastAsia"/>
          <w:color w:val="auto"/>
          <w:szCs w:val="21"/>
        </w:rPr>
        <w:t>租赁协议及不动产证</w:t>
      </w:r>
    </w:p>
    <w:p w14:paraId="0AD73F04">
      <w:pPr>
        <w:numPr>
          <w:ilvl w:val="0"/>
          <w:numId w:val="3"/>
        </w:numPr>
        <w:rPr>
          <w:color w:val="auto"/>
          <w:szCs w:val="21"/>
        </w:rPr>
      </w:pPr>
      <w:r>
        <w:rPr>
          <w:rFonts w:hint="eastAsia"/>
          <w:color w:val="auto"/>
          <w:szCs w:val="21"/>
        </w:rPr>
        <w:t>胶水MSDS报告和VOC</w:t>
      </w:r>
      <w:r>
        <w:rPr>
          <w:rFonts w:hint="eastAsia"/>
          <w:color w:val="auto"/>
          <w:szCs w:val="21"/>
          <w:vertAlign w:val="subscript"/>
        </w:rPr>
        <w:t>S</w:t>
      </w:r>
      <w:r>
        <w:rPr>
          <w:rFonts w:hint="eastAsia"/>
          <w:color w:val="auto"/>
          <w:szCs w:val="21"/>
        </w:rPr>
        <w:t>检测报告</w:t>
      </w:r>
    </w:p>
    <w:p w14:paraId="52DA8A8D">
      <w:pPr>
        <w:numPr>
          <w:ilvl w:val="0"/>
          <w:numId w:val="3"/>
        </w:numPr>
        <w:rPr>
          <w:color w:val="auto"/>
          <w:szCs w:val="21"/>
        </w:rPr>
      </w:pPr>
      <w:r>
        <w:rPr>
          <w:rFonts w:hint="eastAsia"/>
          <w:color w:val="auto"/>
          <w:szCs w:val="21"/>
        </w:rPr>
        <w:t>检测报告</w:t>
      </w:r>
    </w:p>
    <w:p w14:paraId="7B6FEE96">
      <w:pPr>
        <w:numPr>
          <w:ilvl w:val="0"/>
          <w:numId w:val="3"/>
        </w:numPr>
        <w:rPr>
          <w:color w:val="auto"/>
          <w:szCs w:val="21"/>
        </w:rPr>
      </w:pPr>
      <w:r>
        <w:rPr>
          <w:rFonts w:hint="eastAsia"/>
          <w:color w:val="auto"/>
          <w:szCs w:val="21"/>
        </w:rPr>
        <w:t>审核意见及修改清单</w:t>
      </w:r>
    </w:p>
    <w:p w14:paraId="69909572">
      <w:pPr>
        <w:numPr>
          <w:ilvl w:val="0"/>
          <w:numId w:val="3"/>
        </w:numPr>
        <w:rPr>
          <w:color w:val="auto"/>
          <w:szCs w:val="21"/>
        </w:rPr>
      </w:pPr>
      <w:r>
        <w:rPr>
          <w:rFonts w:hint="eastAsia"/>
          <w:color w:val="auto"/>
          <w:szCs w:val="21"/>
        </w:rPr>
        <w:t>咨询报告</w:t>
      </w:r>
    </w:p>
    <w:p w14:paraId="73C3B6B1">
      <w:pPr>
        <w:numPr>
          <w:ilvl w:val="0"/>
          <w:numId w:val="3"/>
        </w:numPr>
        <w:rPr>
          <w:color w:val="auto"/>
          <w:szCs w:val="21"/>
        </w:rPr>
      </w:pPr>
      <w:r>
        <w:rPr>
          <w:rFonts w:hint="eastAsia"/>
          <w:color w:val="auto"/>
          <w:szCs w:val="21"/>
        </w:rPr>
        <w:t>信息公开说明材料</w:t>
      </w:r>
    </w:p>
    <w:p w14:paraId="1D1BB7EA">
      <w:pPr>
        <w:numPr>
          <w:ilvl w:val="0"/>
          <w:numId w:val="3"/>
        </w:numPr>
        <w:rPr>
          <w:color w:val="auto"/>
          <w:szCs w:val="21"/>
        </w:rPr>
      </w:pPr>
      <w:r>
        <w:rPr>
          <w:rFonts w:hint="eastAsia"/>
          <w:color w:val="auto"/>
          <w:szCs w:val="21"/>
        </w:rPr>
        <w:t>申请报告</w:t>
      </w:r>
    </w:p>
    <w:p w14:paraId="3E2C418A">
      <w:pPr>
        <w:numPr>
          <w:ilvl w:val="0"/>
          <w:numId w:val="3"/>
        </w:numPr>
        <w:rPr>
          <w:color w:val="auto"/>
          <w:szCs w:val="21"/>
        </w:rPr>
      </w:pPr>
      <w:r>
        <w:rPr>
          <w:rFonts w:hint="eastAsia"/>
          <w:color w:val="auto"/>
          <w:szCs w:val="21"/>
        </w:rPr>
        <w:t>删除不宜公开信息的说明</w:t>
      </w:r>
    </w:p>
    <w:p w14:paraId="23DCC309">
      <w:pPr>
        <w:numPr>
          <w:ilvl w:val="0"/>
          <w:numId w:val="3"/>
        </w:numPr>
        <w:rPr>
          <w:color w:val="auto"/>
          <w:szCs w:val="21"/>
        </w:rPr>
      </w:pPr>
      <w:r>
        <w:rPr>
          <w:rFonts w:hint="eastAsia"/>
          <w:color w:val="auto"/>
          <w:szCs w:val="21"/>
        </w:rPr>
        <w:t>承诺书</w:t>
      </w:r>
    </w:p>
    <w:p w14:paraId="10A1ECA7">
      <w:pPr>
        <w:ind w:left="490"/>
        <w:rPr>
          <w:color w:val="auto"/>
          <w:szCs w:val="21"/>
        </w:rPr>
      </w:pPr>
    </w:p>
    <w:p w14:paraId="084813B8">
      <w:pPr>
        <w:pStyle w:val="2"/>
        <w:rPr>
          <w:color w:val="auto"/>
        </w:rPr>
      </w:pPr>
    </w:p>
    <w:p w14:paraId="7F95B70E">
      <w:pPr>
        <w:pStyle w:val="2"/>
        <w:ind w:firstLine="0" w:firstLineChars="0"/>
        <w:rPr>
          <w:b/>
          <w:color w:val="auto"/>
          <w:sz w:val="24"/>
        </w:rPr>
      </w:pPr>
    </w:p>
    <w:p w14:paraId="19238B17">
      <w:pPr>
        <w:pStyle w:val="32"/>
        <w:spacing w:before="0" w:beforeAutospacing="0" w:after="0" w:afterAutospacing="0"/>
        <w:jc w:val="center"/>
        <w:outlineLvl w:val="0"/>
        <w:rPr>
          <w:rFonts w:ascii="Times New Roman"/>
          <w:snapToGrid w:val="0"/>
          <w:color w:val="auto"/>
          <w:sz w:val="30"/>
          <w:szCs w:val="30"/>
        </w:rPr>
      </w:pPr>
      <w:bookmarkStart w:id="0" w:name="_Toc18607"/>
    </w:p>
    <w:p w14:paraId="4C5B242A">
      <w:pPr>
        <w:pStyle w:val="32"/>
        <w:spacing w:before="0" w:beforeAutospacing="0" w:after="0" w:afterAutospacing="0"/>
        <w:jc w:val="center"/>
        <w:outlineLvl w:val="0"/>
        <w:rPr>
          <w:rFonts w:ascii="Times New Roman"/>
          <w:snapToGrid w:val="0"/>
          <w:color w:val="auto"/>
          <w:sz w:val="30"/>
          <w:szCs w:val="30"/>
        </w:rPr>
      </w:pPr>
    </w:p>
    <w:p w14:paraId="7142C014">
      <w:pPr>
        <w:pStyle w:val="32"/>
        <w:spacing w:before="0" w:beforeAutospacing="0" w:after="0" w:afterAutospacing="0"/>
        <w:jc w:val="center"/>
        <w:outlineLvl w:val="0"/>
        <w:rPr>
          <w:rFonts w:ascii="Times New Roman" w:hAnsi="Times New Roman"/>
          <w:snapToGrid w:val="0"/>
          <w:color w:val="auto"/>
          <w:sz w:val="30"/>
          <w:szCs w:val="30"/>
        </w:rPr>
      </w:pPr>
      <w:bookmarkStart w:id="1" w:name="_Toc27856"/>
      <w:r>
        <w:rPr>
          <w:rFonts w:ascii="Times New Roman"/>
          <w:snapToGrid w:val="0"/>
          <w:color w:val="auto"/>
          <w:sz w:val="30"/>
          <w:szCs w:val="30"/>
        </w:rPr>
        <w:t>一、建设项目基本情况</w:t>
      </w:r>
      <w:bookmarkEnd w:id="0"/>
      <w:bookmarkEnd w:id="1"/>
    </w:p>
    <w:tbl>
      <w:tblPr>
        <w:tblStyle w:val="37"/>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43"/>
        <w:gridCol w:w="2267"/>
        <w:gridCol w:w="2262"/>
        <w:gridCol w:w="2699"/>
      </w:tblGrid>
      <w:tr w14:paraId="30F4F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3" w:type="dxa"/>
            <w:tcMar>
              <w:top w:w="16" w:type="dxa"/>
              <w:left w:w="16" w:type="dxa"/>
              <w:right w:w="16" w:type="dxa"/>
            </w:tcMar>
            <w:vAlign w:val="center"/>
          </w:tcPr>
          <w:p w14:paraId="258BB6F8">
            <w:pPr>
              <w:adjustRightInd w:val="0"/>
              <w:snapToGrid w:val="0"/>
              <w:jc w:val="center"/>
              <w:rPr>
                <w:color w:val="auto"/>
                <w:sz w:val="24"/>
              </w:rPr>
            </w:pPr>
            <w:r>
              <w:rPr>
                <w:rFonts w:hAnsi="宋体"/>
                <w:color w:val="auto"/>
                <w:sz w:val="24"/>
              </w:rPr>
              <w:t>建设项目名称</w:t>
            </w:r>
          </w:p>
        </w:tc>
        <w:tc>
          <w:tcPr>
            <w:tcW w:w="7228" w:type="dxa"/>
            <w:gridSpan w:val="3"/>
            <w:vAlign w:val="center"/>
          </w:tcPr>
          <w:p w14:paraId="6E113D54">
            <w:pPr>
              <w:adjustRightInd w:val="0"/>
              <w:snapToGrid w:val="0"/>
              <w:jc w:val="center"/>
              <w:rPr>
                <w:rFonts w:hint="eastAsia" w:eastAsia="宋体"/>
                <w:color w:val="auto"/>
                <w:sz w:val="24"/>
                <w:lang w:eastAsia="zh-CN"/>
              </w:rPr>
            </w:pPr>
            <w:r>
              <w:rPr>
                <w:rFonts w:hint="eastAsia" w:hAnsi="宋体"/>
                <w:color w:val="auto"/>
                <w:sz w:val="24"/>
                <w:lang w:eastAsia="zh-CN"/>
              </w:rPr>
              <w:t>年产100万套塑料配件、30万套五金配件迁建项目</w:t>
            </w:r>
          </w:p>
        </w:tc>
      </w:tr>
      <w:tr w14:paraId="2BD99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3" w:type="dxa"/>
            <w:tcMar>
              <w:top w:w="16" w:type="dxa"/>
              <w:left w:w="16" w:type="dxa"/>
              <w:right w:w="16" w:type="dxa"/>
            </w:tcMar>
            <w:vAlign w:val="center"/>
          </w:tcPr>
          <w:p w14:paraId="62EDCED1">
            <w:pPr>
              <w:adjustRightInd w:val="0"/>
              <w:snapToGrid w:val="0"/>
              <w:jc w:val="center"/>
              <w:rPr>
                <w:color w:val="auto"/>
                <w:sz w:val="24"/>
              </w:rPr>
            </w:pPr>
            <w:r>
              <w:rPr>
                <w:rFonts w:hAnsi="宋体"/>
                <w:color w:val="auto"/>
                <w:sz w:val="24"/>
              </w:rPr>
              <w:t>项目代码</w:t>
            </w:r>
          </w:p>
        </w:tc>
        <w:tc>
          <w:tcPr>
            <w:tcW w:w="7228" w:type="dxa"/>
            <w:gridSpan w:val="3"/>
            <w:vAlign w:val="center"/>
          </w:tcPr>
          <w:p w14:paraId="1BBB8259">
            <w:pPr>
              <w:adjustRightInd w:val="0"/>
              <w:snapToGrid w:val="0"/>
              <w:jc w:val="center"/>
              <w:rPr>
                <w:color w:val="auto"/>
                <w:sz w:val="24"/>
              </w:rPr>
            </w:pPr>
            <w:r>
              <w:rPr>
                <w:rFonts w:hint="eastAsia" w:cs="宋体"/>
                <w:color w:val="0000FF"/>
                <w:sz w:val="24"/>
              </w:rPr>
              <w:t>2309-330523-07-02-805182</w:t>
            </w:r>
          </w:p>
        </w:tc>
      </w:tr>
      <w:tr w14:paraId="60769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3" w:type="dxa"/>
            <w:tcMar>
              <w:top w:w="16" w:type="dxa"/>
              <w:left w:w="16" w:type="dxa"/>
              <w:right w:w="16" w:type="dxa"/>
            </w:tcMar>
            <w:vAlign w:val="center"/>
          </w:tcPr>
          <w:p w14:paraId="10695B7B">
            <w:pPr>
              <w:adjustRightInd w:val="0"/>
              <w:snapToGrid w:val="0"/>
              <w:jc w:val="center"/>
              <w:rPr>
                <w:rFonts w:hAnsi="宋体"/>
                <w:color w:val="auto"/>
                <w:sz w:val="24"/>
              </w:rPr>
            </w:pPr>
            <w:r>
              <w:rPr>
                <w:rFonts w:hAnsi="宋体"/>
                <w:color w:val="auto"/>
                <w:sz w:val="24"/>
              </w:rPr>
              <w:t>建设单位联系人</w:t>
            </w:r>
          </w:p>
        </w:tc>
        <w:tc>
          <w:tcPr>
            <w:tcW w:w="2267" w:type="dxa"/>
            <w:vAlign w:val="center"/>
          </w:tcPr>
          <w:p w14:paraId="5699312D">
            <w:pPr>
              <w:adjustRightInd w:val="0"/>
              <w:snapToGrid w:val="0"/>
              <w:jc w:val="center"/>
              <w:rPr>
                <w:rFonts w:hint="eastAsia" w:hAnsi="宋体" w:eastAsia="宋体"/>
                <w:color w:val="auto"/>
                <w:sz w:val="24"/>
                <w:lang w:eastAsia="zh-CN"/>
              </w:rPr>
            </w:pPr>
            <w:r>
              <w:rPr>
                <w:rFonts w:hint="eastAsia" w:hAnsi="宋体"/>
                <w:color w:val="auto"/>
                <w:sz w:val="24"/>
                <w:lang w:eastAsia="zh-CN"/>
              </w:rPr>
              <w:t>汤科成</w:t>
            </w:r>
          </w:p>
        </w:tc>
        <w:tc>
          <w:tcPr>
            <w:tcW w:w="2262" w:type="dxa"/>
            <w:vAlign w:val="center"/>
          </w:tcPr>
          <w:p w14:paraId="1E0DC2D7">
            <w:pPr>
              <w:adjustRightInd w:val="0"/>
              <w:snapToGrid w:val="0"/>
              <w:jc w:val="center"/>
              <w:rPr>
                <w:rFonts w:hAnsi="宋体"/>
                <w:color w:val="auto"/>
                <w:sz w:val="24"/>
              </w:rPr>
            </w:pPr>
            <w:r>
              <w:rPr>
                <w:rFonts w:hAnsi="宋体"/>
                <w:color w:val="auto"/>
                <w:sz w:val="24"/>
              </w:rPr>
              <w:t>联系方式</w:t>
            </w:r>
          </w:p>
        </w:tc>
        <w:tc>
          <w:tcPr>
            <w:tcW w:w="2699" w:type="dxa"/>
            <w:vAlign w:val="center"/>
          </w:tcPr>
          <w:p w14:paraId="74F616E6">
            <w:pPr>
              <w:widowControl/>
              <w:jc w:val="center"/>
              <w:rPr>
                <w:rFonts w:hAnsi="宋体"/>
                <w:color w:val="auto"/>
                <w:sz w:val="24"/>
              </w:rPr>
            </w:pPr>
            <w:r>
              <w:rPr>
                <w:rFonts w:hint="eastAsia"/>
                <w:sz w:val="24"/>
              </w:rPr>
              <w:t>13754238089</w:t>
            </w:r>
          </w:p>
        </w:tc>
      </w:tr>
      <w:tr w14:paraId="596AF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3" w:type="dxa"/>
            <w:tcMar>
              <w:top w:w="16" w:type="dxa"/>
              <w:left w:w="16" w:type="dxa"/>
              <w:right w:w="16" w:type="dxa"/>
            </w:tcMar>
            <w:vAlign w:val="center"/>
          </w:tcPr>
          <w:p w14:paraId="7F59A562">
            <w:pPr>
              <w:adjustRightInd w:val="0"/>
              <w:snapToGrid w:val="0"/>
              <w:jc w:val="center"/>
              <w:rPr>
                <w:color w:val="auto"/>
                <w:sz w:val="24"/>
              </w:rPr>
            </w:pPr>
            <w:r>
              <w:rPr>
                <w:rFonts w:hAnsi="宋体"/>
                <w:color w:val="auto"/>
                <w:sz w:val="24"/>
              </w:rPr>
              <w:t>建设地点</w:t>
            </w:r>
          </w:p>
        </w:tc>
        <w:tc>
          <w:tcPr>
            <w:tcW w:w="7228" w:type="dxa"/>
            <w:gridSpan w:val="3"/>
            <w:vAlign w:val="center"/>
          </w:tcPr>
          <w:p w14:paraId="16D8576E">
            <w:pPr>
              <w:adjustRightInd w:val="0"/>
              <w:snapToGrid w:val="0"/>
              <w:jc w:val="center"/>
              <w:rPr>
                <w:color w:val="auto"/>
                <w:sz w:val="24"/>
              </w:rPr>
            </w:pPr>
            <w:r>
              <w:rPr>
                <w:rFonts w:hint="eastAsia" w:cs="宋体"/>
                <w:color w:val="auto"/>
                <w:sz w:val="24"/>
              </w:rPr>
              <w:t>安吉县天荒坪镇白水湾工业园</w:t>
            </w:r>
            <w:r>
              <w:rPr>
                <w:rFonts w:hint="eastAsia"/>
                <w:color w:val="auto"/>
                <w:sz w:val="24"/>
              </w:rPr>
              <w:t>（安吉</w:t>
            </w:r>
            <w:r>
              <w:rPr>
                <w:rFonts w:hint="eastAsia"/>
                <w:color w:val="auto"/>
                <w:sz w:val="24"/>
                <w:lang w:eastAsia="zh-CN"/>
              </w:rPr>
              <w:t>县春风竹制品厂</w:t>
            </w:r>
            <w:r>
              <w:rPr>
                <w:rFonts w:hint="eastAsia"/>
                <w:color w:val="auto"/>
                <w:sz w:val="24"/>
              </w:rPr>
              <w:t>）</w:t>
            </w:r>
          </w:p>
        </w:tc>
      </w:tr>
      <w:tr w14:paraId="5B41D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3" w:type="dxa"/>
            <w:tcMar>
              <w:top w:w="16" w:type="dxa"/>
              <w:left w:w="16" w:type="dxa"/>
              <w:right w:w="16" w:type="dxa"/>
            </w:tcMar>
            <w:vAlign w:val="center"/>
          </w:tcPr>
          <w:p w14:paraId="4F525CBA">
            <w:pPr>
              <w:adjustRightInd w:val="0"/>
              <w:snapToGrid w:val="0"/>
              <w:jc w:val="center"/>
              <w:rPr>
                <w:color w:val="auto"/>
                <w:sz w:val="24"/>
              </w:rPr>
            </w:pPr>
            <w:r>
              <w:rPr>
                <w:rFonts w:hAnsi="宋体"/>
                <w:color w:val="auto"/>
                <w:sz w:val="24"/>
              </w:rPr>
              <w:t>地理坐标</w:t>
            </w:r>
          </w:p>
        </w:tc>
        <w:tc>
          <w:tcPr>
            <w:tcW w:w="7228" w:type="dxa"/>
            <w:gridSpan w:val="3"/>
            <w:vAlign w:val="center"/>
          </w:tcPr>
          <w:p w14:paraId="037759C0">
            <w:pPr>
              <w:jc w:val="center"/>
              <w:rPr>
                <w:color w:val="auto"/>
                <w:sz w:val="24"/>
              </w:rPr>
            </w:pPr>
            <w:r>
              <w:rPr>
                <w:color w:val="auto"/>
                <w:sz w:val="24"/>
              </w:rPr>
              <w:t>东经1</w:t>
            </w:r>
            <w:r>
              <w:rPr>
                <w:rFonts w:hint="eastAsia"/>
                <w:color w:val="auto"/>
                <w:sz w:val="24"/>
              </w:rPr>
              <w:t>19</w:t>
            </w:r>
            <w:r>
              <w:rPr>
                <w:color w:val="auto"/>
                <w:sz w:val="24"/>
              </w:rPr>
              <w:t>°</w:t>
            </w:r>
            <w:r>
              <w:rPr>
                <w:rFonts w:hint="eastAsia"/>
                <w:color w:val="auto"/>
                <w:sz w:val="24"/>
              </w:rPr>
              <w:t>38</w:t>
            </w:r>
            <w:r>
              <w:rPr>
                <w:color w:val="auto"/>
                <w:sz w:val="24"/>
              </w:rPr>
              <w:t>′</w:t>
            </w:r>
            <w:r>
              <w:rPr>
                <w:rFonts w:hint="eastAsia"/>
                <w:color w:val="auto"/>
                <w:sz w:val="24"/>
              </w:rPr>
              <w:t>3</w:t>
            </w:r>
            <w:r>
              <w:rPr>
                <w:rFonts w:hint="eastAsia"/>
                <w:color w:val="auto"/>
                <w:sz w:val="24"/>
                <w:lang w:val="en-US" w:eastAsia="zh-CN"/>
              </w:rPr>
              <w:t>4</w:t>
            </w:r>
            <w:r>
              <w:rPr>
                <w:rFonts w:hint="eastAsia"/>
                <w:color w:val="auto"/>
                <w:sz w:val="24"/>
              </w:rPr>
              <w:t>.</w:t>
            </w:r>
            <w:r>
              <w:rPr>
                <w:rFonts w:hint="eastAsia"/>
                <w:color w:val="auto"/>
                <w:sz w:val="24"/>
                <w:lang w:val="en-US" w:eastAsia="zh-CN"/>
              </w:rPr>
              <w:t>457</w:t>
            </w:r>
            <w:r>
              <w:rPr>
                <w:color w:val="auto"/>
                <w:sz w:val="24"/>
              </w:rPr>
              <w:t>″，北纬30°</w:t>
            </w:r>
            <w:r>
              <w:rPr>
                <w:rFonts w:hint="eastAsia"/>
                <w:color w:val="auto"/>
                <w:sz w:val="24"/>
              </w:rPr>
              <w:t>33</w:t>
            </w:r>
            <w:r>
              <w:rPr>
                <w:color w:val="auto"/>
                <w:sz w:val="24"/>
              </w:rPr>
              <w:t>′</w:t>
            </w:r>
            <w:r>
              <w:rPr>
                <w:rFonts w:hint="eastAsia"/>
                <w:color w:val="auto"/>
                <w:sz w:val="24"/>
                <w:lang w:val="en-US" w:eastAsia="zh-CN"/>
              </w:rPr>
              <w:t>50</w:t>
            </w:r>
            <w:r>
              <w:rPr>
                <w:rFonts w:hint="eastAsia"/>
                <w:color w:val="auto"/>
                <w:sz w:val="24"/>
              </w:rPr>
              <w:t>.</w:t>
            </w:r>
            <w:r>
              <w:rPr>
                <w:rFonts w:hint="eastAsia"/>
                <w:color w:val="auto"/>
                <w:sz w:val="24"/>
                <w:lang w:val="en-US" w:eastAsia="zh-CN"/>
              </w:rPr>
              <w:t>669</w:t>
            </w:r>
            <w:r>
              <w:rPr>
                <w:color w:val="auto"/>
                <w:sz w:val="24"/>
              </w:rPr>
              <w:t>″</w:t>
            </w:r>
          </w:p>
        </w:tc>
      </w:tr>
      <w:tr w14:paraId="65EFB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43" w:type="dxa"/>
            <w:tcMar>
              <w:top w:w="16" w:type="dxa"/>
              <w:left w:w="16" w:type="dxa"/>
              <w:right w:w="16" w:type="dxa"/>
            </w:tcMar>
            <w:vAlign w:val="center"/>
          </w:tcPr>
          <w:p w14:paraId="318B1149">
            <w:pPr>
              <w:adjustRightInd w:val="0"/>
              <w:snapToGrid w:val="0"/>
              <w:jc w:val="center"/>
              <w:rPr>
                <w:color w:val="auto"/>
                <w:sz w:val="24"/>
              </w:rPr>
            </w:pPr>
            <w:r>
              <w:rPr>
                <w:rFonts w:hAnsi="宋体"/>
                <w:color w:val="auto"/>
                <w:sz w:val="24"/>
              </w:rPr>
              <w:t>国民经济</w:t>
            </w:r>
          </w:p>
          <w:p w14:paraId="1A05AA8C">
            <w:pPr>
              <w:adjustRightInd w:val="0"/>
              <w:snapToGrid w:val="0"/>
              <w:jc w:val="center"/>
              <w:rPr>
                <w:color w:val="auto"/>
                <w:sz w:val="24"/>
              </w:rPr>
            </w:pPr>
            <w:r>
              <w:rPr>
                <w:rFonts w:hAnsi="宋体"/>
                <w:color w:val="auto"/>
                <w:sz w:val="24"/>
              </w:rPr>
              <w:t>行业类别</w:t>
            </w:r>
          </w:p>
        </w:tc>
        <w:tc>
          <w:tcPr>
            <w:tcW w:w="2267" w:type="dxa"/>
            <w:vAlign w:val="center"/>
          </w:tcPr>
          <w:p w14:paraId="15288CD3">
            <w:pPr>
              <w:pStyle w:val="2"/>
              <w:ind w:firstLine="0" w:firstLineChars="0"/>
              <w:jc w:val="left"/>
              <w:rPr>
                <w:color w:val="auto"/>
              </w:rPr>
            </w:pPr>
            <w:r>
              <w:rPr>
                <w:rFonts w:hint="eastAsia"/>
                <w:color w:val="auto"/>
                <w:sz w:val="24"/>
              </w:rPr>
              <w:t xml:space="preserve">C2929塑料零件及其他塑料制品制造C3351建筑、家具用金属配件制造 </w:t>
            </w:r>
          </w:p>
        </w:tc>
        <w:tc>
          <w:tcPr>
            <w:tcW w:w="2262" w:type="dxa"/>
            <w:vAlign w:val="center"/>
          </w:tcPr>
          <w:p w14:paraId="78F70988">
            <w:pPr>
              <w:adjustRightInd w:val="0"/>
              <w:snapToGrid w:val="0"/>
              <w:jc w:val="center"/>
              <w:rPr>
                <w:color w:val="auto"/>
                <w:sz w:val="24"/>
              </w:rPr>
            </w:pPr>
            <w:bookmarkStart w:id="2" w:name="_Hlk49843745"/>
            <w:r>
              <w:rPr>
                <w:rFonts w:hAnsi="宋体"/>
                <w:color w:val="auto"/>
                <w:sz w:val="24"/>
              </w:rPr>
              <w:t>建设项目</w:t>
            </w:r>
          </w:p>
          <w:p w14:paraId="49F97B05">
            <w:pPr>
              <w:adjustRightInd w:val="0"/>
              <w:snapToGrid w:val="0"/>
              <w:jc w:val="center"/>
              <w:rPr>
                <w:color w:val="auto"/>
                <w:sz w:val="24"/>
              </w:rPr>
            </w:pPr>
            <w:r>
              <w:rPr>
                <w:rFonts w:hAnsi="宋体"/>
                <w:color w:val="auto"/>
                <w:sz w:val="24"/>
              </w:rPr>
              <w:t>行业类别</w:t>
            </w:r>
            <w:bookmarkEnd w:id="2"/>
          </w:p>
        </w:tc>
        <w:tc>
          <w:tcPr>
            <w:tcW w:w="2699" w:type="dxa"/>
            <w:vAlign w:val="center"/>
          </w:tcPr>
          <w:p w14:paraId="55406167">
            <w:pPr>
              <w:pStyle w:val="3"/>
              <w:numPr>
                <w:ilvl w:val="0"/>
                <w:numId w:val="0"/>
              </w:numPr>
              <w:jc w:val="left"/>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二十六、塑料制品业 29 53.塑料制品业 292-其他</w:t>
            </w:r>
          </w:p>
          <w:p w14:paraId="28AC99CE">
            <w:pPr>
              <w:pStyle w:val="3"/>
              <w:numPr>
                <w:ilvl w:val="0"/>
                <w:numId w:val="0"/>
              </w:numPr>
              <w:jc w:val="left"/>
              <w:rPr>
                <w:rFonts w:hint="default" w:eastAsia="宋体"/>
                <w:color w:val="auto"/>
                <w:lang w:val="en-US" w:eastAsia="zh-CN"/>
              </w:rPr>
            </w:pPr>
            <w:r>
              <w:rPr>
                <w:rFonts w:hint="eastAsia" w:ascii="Times New Roman" w:hAnsi="Times New Roman" w:eastAsia="宋体" w:cs="Times New Roman"/>
                <w:color w:val="auto"/>
                <w:kern w:val="2"/>
                <w:sz w:val="24"/>
                <w:szCs w:val="24"/>
                <w:lang w:val="en-US" w:eastAsia="zh-CN" w:bidi="ar-SA"/>
              </w:rPr>
              <w:t>三十、金属制品业33 66建筑、安全用金属制品制造335-其他</w:t>
            </w:r>
          </w:p>
        </w:tc>
      </w:tr>
      <w:tr w14:paraId="127D9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43" w:type="dxa"/>
            <w:tcMar>
              <w:top w:w="16" w:type="dxa"/>
              <w:left w:w="16" w:type="dxa"/>
              <w:right w:w="16" w:type="dxa"/>
            </w:tcMar>
            <w:vAlign w:val="center"/>
          </w:tcPr>
          <w:p w14:paraId="0B4565C2">
            <w:pPr>
              <w:adjustRightInd w:val="0"/>
              <w:snapToGrid w:val="0"/>
              <w:jc w:val="center"/>
              <w:rPr>
                <w:color w:val="auto"/>
                <w:sz w:val="24"/>
              </w:rPr>
            </w:pPr>
            <w:r>
              <w:rPr>
                <w:rFonts w:hAnsi="宋体"/>
                <w:color w:val="auto"/>
                <w:sz w:val="24"/>
              </w:rPr>
              <w:t>建设性质</w:t>
            </w:r>
          </w:p>
        </w:tc>
        <w:tc>
          <w:tcPr>
            <w:tcW w:w="2267" w:type="dxa"/>
            <w:vAlign w:val="center"/>
          </w:tcPr>
          <w:p w14:paraId="061B5504">
            <w:pPr>
              <w:jc w:val="left"/>
              <w:rPr>
                <w:color w:val="auto"/>
                <w:sz w:val="24"/>
              </w:rPr>
            </w:pPr>
            <w:r>
              <w:rPr>
                <w:color w:val="auto"/>
                <w:sz w:val="24"/>
              </w:rPr>
              <w:sym w:font="Wingdings 2" w:char="0052"/>
            </w:r>
            <w:r>
              <w:rPr>
                <w:rFonts w:hAnsi="宋体"/>
                <w:color w:val="auto"/>
                <w:sz w:val="24"/>
              </w:rPr>
              <w:t>新建（迁建）</w:t>
            </w:r>
          </w:p>
          <w:p w14:paraId="642D80A4">
            <w:pPr>
              <w:jc w:val="left"/>
              <w:rPr>
                <w:color w:val="auto"/>
                <w:sz w:val="24"/>
              </w:rPr>
            </w:pPr>
            <w:r>
              <w:rPr>
                <w:color w:val="auto"/>
                <w:sz w:val="24"/>
              </w:rPr>
              <w:t>□</w:t>
            </w:r>
            <w:r>
              <w:rPr>
                <w:rFonts w:hAnsi="宋体"/>
                <w:color w:val="auto"/>
                <w:sz w:val="24"/>
              </w:rPr>
              <w:t>改建</w:t>
            </w:r>
          </w:p>
          <w:p w14:paraId="3D9F3FEC">
            <w:pPr>
              <w:jc w:val="left"/>
              <w:rPr>
                <w:color w:val="auto"/>
                <w:sz w:val="24"/>
              </w:rPr>
            </w:pPr>
            <w:r>
              <w:rPr>
                <w:color w:val="auto"/>
                <w:sz w:val="24"/>
              </w:rPr>
              <w:t>□</w:t>
            </w:r>
            <w:r>
              <w:rPr>
                <w:rFonts w:hAnsi="宋体"/>
                <w:color w:val="auto"/>
                <w:sz w:val="24"/>
              </w:rPr>
              <w:t>扩建</w:t>
            </w:r>
          </w:p>
          <w:p w14:paraId="4FD01112">
            <w:pPr>
              <w:jc w:val="left"/>
              <w:rPr>
                <w:color w:val="auto"/>
                <w:sz w:val="24"/>
              </w:rPr>
            </w:pPr>
            <w:r>
              <w:rPr>
                <w:color w:val="auto"/>
                <w:sz w:val="24"/>
              </w:rPr>
              <w:t>□</w:t>
            </w:r>
            <w:r>
              <w:rPr>
                <w:rFonts w:hAnsi="宋体"/>
                <w:color w:val="auto"/>
                <w:sz w:val="24"/>
              </w:rPr>
              <w:t>技术改造</w:t>
            </w:r>
          </w:p>
        </w:tc>
        <w:tc>
          <w:tcPr>
            <w:tcW w:w="2262" w:type="dxa"/>
            <w:vAlign w:val="center"/>
          </w:tcPr>
          <w:p w14:paraId="37E64B28">
            <w:pPr>
              <w:adjustRightInd w:val="0"/>
              <w:snapToGrid w:val="0"/>
              <w:jc w:val="center"/>
              <w:rPr>
                <w:color w:val="auto"/>
                <w:sz w:val="24"/>
              </w:rPr>
            </w:pPr>
            <w:r>
              <w:rPr>
                <w:rFonts w:hAnsi="宋体"/>
                <w:color w:val="auto"/>
                <w:sz w:val="24"/>
              </w:rPr>
              <w:t>建设项目</w:t>
            </w:r>
          </w:p>
          <w:p w14:paraId="5982DA66">
            <w:pPr>
              <w:adjustRightInd w:val="0"/>
              <w:snapToGrid w:val="0"/>
              <w:jc w:val="center"/>
              <w:rPr>
                <w:color w:val="auto"/>
                <w:sz w:val="24"/>
              </w:rPr>
            </w:pPr>
            <w:r>
              <w:rPr>
                <w:rFonts w:hAnsi="宋体"/>
                <w:color w:val="auto"/>
                <w:sz w:val="24"/>
              </w:rPr>
              <w:t>申报情形</w:t>
            </w:r>
          </w:p>
        </w:tc>
        <w:tc>
          <w:tcPr>
            <w:tcW w:w="2699" w:type="dxa"/>
            <w:vAlign w:val="center"/>
          </w:tcPr>
          <w:p w14:paraId="2DCAE354">
            <w:pPr>
              <w:jc w:val="left"/>
              <w:rPr>
                <w:color w:val="auto"/>
                <w:sz w:val="24"/>
              </w:rPr>
            </w:pPr>
            <w:r>
              <w:rPr>
                <w:color w:val="auto"/>
                <w:sz w:val="24"/>
              </w:rPr>
              <w:sym w:font="Wingdings 2" w:char="0052"/>
            </w:r>
            <w:r>
              <w:rPr>
                <w:rFonts w:hAnsi="宋体"/>
                <w:color w:val="auto"/>
                <w:sz w:val="24"/>
              </w:rPr>
              <w:t>首次申报项目</w:t>
            </w:r>
          </w:p>
          <w:p w14:paraId="0AB09E92">
            <w:pPr>
              <w:jc w:val="left"/>
              <w:rPr>
                <w:color w:val="auto"/>
                <w:sz w:val="24"/>
              </w:rPr>
            </w:pPr>
            <w:r>
              <w:rPr>
                <w:color w:val="auto"/>
                <w:sz w:val="24"/>
              </w:rPr>
              <w:t>□</w:t>
            </w:r>
            <w:r>
              <w:rPr>
                <w:rFonts w:hAnsi="宋体"/>
                <w:color w:val="auto"/>
                <w:sz w:val="24"/>
              </w:rPr>
              <w:t>不予批准后再次申报项目</w:t>
            </w:r>
          </w:p>
          <w:p w14:paraId="08114DFC">
            <w:pPr>
              <w:jc w:val="left"/>
              <w:rPr>
                <w:color w:val="auto"/>
                <w:sz w:val="24"/>
              </w:rPr>
            </w:pPr>
            <w:r>
              <w:rPr>
                <w:color w:val="auto"/>
                <w:sz w:val="24"/>
              </w:rPr>
              <w:t>□</w:t>
            </w:r>
            <w:r>
              <w:rPr>
                <w:rFonts w:hAnsi="宋体"/>
                <w:color w:val="auto"/>
                <w:sz w:val="24"/>
              </w:rPr>
              <w:t>超五年重新审核项目</w:t>
            </w:r>
          </w:p>
          <w:p w14:paraId="6C925ECD">
            <w:pPr>
              <w:jc w:val="left"/>
              <w:rPr>
                <w:color w:val="auto"/>
                <w:sz w:val="24"/>
              </w:rPr>
            </w:pPr>
            <w:r>
              <w:rPr>
                <w:color w:val="auto"/>
                <w:sz w:val="24"/>
              </w:rPr>
              <w:t>□</w:t>
            </w:r>
            <w:r>
              <w:rPr>
                <w:rFonts w:hAnsi="宋体"/>
                <w:color w:val="auto"/>
                <w:sz w:val="24"/>
              </w:rPr>
              <w:t>重大变动重新报批项目</w:t>
            </w:r>
          </w:p>
        </w:tc>
      </w:tr>
      <w:tr w14:paraId="5568D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43" w:type="dxa"/>
            <w:tcMar>
              <w:top w:w="16" w:type="dxa"/>
              <w:left w:w="16" w:type="dxa"/>
              <w:right w:w="16" w:type="dxa"/>
            </w:tcMar>
            <w:vAlign w:val="center"/>
          </w:tcPr>
          <w:p w14:paraId="4638FE8C">
            <w:pPr>
              <w:adjustRightInd w:val="0"/>
              <w:snapToGrid w:val="0"/>
              <w:jc w:val="center"/>
              <w:rPr>
                <w:color w:val="auto"/>
                <w:sz w:val="24"/>
              </w:rPr>
            </w:pPr>
            <w:r>
              <w:rPr>
                <w:rFonts w:hAnsi="宋体"/>
                <w:color w:val="auto"/>
                <w:sz w:val="24"/>
              </w:rPr>
              <w:t>项目审批（核准</w:t>
            </w:r>
            <w:r>
              <w:rPr>
                <w:color w:val="auto"/>
                <w:sz w:val="24"/>
              </w:rPr>
              <w:t>/</w:t>
            </w:r>
          </w:p>
          <w:p w14:paraId="15B903EE">
            <w:pPr>
              <w:adjustRightInd w:val="0"/>
              <w:snapToGrid w:val="0"/>
              <w:jc w:val="center"/>
              <w:rPr>
                <w:color w:val="auto"/>
                <w:sz w:val="24"/>
              </w:rPr>
            </w:pPr>
            <w:r>
              <w:rPr>
                <w:rFonts w:hAnsi="宋体"/>
                <w:color w:val="auto"/>
                <w:sz w:val="24"/>
              </w:rPr>
              <w:t>备案）部门（选填）</w:t>
            </w:r>
          </w:p>
        </w:tc>
        <w:tc>
          <w:tcPr>
            <w:tcW w:w="2267" w:type="dxa"/>
            <w:vAlign w:val="center"/>
          </w:tcPr>
          <w:p w14:paraId="1B3639D6">
            <w:pPr>
              <w:jc w:val="left"/>
              <w:rPr>
                <w:color w:val="auto"/>
                <w:sz w:val="24"/>
              </w:rPr>
            </w:pPr>
            <w:r>
              <w:rPr>
                <w:rFonts w:hint="eastAsia" w:hAnsi="宋体"/>
                <w:color w:val="auto"/>
                <w:sz w:val="24"/>
              </w:rPr>
              <w:t>安吉县经济和信息化局</w:t>
            </w:r>
          </w:p>
        </w:tc>
        <w:tc>
          <w:tcPr>
            <w:tcW w:w="2262" w:type="dxa"/>
            <w:vAlign w:val="center"/>
          </w:tcPr>
          <w:p w14:paraId="613FE91B">
            <w:pPr>
              <w:adjustRightInd w:val="0"/>
              <w:snapToGrid w:val="0"/>
              <w:jc w:val="center"/>
              <w:rPr>
                <w:color w:val="auto"/>
                <w:sz w:val="24"/>
              </w:rPr>
            </w:pPr>
            <w:r>
              <w:rPr>
                <w:rFonts w:hAnsi="宋体"/>
                <w:color w:val="auto"/>
                <w:sz w:val="24"/>
              </w:rPr>
              <w:t>项目审批（核准</w:t>
            </w:r>
            <w:r>
              <w:rPr>
                <w:color w:val="auto"/>
                <w:sz w:val="24"/>
              </w:rPr>
              <w:t>/</w:t>
            </w:r>
          </w:p>
          <w:p w14:paraId="7CA54D72">
            <w:pPr>
              <w:adjustRightInd w:val="0"/>
              <w:snapToGrid w:val="0"/>
              <w:jc w:val="center"/>
              <w:rPr>
                <w:color w:val="auto"/>
                <w:sz w:val="24"/>
              </w:rPr>
            </w:pPr>
            <w:r>
              <w:rPr>
                <w:rFonts w:hAnsi="宋体"/>
                <w:color w:val="auto"/>
                <w:sz w:val="24"/>
              </w:rPr>
              <w:t>备案）文号（选填）</w:t>
            </w:r>
          </w:p>
        </w:tc>
        <w:tc>
          <w:tcPr>
            <w:tcW w:w="2699" w:type="dxa"/>
            <w:vAlign w:val="center"/>
          </w:tcPr>
          <w:p w14:paraId="066C2D7B">
            <w:pPr>
              <w:adjustRightInd w:val="0"/>
              <w:snapToGrid w:val="0"/>
              <w:jc w:val="left"/>
              <w:rPr>
                <w:color w:val="auto"/>
                <w:sz w:val="24"/>
              </w:rPr>
            </w:pPr>
            <w:r>
              <w:rPr>
                <w:rFonts w:hint="eastAsia" w:cs="宋体"/>
                <w:color w:val="0000FF"/>
                <w:sz w:val="24"/>
              </w:rPr>
              <w:t>2309-330523-07-02-805182</w:t>
            </w:r>
          </w:p>
        </w:tc>
      </w:tr>
      <w:tr w14:paraId="41862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3" w:type="dxa"/>
            <w:tcMar>
              <w:top w:w="16" w:type="dxa"/>
              <w:left w:w="16" w:type="dxa"/>
              <w:right w:w="16" w:type="dxa"/>
            </w:tcMar>
            <w:vAlign w:val="center"/>
          </w:tcPr>
          <w:p w14:paraId="51F7548C">
            <w:pPr>
              <w:adjustRightInd w:val="0"/>
              <w:snapToGrid w:val="0"/>
              <w:jc w:val="center"/>
              <w:rPr>
                <w:color w:val="auto"/>
                <w:sz w:val="24"/>
              </w:rPr>
            </w:pPr>
            <w:r>
              <w:rPr>
                <w:rFonts w:hAnsi="宋体"/>
                <w:color w:val="auto"/>
                <w:sz w:val="24"/>
              </w:rPr>
              <w:t>总投资（万元）</w:t>
            </w:r>
          </w:p>
        </w:tc>
        <w:tc>
          <w:tcPr>
            <w:tcW w:w="2267" w:type="dxa"/>
            <w:vAlign w:val="center"/>
          </w:tcPr>
          <w:p w14:paraId="686927BD">
            <w:pPr>
              <w:adjustRightInd w:val="0"/>
              <w:snapToGrid w:val="0"/>
              <w:jc w:val="center"/>
              <w:rPr>
                <w:rFonts w:hint="default" w:eastAsia="宋体"/>
                <w:color w:val="auto"/>
                <w:sz w:val="24"/>
                <w:lang w:val="en-US" w:eastAsia="zh-CN"/>
              </w:rPr>
            </w:pPr>
            <w:r>
              <w:rPr>
                <w:rFonts w:hint="eastAsia"/>
                <w:color w:val="auto"/>
                <w:sz w:val="24"/>
                <w:lang w:val="en-US" w:eastAsia="zh-CN"/>
              </w:rPr>
              <w:t>700</w:t>
            </w:r>
          </w:p>
        </w:tc>
        <w:tc>
          <w:tcPr>
            <w:tcW w:w="2262" w:type="dxa"/>
            <w:tcMar>
              <w:top w:w="16" w:type="dxa"/>
              <w:left w:w="16" w:type="dxa"/>
              <w:right w:w="16" w:type="dxa"/>
            </w:tcMar>
            <w:vAlign w:val="center"/>
          </w:tcPr>
          <w:p w14:paraId="44D27619">
            <w:pPr>
              <w:adjustRightInd w:val="0"/>
              <w:snapToGrid w:val="0"/>
              <w:jc w:val="center"/>
              <w:rPr>
                <w:color w:val="auto"/>
                <w:sz w:val="24"/>
              </w:rPr>
            </w:pPr>
            <w:r>
              <w:rPr>
                <w:rFonts w:hAnsi="宋体"/>
                <w:color w:val="auto"/>
                <w:sz w:val="24"/>
              </w:rPr>
              <w:t>环保投资（万元）</w:t>
            </w:r>
          </w:p>
        </w:tc>
        <w:tc>
          <w:tcPr>
            <w:tcW w:w="2699" w:type="dxa"/>
            <w:vAlign w:val="center"/>
          </w:tcPr>
          <w:p w14:paraId="3EBB3FA6">
            <w:pPr>
              <w:adjustRightInd w:val="0"/>
              <w:snapToGrid w:val="0"/>
              <w:jc w:val="center"/>
              <w:rPr>
                <w:color w:val="auto"/>
                <w:sz w:val="24"/>
              </w:rPr>
            </w:pPr>
            <w:r>
              <w:rPr>
                <w:rFonts w:hint="eastAsia"/>
                <w:color w:val="auto"/>
                <w:sz w:val="24"/>
              </w:rPr>
              <w:t>20</w:t>
            </w:r>
          </w:p>
        </w:tc>
      </w:tr>
      <w:tr w14:paraId="344283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3" w:type="dxa"/>
            <w:tcMar>
              <w:top w:w="16" w:type="dxa"/>
              <w:left w:w="16" w:type="dxa"/>
              <w:right w:w="16" w:type="dxa"/>
            </w:tcMar>
            <w:vAlign w:val="center"/>
          </w:tcPr>
          <w:p w14:paraId="5A6EE697">
            <w:pPr>
              <w:adjustRightInd w:val="0"/>
              <w:snapToGrid w:val="0"/>
              <w:jc w:val="center"/>
              <w:rPr>
                <w:color w:val="auto"/>
                <w:sz w:val="24"/>
              </w:rPr>
            </w:pPr>
            <w:r>
              <w:rPr>
                <w:rFonts w:hAnsi="宋体"/>
                <w:color w:val="auto"/>
                <w:sz w:val="24"/>
              </w:rPr>
              <w:t>环保投资占比（</w:t>
            </w:r>
            <w:r>
              <w:rPr>
                <w:color w:val="auto"/>
                <w:sz w:val="24"/>
              </w:rPr>
              <w:t>%</w:t>
            </w:r>
            <w:r>
              <w:rPr>
                <w:rFonts w:hAnsi="宋体"/>
                <w:color w:val="auto"/>
                <w:sz w:val="24"/>
              </w:rPr>
              <w:t>）</w:t>
            </w:r>
          </w:p>
        </w:tc>
        <w:tc>
          <w:tcPr>
            <w:tcW w:w="2267" w:type="dxa"/>
            <w:vAlign w:val="center"/>
          </w:tcPr>
          <w:p w14:paraId="1B437617">
            <w:pPr>
              <w:adjustRightInd w:val="0"/>
              <w:snapToGrid w:val="0"/>
              <w:jc w:val="center"/>
              <w:rPr>
                <w:rFonts w:hint="default" w:eastAsia="宋体"/>
                <w:color w:val="auto"/>
                <w:sz w:val="24"/>
                <w:lang w:val="en-US" w:eastAsia="zh-CN"/>
              </w:rPr>
            </w:pPr>
            <w:r>
              <w:rPr>
                <w:rFonts w:hint="eastAsia"/>
                <w:color w:val="auto"/>
                <w:sz w:val="24"/>
                <w:lang w:val="en-US" w:eastAsia="zh-CN"/>
              </w:rPr>
              <w:t>2.9</w:t>
            </w:r>
          </w:p>
        </w:tc>
        <w:tc>
          <w:tcPr>
            <w:tcW w:w="2262" w:type="dxa"/>
            <w:tcMar>
              <w:top w:w="16" w:type="dxa"/>
              <w:left w:w="16" w:type="dxa"/>
              <w:right w:w="16" w:type="dxa"/>
            </w:tcMar>
            <w:vAlign w:val="center"/>
          </w:tcPr>
          <w:p w14:paraId="2F5C0D65">
            <w:pPr>
              <w:adjustRightInd w:val="0"/>
              <w:snapToGrid w:val="0"/>
              <w:jc w:val="center"/>
              <w:rPr>
                <w:color w:val="auto"/>
                <w:sz w:val="24"/>
              </w:rPr>
            </w:pPr>
            <w:r>
              <w:rPr>
                <w:rFonts w:hAnsi="宋体"/>
                <w:color w:val="auto"/>
                <w:sz w:val="24"/>
              </w:rPr>
              <w:t>施工工期</w:t>
            </w:r>
          </w:p>
        </w:tc>
        <w:tc>
          <w:tcPr>
            <w:tcW w:w="2699" w:type="dxa"/>
            <w:vAlign w:val="center"/>
          </w:tcPr>
          <w:p w14:paraId="1E8C5020">
            <w:pPr>
              <w:adjustRightInd w:val="0"/>
              <w:snapToGrid w:val="0"/>
              <w:jc w:val="center"/>
              <w:rPr>
                <w:color w:val="auto"/>
                <w:sz w:val="24"/>
              </w:rPr>
            </w:pPr>
            <w:r>
              <w:rPr>
                <w:rFonts w:hint="eastAsia"/>
                <w:color w:val="auto"/>
                <w:sz w:val="24"/>
              </w:rPr>
              <w:t>2</w:t>
            </w:r>
            <w:r>
              <w:rPr>
                <w:rFonts w:hAnsi="宋体"/>
                <w:color w:val="auto"/>
                <w:sz w:val="24"/>
              </w:rPr>
              <w:t>个月</w:t>
            </w:r>
          </w:p>
        </w:tc>
      </w:tr>
      <w:tr w14:paraId="625BD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3" w:type="dxa"/>
            <w:tcMar>
              <w:top w:w="16" w:type="dxa"/>
              <w:left w:w="16" w:type="dxa"/>
              <w:right w:w="16" w:type="dxa"/>
            </w:tcMar>
            <w:vAlign w:val="center"/>
          </w:tcPr>
          <w:p w14:paraId="32C4DF05">
            <w:pPr>
              <w:adjustRightInd w:val="0"/>
              <w:snapToGrid w:val="0"/>
              <w:jc w:val="center"/>
              <w:rPr>
                <w:color w:val="auto"/>
                <w:sz w:val="24"/>
              </w:rPr>
            </w:pPr>
            <w:r>
              <w:rPr>
                <w:rFonts w:hAnsi="宋体"/>
                <w:color w:val="auto"/>
                <w:sz w:val="24"/>
              </w:rPr>
              <w:t>是否开工建设</w:t>
            </w:r>
          </w:p>
        </w:tc>
        <w:tc>
          <w:tcPr>
            <w:tcW w:w="2267" w:type="dxa"/>
            <w:vAlign w:val="center"/>
          </w:tcPr>
          <w:p w14:paraId="797015DB">
            <w:pPr>
              <w:adjustRightInd w:val="0"/>
              <w:snapToGrid w:val="0"/>
              <w:rPr>
                <w:color w:val="auto"/>
                <w:sz w:val="24"/>
              </w:rPr>
            </w:pPr>
            <w:r>
              <w:rPr>
                <w:color w:val="auto"/>
                <w:sz w:val="24"/>
              </w:rPr>
              <w:sym w:font="Wingdings 2" w:char="0052"/>
            </w:r>
            <w:r>
              <w:rPr>
                <w:rFonts w:hAnsi="宋体"/>
                <w:color w:val="auto"/>
                <w:sz w:val="24"/>
              </w:rPr>
              <w:t>否</w:t>
            </w:r>
          </w:p>
          <w:p w14:paraId="43253150">
            <w:pPr>
              <w:adjustRightInd w:val="0"/>
              <w:snapToGrid w:val="0"/>
              <w:rPr>
                <w:color w:val="auto"/>
                <w:sz w:val="24"/>
              </w:rPr>
            </w:pPr>
            <w:r>
              <w:rPr>
                <w:color w:val="auto"/>
                <w:sz w:val="24"/>
              </w:rPr>
              <w:sym w:font="Wingdings 2" w:char="00A3"/>
            </w:r>
            <w:r>
              <w:rPr>
                <w:rFonts w:hAnsi="宋体"/>
                <w:color w:val="auto"/>
                <w:sz w:val="24"/>
              </w:rPr>
              <w:t>是：</w:t>
            </w:r>
            <w:r>
              <w:rPr>
                <w:color w:val="auto"/>
                <w:sz w:val="24"/>
              </w:rPr>
              <w:t xml:space="preserve">             </w:t>
            </w:r>
          </w:p>
        </w:tc>
        <w:tc>
          <w:tcPr>
            <w:tcW w:w="2262" w:type="dxa"/>
            <w:tcMar>
              <w:top w:w="16" w:type="dxa"/>
              <w:left w:w="16" w:type="dxa"/>
              <w:right w:w="16" w:type="dxa"/>
            </w:tcMar>
            <w:vAlign w:val="center"/>
          </w:tcPr>
          <w:p w14:paraId="517E5769">
            <w:pPr>
              <w:adjustRightInd w:val="0"/>
              <w:snapToGrid w:val="0"/>
              <w:jc w:val="center"/>
              <w:rPr>
                <w:color w:val="auto"/>
                <w:spacing w:val="-6"/>
                <w:sz w:val="24"/>
              </w:rPr>
            </w:pPr>
            <w:r>
              <w:rPr>
                <w:rFonts w:hAnsi="宋体"/>
                <w:color w:val="auto"/>
                <w:spacing w:val="-6"/>
                <w:sz w:val="24"/>
              </w:rPr>
              <w:t>用地（用海）</w:t>
            </w:r>
          </w:p>
          <w:p w14:paraId="7D9C9B38">
            <w:pPr>
              <w:adjustRightInd w:val="0"/>
              <w:snapToGrid w:val="0"/>
              <w:jc w:val="center"/>
              <w:rPr>
                <w:color w:val="auto"/>
                <w:sz w:val="24"/>
              </w:rPr>
            </w:pPr>
            <w:r>
              <w:rPr>
                <w:rFonts w:hAnsi="宋体"/>
                <w:color w:val="auto"/>
                <w:spacing w:val="-6"/>
                <w:sz w:val="24"/>
              </w:rPr>
              <w:t>面积（</w:t>
            </w:r>
            <w:r>
              <w:rPr>
                <w:color w:val="auto"/>
                <w:spacing w:val="-6"/>
                <w:sz w:val="24"/>
              </w:rPr>
              <w:t>m</w:t>
            </w:r>
            <w:r>
              <w:rPr>
                <w:color w:val="auto"/>
                <w:spacing w:val="-6"/>
                <w:sz w:val="24"/>
                <w:vertAlign w:val="superscript"/>
              </w:rPr>
              <w:t>2</w:t>
            </w:r>
            <w:r>
              <w:rPr>
                <w:rFonts w:hAnsi="宋体"/>
                <w:color w:val="auto"/>
                <w:spacing w:val="-6"/>
                <w:sz w:val="24"/>
              </w:rPr>
              <w:t>）</w:t>
            </w:r>
          </w:p>
        </w:tc>
        <w:tc>
          <w:tcPr>
            <w:tcW w:w="2699" w:type="dxa"/>
            <w:vAlign w:val="center"/>
          </w:tcPr>
          <w:p w14:paraId="003E4F85">
            <w:pPr>
              <w:adjustRightInd w:val="0"/>
              <w:snapToGrid w:val="0"/>
              <w:jc w:val="center"/>
              <w:rPr>
                <w:rFonts w:hint="default" w:eastAsia="宋体"/>
                <w:color w:val="auto"/>
                <w:sz w:val="24"/>
                <w:lang w:val="en-US" w:eastAsia="zh-CN"/>
              </w:rPr>
            </w:pPr>
            <w:r>
              <w:rPr>
                <w:rFonts w:hint="eastAsia"/>
                <w:color w:val="auto"/>
                <w:sz w:val="24"/>
                <w:lang w:val="en-US" w:eastAsia="zh-CN"/>
              </w:rPr>
              <w:t>2500</w:t>
            </w:r>
          </w:p>
        </w:tc>
      </w:tr>
      <w:tr w14:paraId="21469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843" w:type="dxa"/>
            <w:vAlign w:val="center"/>
          </w:tcPr>
          <w:p w14:paraId="457C56CE">
            <w:pPr>
              <w:autoSpaceDE w:val="0"/>
              <w:autoSpaceDN w:val="0"/>
              <w:adjustRightInd w:val="0"/>
              <w:snapToGrid w:val="0"/>
              <w:jc w:val="center"/>
              <w:rPr>
                <w:color w:val="auto"/>
                <w:kern w:val="0"/>
                <w:sz w:val="24"/>
              </w:rPr>
            </w:pPr>
            <w:r>
              <w:rPr>
                <w:rFonts w:hAnsi="宋体"/>
                <w:color w:val="auto"/>
                <w:kern w:val="0"/>
                <w:sz w:val="24"/>
              </w:rPr>
              <w:t>专项评价设置情况</w:t>
            </w:r>
          </w:p>
        </w:tc>
        <w:tc>
          <w:tcPr>
            <w:tcW w:w="7228" w:type="dxa"/>
            <w:gridSpan w:val="3"/>
            <w:vAlign w:val="center"/>
          </w:tcPr>
          <w:p w14:paraId="35660485">
            <w:pPr>
              <w:autoSpaceDE w:val="0"/>
              <w:autoSpaceDN w:val="0"/>
              <w:adjustRightInd w:val="0"/>
              <w:snapToGrid w:val="0"/>
              <w:spacing w:line="440" w:lineRule="exact"/>
              <w:jc w:val="center"/>
              <w:rPr>
                <w:color w:val="auto"/>
                <w:kern w:val="0"/>
                <w:sz w:val="24"/>
              </w:rPr>
            </w:pPr>
            <w:r>
              <w:rPr>
                <w:rFonts w:hAnsi="宋体"/>
                <w:color w:val="auto"/>
                <w:kern w:val="0"/>
                <w:sz w:val="24"/>
              </w:rPr>
              <w:t>无。</w:t>
            </w:r>
          </w:p>
          <w:p w14:paraId="06A1CA9C">
            <w:pPr>
              <w:autoSpaceDE w:val="0"/>
              <w:autoSpaceDN w:val="0"/>
              <w:adjustRightInd w:val="0"/>
              <w:snapToGrid w:val="0"/>
              <w:spacing w:line="440" w:lineRule="exact"/>
              <w:jc w:val="left"/>
              <w:rPr>
                <w:color w:val="auto"/>
                <w:kern w:val="0"/>
                <w:sz w:val="24"/>
              </w:rPr>
            </w:pPr>
            <w:r>
              <w:rPr>
                <w:rFonts w:hint="eastAsia" w:hAnsi="宋体"/>
                <w:color w:val="auto"/>
                <w:kern w:val="0"/>
                <w:sz w:val="24"/>
              </w:rPr>
              <w:t xml:space="preserve">    </w:t>
            </w:r>
            <w:r>
              <w:rPr>
                <w:rFonts w:hAnsi="宋体"/>
                <w:color w:val="auto"/>
                <w:kern w:val="0"/>
                <w:sz w:val="24"/>
              </w:rPr>
              <w:t>根据《建设项目环境影响报告表编制技术指南（污染影响类）（试行）》，大气、地表水、环境风险、生态和海洋不开展专项评价，判定依据见表</w:t>
            </w:r>
            <w:r>
              <w:rPr>
                <w:color w:val="auto"/>
                <w:kern w:val="0"/>
                <w:sz w:val="24"/>
              </w:rPr>
              <w:t>1-1</w:t>
            </w:r>
            <w:r>
              <w:rPr>
                <w:rFonts w:hAnsi="宋体"/>
                <w:color w:val="auto"/>
                <w:kern w:val="0"/>
                <w:sz w:val="24"/>
              </w:rPr>
              <w:t>。土壤、声环境不开展专项评价；本项目所在区域不涉及集中式饮用水水源和热水、矿泉水、温泉等特殊地下水资源保护区，地下水不开展专项评价。</w:t>
            </w:r>
          </w:p>
          <w:p w14:paraId="5C1C9BEE">
            <w:pPr>
              <w:pStyle w:val="119"/>
              <w:rPr>
                <w:rFonts w:hAnsi="宋体" w:eastAsia="宋体"/>
                <w:color w:val="auto"/>
                <w:kern w:val="0"/>
              </w:rPr>
            </w:pPr>
          </w:p>
          <w:p w14:paraId="1F195AC1">
            <w:pPr>
              <w:pStyle w:val="119"/>
              <w:rPr>
                <w:rFonts w:hAnsi="宋体" w:eastAsia="宋体"/>
                <w:color w:val="auto"/>
                <w:kern w:val="0"/>
              </w:rPr>
            </w:pPr>
          </w:p>
          <w:p w14:paraId="06791E74">
            <w:pPr>
              <w:pStyle w:val="119"/>
              <w:rPr>
                <w:rFonts w:hAnsi="宋体" w:eastAsia="宋体"/>
                <w:color w:val="auto"/>
                <w:kern w:val="0"/>
              </w:rPr>
            </w:pPr>
          </w:p>
          <w:p w14:paraId="226FE26C">
            <w:pPr>
              <w:pStyle w:val="119"/>
              <w:rPr>
                <w:rFonts w:hAnsi="宋体" w:eastAsia="宋体"/>
                <w:color w:val="auto"/>
                <w:kern w:val="0"/>
              </w:rPr>
            </w:pPr>
          </w:p>
          <w:p w14:paraId="645D13D1">
            <w:pPr>
              <w:pStyle w:val="119"/>
              <w:rPr>
                <w:rFonts w:hAnsi="宋体" w:eastAsia="宋体"/>
                <w:color w:val="auto"/>
                <w:kern w:val="0"/>
              </w:rPr>
            </w:pPr>
          </w:p>
          <w:p w14:paraId="5285C8EA">
            <w:pPr>
              <w:pStyle w:val="119"/>
              <w:rPr>
                <w:rFonts w:hAnsi="宋体" w:eastAsia="宋体"/>
                <w:color w:val="auto"/>
                <w:kern w:val="0"/>
              </w:rPr>
            </w:pPr>
          </w:p>
          <w:p w14:paraId="69BC7D9A">
            <w:pPr>
              <w:pStyle w:val="119"/>
              <w:rPr>
                <w:rFonts w:eastAsia="宋体"/>
                <w:color w:val="auto"/>
                <w:kern w:val="0"/>
              </w:rPr>
            </w:pPr>
            <w:r>
              <w:rPr>
                <w:rFonts w:hAnsi="宋体" w:eastAsia="宋体"/>
                <w:color w:val="auto"/>
                <w:kern w:val="0"/>
              </w:rPr>
              <w:t>表</w:t>
            </w:r>
            <w:r>
              <w:rPr>
                <w:rFonts w:eastAsia="宋体"/>
                <w:color w:val="auto"/>
                <w:kern w:val="0"/>
              </w:rPr>
              <w:t xml:space="preserve">1-1  </w:t>
            </w:r>
            <w:r>
              <w:rPr>
                <w:rFonts w:hAnsi="宋体" w:eastAsia="宋体"/>
                <w:color w:val="auto"/>
                <w:kern w:val="0"/>
              </w:rPr>
              <w:t>专项评价设置判定情况</w:t>
            </w:r>
          </w:p>
          <w:tbl>
            <w:tblPr>
              <w:tblStyle w:val="3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595"/>
              <w:gridCol w:w="1980"/>
              <w:gridCol w:w="1126"/>
            </w:tblGrid>
            <w:tr w14:paraId="60C5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14:paraId="6627E2D8">
                  <w:pPr>
                    <w:autoSpaceDE w:val="0"/>
                    <w:autoSpaceDN w:val="0"/>
                    <w:adjustRightInd w:val="0"/>
                    <w:snapToGrid w:val="0"/>
                    <w:jc w:val="center"/>
                    <w:rPr>
                      <w:color w:val="auto"/>
                      <w:kern w:val="0"/>
                      <w:szCs w:val="21"/>
                    </w:rPr>
                  </w:pPr>
                  <w:r>
                    <w:rPr>
                      <w:rFonts w:hAnsi="宋体"/>
                      <w:color w:val="auto"/>
                      <w:kern w:val="0"/>
                      <w:szCs w:val="21"/>
                    </w:rPr>
                    <w:t>专项评价的类别</w:t>
                  </w:r>
                </w:p>
              </w:tc>
              <w:tc>
                <w:tcPr>
                  <w:tcW w:w="2595" w:type="dxa"/>
                  <w:vAlign w:val="center"/>
                </w:tcPr>
                <w:p w14:paraId="51A9ACCB">
                  <w:pPr>
                    <w:autoSpaceDE w:val="0"/>
                    <w:autoSpaceDN w:val="0"/>
                    <w:adjustRightInd w:val="0"/>
                    <w:snapToGrid w:val="0"/>
                    <w:jc w:val="center"/>
                    <w:rPr>
                      <w:color w:val="auto"/>
                      <w:kern w:val="0"/>
                      <w:szCs w:val="21"/>
                    </w:rPr>
                  </w:pPr>
                  <w:r>
                    <w:rPr>
                      <w:rFonts w:hAnsi="宋体"/>
                      <w:color w:val="auto"/>
                      <w:kern w:val="0"/>
                      <w:szCs w:val="21"/>
                    </w:rPr>
                    <w:t>设置原则</w:t>
                  </w:r>
                </w:p>
              </w:tc>
              <w:tc>
                <w:tcPr>
                  <w:tcW w:w="1980" w:type="dxa"/>
                  <w:vAlign w:val="center"/>
                </w:tcPr>
                <w:p w14:paraId="61F6FD8F">
                  <w:pPr>
                    <w:autoSpaceDE w:val="0"/>
                    <w:autoSpaceDN w:val="0"/>
                    <w:adjustRightInd w:val="0"/>
                    <w:snapToGrid w:val="0"/>
                    <w:jc w:val="center"/>
                    <w:rPr>
                      <w:color w:val="auto"/>
                      <w:kern w:val="0"/>
                      <w:szCs w:val="21"/>
                    </w:rPr>
                  </w:pPr>
                  <w:r>
                    <w:rPr>
                      <w:rFonts w:hAnsi="宋体"/>
                      <w:color w:val="auto"/>
                      <w:kern w:val="0"/>
                      <w:szCs w:val="21"/>
                    </w:rPr>
                    <w:t>本项目情况</w:t>
                  </w:r>
                </w:p>
              </w:tc>
              <w:tc>
                <w:tcPr>
                  <w:tcW w:w="1126" w:type="dxa"/>
                  <w:vAlign w:val="center"/>
                </w:tcPr>
                <w:p w14:paraId="409F6ADE">
                  <w:pPr>
                    <w:autoSpaceDE w:val="0"/>
                    <w:autoSpaceDN w:val="0"/>
                    <w:adjustRightInd w:val="0"/>
                    <w:snapToGrid w:val="0"/>
                    <w:jc w:val="center"/>
                    <w:rPr>
                      <w:color w:val="auto"/>
                      <w:kern w:val="0"/>
                      <w:szCs w:val="21"/>
                    </w:rPr>
                  </w:pPr>
                  <w:r>
                    <w:rPr>
                      <w:rFonts w:hAnsi="宋体"/>
                      <w:color w:val="auto"/>
                      <w:kern w:val="0"/>
                      <w:szCs w:val="21"/>
                    </w:rPr>
                    <w:t>是否设置专项评价</w:t>
                  </w:r>
                </w:p>
              </w:tc>
            </w:tr>
            <w:tr w14:paraId="0EAB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14:paraId="7AFA2E9C">
                  <w:pPr>
                    <w:autoSpaceDE w:val="0"/>
                    <w:autoSpaceDN w:val="0"/>
                    <w:adjustRightInd w:val="0"/>
                    <w:snapToGrid w:val="0"/>
                    <w:jc w:val="center"/>
                    <w:rPr>
                      <w:color w:val="auto"/>
                      <w:kern w:val="0"/>
                      <w:szCs w:val="21"/>
                    </w:rPr>
                  </w:pPr>
                  <w:r>
                    <w:rPr>
                      <w:rFonts w:hAnsi="宋体"/>
                      <w:color w:val="auto"/>
                      <w:kern w:val="0"/>
                      <w:szCs w:val="21"/>
                    </w:rPr>
                    <w:t>大气</w:t>
                  </w:r>
                </w:p>
              </w:tc>
              <w:tc>
                <w:tcPr>
                  <w:tcW w:w="2595" w:type="dxa"/>
                  <w:vAlign w:val="center"/>
                </w:tcPr>
                <w:p w14:paraId="7D77671A">
                  <w:pPr>
                    <w:widowControl/>
                    <w:jc w:val="left"/>
                    <w:rPr>
                      <w:color w:val="auto"/>
                      <w:kern w:val="0"/>
                      <w:szCs w:val="21"/>
                    </w:rPr>
                  </w:pPr>
                  <w:r>
                    <w:rPr>
                      <w:rFonts w:hAnsi="宋体"/>
                      <w:color w:val="auto"/>
                      <w:kern w:val="0"/>
                      <w:szCs w:val="21"/>
                    </w:rPr>
                    <w:t>排放废气含有毒有害污染物</w:t>
                  </w:r>
                  <w:r>
                    <w:rPr>
                      <w:color w:val="auto"/>
                      <w:kern w:val="0"/>
                      <w:szCs w:val="21"/>
                      <w:vertAlign w:val="superscript"/>
                    </w:rPr>
                    <w:t>1</w:t>
                  </w:r>
                  <w:r>
                    <w:rPr>
                      <w:rFonts w:hAnsi="宋体"/>
                      <w:color w:val="auto"/>
                      <w:kern w:val="0"/>
                      <w:szCs w:val="21"/>
                    </w:rPr>
                    <w:t>、二噁英、苯并</w:t>
                  </w:r>
                  <w:r>
                    <w:rPr>
                      <w:color w:val="auto"/>
                      <w:kern w:val="0"/>
                      <w:szCs w:val="21"/>
                    </w:rPr>
                    <w:t>[</w:t>
                  </w:r>
                  <w:r>
                    <w:rPr>
                      <w:i/>
                      <w:color w:val="auto"/>
                      <w:kern w:val="0"/>
                      <w:szCs w:val="21"/>
                    </w:rPr>
                    <w:t>a</w:t>
                  </w:r>
                  <w:r>
                    <w:rPr>
                      <w:color w:val="auto"/>
                      <w:kern w:val="0"/>
                      <w:szCs w:val="21"/>
                    </w:rPr>
                    <w:t>]</w:t>
                  </w:r>
                  <w:r>
                    <w:rPr>
                      <w:rFonts w:hAnsi="宋体"/>
                      <w:color w:val="auto"/>
                      <w:kern w:val="0"/>
                      <w:szCs w:val="21"/>
                    </w:rPr>
                    <w:t>芘、氰化物、氯气且厂界外</w:t>
                  </w:r>
                  <w:r>
                    <w:rPr>
                      <w:color w:val="auto"/>
                      <w:kern w:val="0"/>
                      <w:szCs w:val="21"/>
                    </w:rPr>
                    <w:t>500</w:t>
                  </w:r>
                  <w:r>
                    <w:rPr>
                      <w:rFonts w:hAnsi="宋体"/>
                      <w:color w:val="auto"/>
                      <w:kern w:val="0"/>
                      <w:szCs w:val="21"/>
                    </w:rPr>
                    <w:t>米范围内有环境空气保护目标</w:t>
                  </w:r>
                  <w:r>
                    <w:rPr>
                      <w:color w:val="auto"/>
                      <w:kern w:val="0"/>
                      <w:szCs w:val="21"/>
                      <w:vertAlign w:val="superscript"/>
                    </w:rPr>
                    <w:t>2</w:t>
                  </w:r>
                  <w:r>
                    <w:rPr>
                      <w:rFonts w:hAnsi="宋体"/>
                      <w:color w:val="auto"/>
                      <w:kern w:val="0"/>
                      <w:szCs w:val="21"/>
                    </w:rPr>
                    <w:t>的建设项目</w:t>
                  </w:r>
                </w:p>
              </w:tc>
              <w:tc>
                <w:tcPr>
                  <w:tcW w:w="1980" w:type="dxa"/>
                  <w:vAlign w:val="center"/>
                </w:tcPr>
                <w:p w14:paraId="012472C6">
                  <w:pPr>
                    <w:autoSpaceDE w:val="0"/>
                    <w:autoSpaceDN w:val="0"/>
                    <w:adjustRightInd w:val="0"/>
                    <w:snapToGrid w:val="0"/>
                    <w:jc w:val="left"/>
                    <w:rPr>
                      <w:color w:val="auto"/>
                      <w:kern w:val="0"/>
                      <w:szCs w:val="21"/>
                    </w:rPr>
                  </w:pPr>
                  <w:r>
                    <w:rPr>
                      <w:rFonts w:hAnsi="宋体"/>
                      <w:color w:val="auto"/>
                      <w:kern w:val="0"/>
                      <w:szCs w:val="21"/>
                    </w:rPr>
                    <w:t>本项目废气不涉及《有毒有害大气污染物名录（</w:t>
                  </w:r>
                  <w:r>
                    <w:rPr>
                      <w:color w:val="auto"/>
                      <w:kern w:val="0"/>
                      <w:szCs w:val="21"/>
                    </w:rPr>
                    <w:t>2018</w:t>
                  </w:r>
                  <w:r>
                    <w:rPr>
                      <w:rFonts w:hAnsi="宋体"/>
                      <w:color w:val="auto"/>
                      <w:kern w:val="0"/>
                      <w:szCs w:val="21"/>
                    </w:rPr>
                    <w:t>年）》的污染物、二噁英、苯并</w:t>
                  </w:r>
                  <w:r>
                    <w:rPr>
                      <w:color w:val="auto"/>
                      <w:kern w:val="0"/>
                      <w:szCs w:val="21"/>
                    </w:rPr>
                    <w:t>[</w:t>
                  </w:r>
                  <w:r>
                    <w:rPr>
                      <w:i/>
                      <w:color w:val="auto"/>
                      <w:kern w:val="0"/>
                      <w:szCs w:val="21"/>
                    </w:rPr>
                    <w:t>a</w:t>
                  </w:r>
                  <w:r>
                    <w:rPr>
                      <w:color w:val="auto"/>
                      <w:kern w:val="0"/>
                      <w:szCs w:val="21"/>
                    </w:rPr>
                    <w:t>]</w:t>
                  </w:r>
                  <w:r>
                    <w:rPr>
                      <w:rFonts w:hAnsi="宋体"/>
                      <w:color w:val="auto"/>
                      <w:kern w:val="0"/>
                      <w:szCs w:val="21"/>
                    </w:rPr>
                    <w:t>芘、氰化物及氯气</w:t>
                  </w:r>
                </w:p>
              </w:tc>
              <w:tc>
                <w:tcPr>
                  <w:tcW w:w="1126" w:type="dxa"/>
                  <w:vAlign w:val="center"/>
                </w:tcPr>
                <w:p w14:paraId="37D0D6FF">
                  <w:pPr>
                    <w:autoSpaceDE w:val="0"/>
                    <w:autoSpaceDN w:val="0"/>
                    <w:adjustRightInd w:val="0"/>
                    <w:snapToGrid w:val="0"/>
                    <w:jc w:val="center"/>
                    <w:rPr>
                      <w:color w:val="auto"/>
                      <w:kern w:val="0"/>
                      <w:szCs w:val="21"/>
                    </w:rPr>
                  </w:pPr>
                  <w:r>
                    <w:rPr>
                      <w:rFonts w:hAnsi="宋体"/>
                      <w:color w:val="auto"/>
                      <w:kern w:val="0"/>
                      <w:szCs w:val="21"/>
                    </w:rPr>
                    <w:t>否</w:t>
                  </w:r>
                </w:p>
              </w:tc>
            </w:tr>
            <w:tr w14:paraId="28B8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14:paraId="3DB7AD11">
                  <w:pPr>
                    <w:autoSpaceDE w:val="0"/>
                    <w:autoSpaceDN w:val="0"/>
                    <w:adjustRightInd w:val="0"/>
                    <w:snapToGrid w:val="0"/>
                    <w:jc w:val="center"/>
                    <w:rPr>
                      <w:color w:val="auto"/>
                      <w:kern w:val="0"/>
                      <w:szCs w:val="21"/>
                    </w:rPr>
                  </w:pPr>
                  <w:r>
                    <w:rPr>
                      <w:rFonts w:hAnsi="宋体"/>
                      <w:color w:val="auto"/>
                      <w:kern w:val="0"/>
                      <w:szCs w:val="21"/>
                    </w:rPr>
                    <w:t>地表水</w:t>
                  </w:r>
                </w:p>
              </w:tc>
              <w:tc>
                <w:tcPr>
                  <w:tcW w:w="2595" w:type="dxa"/>
                  <w:vAlign w:val="center"/>
                </w:tcPr>
                <w:p w14:paraId="5E4101DF">
                  <w:pPr>
                    <w:autoSpaceDE w:val="0"/>
                    <w:autoSpaceDN w:val="0"/>
                    <w:adjustRightInd w:val="0"/>
                    <w:snapToGrid w:val="0"/>
                    <w:jc w:val="left"/>
                    <w:rPr>
                      <w:color w:val="auto"/>
                      <w:kern w:val="0"/>
                      <w:szCs w:val="21"/>
                    </w:rPr>
                  </w:pPr>
                  <w:r>
                    <w:rPr>
                      <w:rFonts w:hAnsi="宋体"/>
                      <w:color w:val="auto"/>
                      <w:kern w:val="0"/>
                      <w:szCs w:val="21"/>
                    </w:rPr>
                    <w:t>新增工业废水直排建设项目（槽罐车外送污水处理厂的除外）；新增废水直排的污水集中处理厂</w:t>
                  </w:r>
                </w:p>
              </w:tc>
              <w:tc>
                <w:tcPr>
                  <w:tcW w:w="1980" w:type="dxa"/>
                  <w:vAlign w:val="center"/>
                </w:tcPr>
                <w:p w14:paraId="20625A1E">
                  <w:pPr>
                    <w:autoSpaceDE w:val="0"/>
                    <w:autoSpaceDN w:val="0"/>
                    <w:adjustRightInd w:val="0"/>
                    <w:snapToGrid w:val="0"/>
                    <w:jc w:val="left"/>
                    <w:rPr>
                      <w:color w:val="auto"/>
                      <w:kern w:val="0"/>
                      <w:szCs w:val="21"/>
                    </w:rPr>
                  </w:pPr>
                  <w:r>
                    <w:rPr>
                      <w:rFonts w:hAnsi="宋体"/>
                      <w:color w:val="auto"/>
                      <w:kern w:val="0"/>
                      <w:szCs w:val="21"/>
                    </w:rPr>
                    <w:t>本项目废水纳管排放</w:t>
                  </w:r>
                </w:p>
              </w:tc>
              <w:tc>
                <w:tcPr>
                  <w:tcW w:w="1126" w:type="dxa"/>
                  <w:vAlign w:val="center"/>
                </w:tcPr>
                <w:p w14:paraId="00C6E9E1">
                  <w:pPr>
                    <w:autoSpaceDE w:val="0"/>
                    <w:autoSpaceDN w:val="0"/>
                    <w:adjustRightInd w:val="0"/>
                    <w:snapToGrid w:val="0"/>
                    <w:jc w:val="center"/>
                    <w:rPr>
                      <w:color w:val="auto"/>
                      <w:kern w:val="0"/>
                      <w:szCs w:val="21"/>
                    </w:rPr>
                  </w:pPr>
                  <w:r>
                    <w:rPr>
                      <w:rFonts w:hAnsi="宋体"/>
                      <w:color w:val="auto"/>
                      <w:kern w:val="0"/>
                      <w:szCs w:val="21"/>
                    </w:rPr>
                    <w:t>否</w:t>
                  </w:r>
                </w:p>
              </w:tc>
            </w:tr>
            <w:tr w14:paraId="0A1D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14:paraId="154DDD52">
                  <w:pPr>
                    <w:autoSpaceDE w:val="0"/>
                    <w:autoSpaceDN w:val="0"/>
                    <w:adjustRightInd w:val="0"/>
                    <w:snapToGrid w:val="0"/>
                    <w:jc w:val="center"/>
                    <w:rPr>
                      <w:color w:val="auto"/>
                      <w:kern w:val="0"/>
                      <w:szCs w:val="21"/>
                    </w:rPr>
                  </w:pPr>
                  <w:r>
                    <w:rPr>
                      <w:rFonts w:hAnsi="宋体"/>
                      <w:color w:val="auto"/>
                      <w:kern w:val="0"/>
                      <w:szCs w:val="21"/>
                    </w:rPr>
                    <w:t>环境风险</w:t>
                  </w:r>
                </w:p>
              </w:tc>
              <w:tc>
                <w:tcPr>
                  <w:tcW w:w="2595" w:type="dxa"/>
                  <w:vAlign w:val="center"/>
                </w:tcPr>
                <w:p w14:paraId="5446846F">
                  <w:pPr>
                    <w:autoSpaceDE w:val="0"/>
                    <w:autoSpaceDN w:val="0"/>
                    <w:adjustRightInd w:val="0"/>
                    <w:snapToGrid w:val="0"/>
                    <w:jc w:val="left"/>
                    <w:rPr>
                      <w:color w:val="auto"/>
                      <w:kern w:val="0"/>
                      <w:szCs w:val="21"/>
                    </w:rPr>
                  </w:pPr>
                  <w:r>
                    <w:rPr>
                      <w:rFonts w:hAnsi="宋体"/>
                      <w:color w:val="auto"/>
                      <w:kern w:val="0"/>
                      <w:szCs w:val="21"/>
                    </w:rPr>
                    <w:t>有毒有害和易燃易爆危险物质存储量超过临界量</w:t>
                  </w:r>
                  <w:r>
                    <w:rPr>
                      <w:color w:val="auto"/>
                      <w:kern w:val="0"/>
                      <w:szCs w:val="21"/>
                      <w:vertAlign w:val="superscript"/>
                    </w:rPr>
                    <w:t>3</w:t>
                  </w:r>
                  <w:r>
                    <w:rPr>
                      <w:rFonts w:hAnsi="宋体"/>
                      <w:color w:val="auto"/>
                      <w:kern w:val="0"/>
                      <w:szCs w:val="21"/>
                    </w:rPr>
                    <w:t>的建设项目</w:t>
                  </w:r>
                </w:p>
              </w:tc>
              <w:tc>
                <w:tcPr>
                  <w:tcW w:w="1980" w:type="dxa"/>
                  <w:vAlign w:val="center"/>
                </w:tcPr>
                <w:p w14:paraId="0B3CF92B">
                  <w:pPr>
                    <w:autoSpaceDE w:val="0"/>
                    <w:autoSpaceDN w:val="0"/>
                    <w:adjustRightInd w:val="0"/>
                    <w:snapToGrid w:val="0"/>
                    <w:jc w:val="left"/>
                    <w:rPr>
                      <w:color w:val="auto"/>
                      <w:kern w:val="0"/>
                      <w:szCs w:val="21"/>
                    </w:rPr>
                  </w:pPr>
                  <w:r>
                    <w:rPr>
                      <w:rFonts w:hAnsi="宋体"/>
                      <w:color w:val="auto"/>
                      <w:kern w:val="0"/>
                      <w:szCs w:val="21"/>
                    </w:rPr>
                    <w:t>本项目危险物质存储量</w:t>
                  </w:r>
                  <w:r>
                    <w:rPr>
                      <w:rFonts w:hint="eastAsia" w:hAnsi="宋体"/>
                      <w:color w:val="auto"/>
                      <w:kern w:val="0"/>
                      <w:szCs w:val="21"/>
                    </w:rPr>
                    <w:t>未</w:t>
                  </w:r>
                  <w:r>
                    <w:rPr>
                      <w:rFonts w:hAnsi="宋体"/>
                      <w:color w:val="auto"/>
                      <w:kern w:val="0"/>
                      <w:szCs w:val="21"/>
                    </w:rPr>
                    <w:t>超过临界量</w:t>
                  </w:r>
                </w:p>
              </w:tc>
              <w:tc>
                <w:tcPr>
                  <w:tcW w:w="1126" w:type="dxa"/>
                  <w:vAlign w:val="center"/>
                </w:tcPr>
                <w:p w14:paraId="08A55323">
                  <w:pPr>
                    <w:autoSpaceDE w:val="0"/>
                    <w:autoSpaceDN w:val="0"/>
                    <w:adjustRightInd w:val="0"/>
                    <w:snapToGrid w:val="0"/>
                    <w:jc w:val="center"/>
                    <w:rPr>
                      <w:color w:val="auto"/>
                      <w:kern w:val="0"/>
                      <w:szCs w:val="21"/>
                    </w:rPr>
                  </w:pPr>
                  <w:r>
                    <w:rPr>
                      <w:rFonts w:hAnsi="宋体"/>
                      <w:color w:val="auto"/>
                      <w:kern w:val="0"/>
                      <w:szCs w:val="21"/>
                    </w:rPr>
                    <w:t>否</w:t>
                  </w:r>
                </w:p>
              </w:tc>
            </w:tr>
            <w:tr w14:paraId="7B87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14:paraId="38BF5ECD">
                  <w:pPr>
                    <w:autoSpaceDE w:val="0"/>
                    <w:autoSpaceDN w:val="0"/>
                    <w:adjustRightInd w:val="0"/>
                    <w:snapToGrid w:val="0"/>
                    <w:jc w:val="center"/>
                    <w:rPr>
                      <w:color w:val="auto"/>
                      <w:kern w:val="0"/>
                      <w:szCs w:val="21"/>
                    </w:rPr>
                  </w:pPr>
                  <w:r>
                    <w:rPr>
                      <w:rFonts w:hAnsi="宋体"/>
                      <w:color w:val="auto"/>
                      <w:kern w:val="0"/>
                      <w:szCs w:val="21"/>
                    </w:rPr>
                    <w:t>生态</w:t>
                  </w:r>
                </w:p>
              </w:tc>
              <w:tc>
                <w:tcPr>
                  <w:tcW w:w="2595" w:type="dxa"/>
                  <w:vAlign w:val="center"/>
                </w:tcPr>
                <w:p w14:paraId="4F1E7523">
                  <w:pPr>
                    <w:autoSpaceDE w:val="0"/>
                    <w:autoSpaceDN w:val="0"/>
                    <w:adjustRightInd w:val="0"/>
                    <w:snapToGrid w:val="0"/>
                    <w:jc w:val="left"/>
                    <w:rPr>
                      <w:color w:val="auto"/>
                      <w:kern w:val="0"/>
                      <w:szCs w:val="21"/>
                    </w:rPr>
                  </w:pPr>
                  <w:r>
                    <w:rPr>
                      <w:rFonts w:hAnsi="宋体"/>
                      <w:color w:val="auto"/>
                      <w:kern w:val="0"/>
                      <w:szCs w:val="21"/>
                    </w:rPr>
                    <w:t>取水口下游</w:t>
                  </w:r>
                  <w:r>
                    <w:rPr>
                      <w:color w:val="auto"/>
                      <w:kern w:val="0"/>
                      <w:szCs w:val="21"/>
                    </w:rPr>
                    <w:t>500</w:t>
                  </w:r>
                  <w:r>
                    <w:rPr>
                      <w:rFonts w:hAnsi="宋体"/>
                      <w:color w:val="auto"/>
                      <w:kern w:val="0"/>
                      <w:szCs w:val="21"/>
                    </w:rPr>
                    <w:t>米范围内有重要水生生物的自然产卵场、索饵场、越冬场和洄游通道的新增河道取水的污染类建设项目</w:t>
                  </w:r>
                </w:p>
              </w:tc>
              <w:tc>
                <w:tcPr>
                  <w:tcW w:w="1980" w:type="dxa"/>
                  <w:vAlign w:val="center"/>
                </w:tcPr>
                <w:p w14:paraId="7317633B">
                  <w:pPr>
                    <w:autoSpaceDE w:val="0"/>
                    <w:autoSpaceDN w:val="0"/>
                    <w:adjustRightInd w:val="0"/>
                    <w:snapToGrid w:val="0"/>
                    <w:jc w:val="left"/>
                    <w:rPr>
                      <w:color w:val="auto"/>
                      <w:kern w:val="0"/>
                      <w:szCs w:val="21"/>
                    </w:rPr>
                  </w:pPr>
                  <w:r>
                    <w:rPr>
                      <w:rFonts w:hAnsi="宋体"/>
                      <w:color w:val="auto"/>
                      <w:kern w:val="0"/>
                      <w:szCs w:val="21"/>
                    </w:rPr>
                    <w:t>本项目未从河道取水，无取水口</w:t>
                  </w:r>
                </w:p>
              </w:tc>
              <w:tc>
                <w:tcPr>
                  <w:tcW w:w="1126" w:type="dxa"/>
                  <w:vAlign w:val="center"/>
                </w:tcPr>
                <w:p w14:paraId="351012BD">
                  <w:pPr>
                    <w:autoSpaceDE w:val="0"/>
                    <w:autoSpaceDN w:val="0"/>
                    <w:adjustRightInd w:val="0"/>
                    <w:snapToGrid w:val="0"/>
                    <w:jc w:val="center"/>
                    <w:rPr>
                      <w:color w:val="auto"/>
                      <w:kern w:val="0"/>
                      <w:szCs w:val="21"/>
                    </w:rPr>
                  </w:pPr>
                  <w:r>
                    <w:rPr>
                      <w:rFonts w:hAnsi="宋体"/>
                      <w:color w:val="auto"/>
                      <w:kern w:val="0"/>
                      <w:szCs w:val="21"/>
                    </w:rPr>
                    <w:t>否</w:t>
                  </w:r>
                </w:p>
              </w:tc>
            </w:tr>
            <w:tr w14:paraId="7CED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vAlign w:val="center"/>
                </w:tcPr>
                <w:p w14:paraId="10892C3D">
                  <w:pPr>
                    <w:autoSpaceDE w:val="0"/>
                    <w:autoSpaceDN w:val="0"/>
                    <w:adjustRightInd w:val="0"/>
                    <w:snapToGrid w:val="0"/>
                    <w:jc w:val="center"/>
                    <w:rPr>
                      <w:color w:val="auto"/>
                      <w:kern w:val="0"/>
                      <w:szCs w:val="21"/>
                    </w:rPr>
                  </w:pPr>
                  <w:r>
                    <w:rPr>
                      <w:rFonts w:hAnsi="宋体"/>
                      <w:color w:val="auto"/>
                      <w:kern w:val="0"/>
                      <w:szCs w:val="21"/>
                    </w:rPr>
                    <w:t>海洋</w:t>
                  </w:r>
                </w:p>
              </w:tc>
              <w:tc>
                <w:tcPr>
                  <w:tcW w:w="2595" w:type="dxa"/>
                  <w:vAlign w:val="center"/>
                </w:tcPr>
                <w:p w14:paraId="5DE89EF0">
                  <w:pPr>
                    <w:autoSpaceDE w:val="0"/>
                    <w:autoSpaceDN w:val="0"/>
                    <w:adjustRightInd w:val="0"/>
                    <w:snapToGrid w:val="0"/>
                    <w:jc w:val="left"/>
                    <w:rPr>
                      <w:color w:val="auto"/>
                      <w:kern w:val="0"/>
                      <w:szCs w:val="21"/>
                    </w:rPr>
                  </w:pPr>
                  <w:r>
                    <w:rPr>
                      <w:rFonts w:hAnsi="宋体"/>
                      <w:color w:val="auto"/>
                      <w:kern w:val="0"/>
                      <w:szCs w:val="21"/>
                    </w:rPr>
                    <w:t>直接向海排放污染物的海洋工程建设项目</w:t>
                  </w:r>
                </w:p>
              </w:tc>
              <w:tc>
                <w:tcPr>
                  <w:tcW w:w="1980" w:type="dxa"/>
                  <w:vAlign w:val="center"/>
                </w:tcPr>
                <w:p w14:paraId="5FB36C10">
                  <w:pPr>
                    <w:autoSpaceDE w:val="0"/>
                    <w:autoSpaceDN w:val="0"/>
                    <w:adjustRightInd w:val="0"/>
                    <w:snapToGrid w:val="0"/>
                    <w:jc w:val="left"/>
                    <w:rPr>
                      <w:color w:val="auto"/>
                      <w:kern w:val="0"/>
                      <w:szCs w:val="21"/>
                    </w:rPr>
                  </w:pPr>
                  <w:r>
                    <w:rPr>
                      <w:rFonts w:hAnsi="宋体"/>
                      <w:color w:val="auto"/>
                      <w:kern w:val="0"/>
                      <w:szCs w:val="21"/>
                    </w:rPr>
                    <w:t>本项目非海洋工程建设项目</w:t>
                  </w:r>
                </w:p>
              </w:tc>
              <w:tc>
                <w:tcPr>
                  <w:tcW w:w="1126" w:type="dxa"/>
                  <w:vAlign w:val="center"/>
                </w:tcPr>
                <w:p w14:paraId="730326CA">
                  <w:pPr>
                    <w:autoSpaceDE w:val="0"/>
                    <w:autoSpaceDN w:val="0"/>
                    <w:adjustRightInd w:val="0"/>
                    <w:snapToGrid w:val="0"/>
                    <w:jc w:val="center"/>
                    <w:rPr>
                      <w:color w:val="auto"/>
                      <w:kern w:val="0"/>
                      <w:szCs w:val="21"/>
                    </w:rPr>
                  </w:pPr>
                  <w:r>
                    <w:rPr>
                      <w:rFonts w:hAnsi="宋体"/>
                      <w:color w:val="auto"/>
                      <w:kern w:val="0"/>
                      <w:szCs w:val="21"/>
                    </w:rPr>
                    <w:t>否</w:t>
                  </w:r>
                </w:p>
              </w:tc>
            </w:tr>
          </w:tbl>
          <w:p w14:paraId="25A0FC5F">
            <w:pPr>
              <w:autoSpaceDE w:val="0"/>
              <w:autoSpaceDN w:val="0"/>
              <w:adjustRightInd w:val="0"/>
              <w:snapToGrid w:val="0"/>
              <w:jc w:val="left"/>
              <w:rPr>
                <w:color w:val="auto"/>
                <w:kern w:val="0"/>
                <w:szCs w:val="21"/>
              </w:rPr>
            </w:pPr>
            <w:r>
              <w:rPr>
                <w:rFonts w:hAnsi="宋体"/>
                <w:color w:val="auto"/>
                <w:kern w:val="0"/>
                <w:szCs w:val="21"/>
              </w:rPr>
              <w:t>注：</w:t>
            </w:r>
            <w:r>
              <w:rPr>
                <w:color w:val="auto"/>
                <w:kern w:val="0"/>
                <w:szCs w:val="21"/>
              </w:rPr>
              <w:t>1.</w:t>
            </w:r>
            <w:r>
              <w:rPr>
                <w:rFonts w:hAnsi="宋体"/>
                <w:color w:val="auto"/>
                <w:kern w:val="0"/>
                <w:szCs w:val="21"/>
              </w:rPr>
              <w:t>废气中有毒有害污染物指纳入《有毒有害大气污染物名录》的污染物（不包括无排放标准的污染物）。</w:t>
            </w:r>
          </w:p>
          <w:p w14:paraId="144BC7D4">
            <w:pPr>
              <w:numPr>
                <w:ilvl w:val="0"/>
                <w:numId w:val="4"/>
              </w:numPr>
              <w:autoSpaceDE w:val="0"/>
              <w:autoSpaceDN w:val="0"/>
              <w:adjustRightInd w:val="0"/>
              <w:snapToGrid w:val="0"/>
              <w:jc w:val="left"/>
              <w:rPr>
                <w:color w:val="auto"/>
                <w:kern w:val="0"/>
                <w:szCs w:val="21"/>
              </w:rPr>
            </w:pPr>
            <w:r>
              <w:rPr>
                <w:rFonts w:hAnsi="宋体"/>
                <w:color w:val="auto"/>
                <w:kern w:val="0"/>
                <w:szCs w:val="21"/>
              </w:rPr>
              <w:t>环境空气保护目标指自然保护区、风景名胜区、居住区、文化区和农村地区中人群较集中的区域。</w:t>
            </w:r>
          </w:p>
          <w:p w14:paraId="7F8A0E1D">
            <w:pPr>
              <w:autoSpaceDE w:val="0"/>
              <w:autoSpaceDN w:val="0"/>
              <w:adjustRightInd w:val="0"/>
              <w:snapToGrid w:val="0"/>
              <w:jc w:val="left"/>
              <w:rPr>
                <w:color w:val="auto"/>
                <w:kern w:val="0"/>
                <w:sz w:val="24"/>
              </w:rPr>
            </w:pPr>
            <w:r>
              <w:rPr>
                <w:rFonts w:hint="eastAsia" w:hAnsi="宋体"/>
                <w:color w:val="auto"/>
                <w:kern w:val="0"/>
                <w:szCs w:val="21"/>
              </w:rPr>
              <w:t xml:space="preserve">3. </w:t>
            </w:r>
            <w:r>
              <w:rPr>
                <w:rFonts w:hAnsi="宋体"/>
                <w:color w:val="auto"/>
                <w:kern w:val="0"/>
                <w:szCs w:val="21"/>
              </w:rPr>
              <w:t>临界量及其计算方法可参考《建设项目环境风险评价技术导则》（</w:t>
            </w:r>
            <w:r>
              <w:rPr>
                <w:color w:val="auto"/>
                <w:kern w:val="0"/>
                <w:szCs w:val="21"/>
              </w:rPr>
              <w:t>HJ 169</w:t>
            </w:r>
            <w:r>
              <w:rPr>
                <w:rFonts w:hAnsi="宋体"/>
                <w:color w:val="auto"/>
                <w:kern w:val="0"/>
                <w:szCs w:val="21"/>
              </w:rPr>
              <w:t>）附录</w:t>
            </w:r>
            <w:r>
              <w:rPr>
                <w:color w:val="auto"/>
                <w:kern w:val="0"/>
                <w:szCs w:val="21"/>
              </w:rPr>
              <w:t xml:space="preserve"> B</w:t>
            </w:r>
            <w:r>
              <w:rPr>
                <w:rFonts w:hAnsi="宋体"/>
                <w:color w:val="auto"/>
                <w:kern w:val="0"/>
                <w:szCs w:val="21"/>
              </w:rPr>
              <w:t>、附录</w:t>
            </w:r>
            <w:r>
              <w:rPr>
                <w:color w:val="auto"/>
                <w:kern w:val="0"/>
                <w:szCs w:val="21"/>
              </w:rPr>
              <w:t xml:space="preserve"> C</w:t>
            </w:r>
            <w:r>
              <w:rPr>
                <w:rFonts w:hAnsi="宋体"/>
                <w:color w:val="auto"/>
                <w:kern w:val="0"/>
                <w:szCs w:val="21"/>
              </w:rPr>
              <w:t>。</w:t>
            </w:r>
          </w:p>
        </w:tc>
      </w:tr>
      <w:tr w14:paraId="7038D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43" w:type="dxa"/>
            <w:vAlign w:val="center"/>
          </w:tcPr>
          <w:p w14:paraId="5396E319">
            <w:pPr>
              <w:autoSpaceDE w:val="0"/>
              <w:autoSpaceDN w:val="0"/>
              <w:adjustRightInd w:val="0"/>
              <w:snapToGrid w:val="0"/>
              <w:jc w:val="center"/>
              <w:rPr>
                <w:color w:val="auto"/>
                <w:kern w:val="0"/>
                <w:sz w:val="24"/>
              </w:rPr>
            </w:pPr>
            <w:r>
              <w:rPr>
                <w:rFonts w:hAnsi="宋体"/>
                <w:color w:val="auto"/>
                <w:kern w:val="0"/>
                <w:sz w:val="24"/>
              </w:rPr>
              <w:t>规划情况</w:t>
            </w:r>
          </w:p>
        </w:tc>
        <w:tc>
          <w:tcPr>
            <w:tcW w:w="7228" w:type="dxa"/>
            <w:gridSpan w:val="3"/>
            <w:vAlign w:val="center"/>
          </w:tcPr>
          <w:p w14:paraId="08732D22">
            <w:pPr>
              <w:widowControl/>
              <w:spacing w:line="480" w:lineRule="exact"/>
              <w:jc w:val="left"/>
              <w:rPr>
                <w:color w:val="auto"/>
                <w:sz w:val="24"/>
              </w:rPr>
            </w:pPr>
            <w:r>
              <w:rPr>
                <w:color w:val="auto"/>
                <w:kern w:val="0"/>
                <w:sz w:val="24"/>
              </w:rPr>
              <w:t>规划名称：</w:t>
            </w:r>
            <w:r>
              <w:rPr>
                <w:rFonts w:hint="eastAsia"/>
                <w:color w:val="auto"/>
                <w:kern w:val="0"/>
                <w:sz w:val="24"/>
              </w:rPr>
              <w:t>《</w:t>
            </w:r>
            <w:r>
              <w:rPr>
                <w:color w:val="auto"/>
                <w:kern w:val="0"/>
                <w:sz w:val="24"/>
              </w:rPr>
              <w:t>安吉县域总体规划研究（2012-2030）</w:t>
            </w:r>
            <w:r>
              <w:rPr>
                <w:rFonts w:hint="eastAsia"/>
                <w:color w:val="auto"/>
                <w:kern w:val="0"/>
                <w:sz w:val="24"/>
              </w:rPr>
              <w:t>》</w:t>
            </w:r>
          </w:p>
          <w:p w14:paraId="50C01ACC">
            <w:pPr>
              <w:pStyle w:val="2"/>
              <w:spacing w:line="440" w:lineRule="exact"/>
              <w:ind w:firstLine="0" w:firstLineChars="0"/>
              <w:rPr>
                <w:b/>
                <w:color w:val="auto"/>
                <w:szCs w:val="21"/>
              </w:rPr>
            </w:pPr>
            <w:r>
              <w:rPr>
                <w:color w:val="auto"/>
                <w:kern w:val="0"/>
                <w:sz w:val="24"/>
              </w:rPr>
              <w:t>审批机关：安吉县人民政府</w:t>
            </w:r>
          </w:p>
        </w:tc>
      </w:tr>
      <w:tr w14:paraId="6D13A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43" w:type="dxa"/>
            <w:vAlign w:val="center"/>
          </w:tcPr>
          <w:p w14:paraId="1B1E0590">
            <w:pPr>
              <w:adjustRightInd w:val="0"/>
              <w:snapToGrid w:val="0"/>
              <w:jc w:val="center"/>
              <w:rPr>
                <w:color w:val="auto"/>
                <w:kern w:val="0"/>
                <w:sz w:val="24"/>
              </w:rPr>
            </w:pPr>
            <w:r>
              <w:rPr>
                <w:rFonts w:hAnsi="宋体"/>
                <w:color w:val="auto"/>
                <w:sz w:val="24"/>
              </w:rPr>
              <w:t>规划环境影响评价情况</w:t>
            </w:r>
          </w:p>
        </w:tc>
        <w:tc>
          <w:tcPr>
            <w:tcW w:w="7228" w:type="dxa"/>
            <w:gridSpan w:val="3"/>
            <w:vAlign w:val="center"/>
          </w:tcPr>
          <w:p w14:paraId="18215BBE">
            <w:pPr>
              <w:pStyle w:val="20"/>
              <w:rPr>
                <w:rFonts w:hAnsi="宋体" w:eastAsia="宋体"/>
                <w:color w:val="auto"/>
              </w:rPr>
            </w:pPr>
            <w:r>
              <w:rPr>
                <w:rFonts w:hint="eastAsia" w:eastAsia="宋体"/>
                <w:bCs w:val="0"/>
                <w:color w:val="auto"/>
                <w:kern w:val="0"/>
              </w:rPr>
              <w:t>规划环境影响评价情况：无</w:t>
            </w:r>
          </w:p>
        </w:tc>
      </w:tr>
      <w:tr w14:paraId="6F105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43" w:type="dxa"/>
            <w:vAlign w:val="center"/>
          </w:tcPr>
          <w:p w14:paraId="2B1A8360">
            <w:pPr>
              <w:autoSpaceDE w:val="0"/>
              <w:autoSpaceDN w:val="0"/>
              <w:adjustRightInd w:val="0"/>
              <w:snapToGrid w:val="0"/>
              <w:jc w:val="center"/>
              <w:rPr>
                <w:color w:val="auto"/>
                <w:kern w:val="0"/>
                <w:szCs w:val="21"/>
              </w:rPr>
            </w:pPr>
            <w:r>
              <w:rPr>
                <w:rFonts w:hAnsi="宋体"/>
                <w:color w:val="auto"/>
                <w:kern w:val="0"/>
                <w:sz w:val="24"/>
              </w:rPr>
              <w:t>规划及规划环境影响评价符合性分析</w:t>
            </w:r>
          </w:p>
        </w:tc>
        <w:tc>
          <w:tcPr>
            <w:tcW w:w="7228" w:type="dxa"/>
            <w:gridSpan w:val="3"/>
            <w:vAlign w:val="center"/>
          </w:tcPr>
          <w:p w14:paraId="70DF18FC">
            <w:pPr>
              <w:overflowPunct w:val="0"/>
              <w:autoSpaceDE w:val="0"/>
              <w:autoSpaceDN w:val="0"/>
              <w:spacing w:line="440" w:lineRule="exact"/>
              <w:ind w:right="105" w:rightChars="50"/>
              <w:jc w:val="left"/>
              <w:rPr>
                <w:color w:val="auto"/>
                <w:sz w:val="24"/>
              </w:rPr>
            </w:pPr>
            <w:r>
              <w:rPr>
                <w:rFonts w:hint="eastAsia"/>
                <w:b/>
                <w:snapToGrid w:val="0"/>
                <w:color w:val="auto"/>
                <w:kern w:val="0"/>
                <w:sz w:val="24"/>
              </w:rPr>
              <w:t>1.1</w:t>
            </w:r>
            <w:r>
              <w:rPr>
                <w:b/>
                <w:bCs/>
                <w:color w:val="auto"/>
                <w:kern w:val="0"/>
                <w:sz w:val="24"/>
              </w:rPr>
              <w:t>安吉县域总体规划研究（2012-2030）符合性分析</w:t>
            </w:r>
            <w:r>
              <w:rPr>
                <w:rFonts w:hint="eastAsia"/>
                <w:b/>
                <w:bCs/>
                <w:color w:val="auto"/>
                <w:kern w:val="0"/>
                <w:sz w:val="24"/>
              </w:rPr>
              <w:t>：</w:t>
            </w:r>
          </w:p>
          <w:p w14:paraId="032EBDD6">
            <w:pPr>
              <w:widowControl/>
              <w:spacing w:line="440" w:lineRule="exact"/>
              <w:jc w:val="left"/>
              <w:rPr>
                <w:b/>
                <w:color w:val="auto"/>
                <w:sz w:val="24"/>
              </w:rPr>
            </w:pPr>
            <w:r>
              <w:rPr>
                <w:b/>
                <w:color w:val="auto"/>
                <w:kern w:val="0"/>
                <w:sz w:val="24"/>
              </w:rPr>
              <w:t>1.</w:t>
            </w:r>
            <w:r>
              <w:rPr>
                <w:rFonts w:hint="eastAsia"/>
                <w:b/>
                <w:color w:val="auto"/>
                <w:kern w:val="0"/>
                <w:sz w:val="24"/>
              </w:rPr>
              <w:t>1.1</w:t>
            </w:r>
            <w:r>
              <w:rPr>
                <w:b/>
                <w:color w:val="auto"/>
                <w:kern w:val="0"/>
                <w:sz w:val="24"/>
              </w:rPr>
              <w:t>规划期限</w:t>
            </w:r>
          </w:p>
          <w:p w14:paraId="7E00F530">
            <w:pPr>
              <w:widowControl/>
              <w:spacing w:line="440" w:lineRule="exact"/>
              <w:ind w:firstLine="480" w:firstLineChars="200"/>
              <w:jc w:val="left"/>
              <w:rPr>
                <w:color w:val="auto"/>
                <w:sz w:val="24"/>
              </w:rPr>
            </w:pPr>
            <w:r>
              <w:rPr>
                <w:color w:val="auto"/>
                <w:kern w:val="0"/>
                <w:sz w:val="24"/>
              </w:rPr>
              <w:t>2012~2030年。</w:t>
            </w:r>
          </w:p>
          <w:p w14:paraId="74B47402">
            <w:pPr>
              <w:widowControl/>
              <w:spacing w:line="440" w:lineRule="exact"/>
              <w:jc w:val="left"/>
              <w:rPr>
                <w:b/>
                <w:color w:val="auto"/>
                <w:sz w:val="24"/>
              </w:rPr>
            </w:pPr>
            <w:r>
              <w:rPr>
                <w:rFonts w:hint="eastAsia"/>
                <w:b/>
                <w:color w:val="auto"/>
                <w:kern w:val="0"/>
                <w:sz w:val="24"/>
              </w:rPr>
              <w:t>1.1.2</w:t>
            </w:r>
            <w:r>
              <w:rPr>
                <w:b/>
                <w:color w:val="auto"/>
                <w:kern w:val="0"/>
                <w:sz w:val="24"/>
              </w:rPr>
              <w:t>规划区范围</w:t>
            </w:r>
          </w:p>
          <w:p w14:paraId="16168489">
            <w:pPr>
              <w:widowControl/>
              <w:spacing w:line="440" w:lineRule="exact"/>
              <w:ind w:firstLine="480" w:firstLineChars="200"/>
              <w:jc w:val="left"/>
              <w:rPr>
                <w:color w:val="auto"/>
                <w:sz w:val="24"/>
              </w:rPr>
            </w:pPr>
            <w:r>
              <w:rPr>
                <w:color w:val="auto"/>
                <w:kern w:val="0"/>
                <w:sz w:val="24"/>
              </w:rPr>
              <w:t>县域层面的规划范围是整个县域行政区。</w:t>
            </w:r>
          </w:p>
          <w:p w14:paraId="1D2F0267">
            <w:pPr>
              <w:widowControl/>
              <w:spacing w:line="440" w:lineRule="exact"/>
              <w:jc w:val="left"/>
              <w:rPr>
                <w:b/>
                <w:color w:val="auto"/>
                <w:sz w:val="24"/>
              </w:rPr>
            </w:pPr>
            <w:r>
              <w:rPr>
                <w:rFonts w:hint="eastAsia"/>
                <w:b/>
                <w:color w:val="auto"/>
                <w:kern w:val="0"/>
                <w:sz w:val="24"/>
              </w:rPr>
              <w:t>1.1.3</w:t>
            </w:r>
            <w:r>
              <w:rPr>
                <w:b/>
                <w:color w:val="auto"/>
                <w:kern w:val="0"/>
                <w:sz w:val="24"/>
              </w:rPr>
              <w:t>发展定位</w:t>
            </w:r>
          </w:p>
          <w:p w14:paraId="20C70513">
            <w:pPr>
              <w:widowControl/>
              <w:spacing w:line="440" w:lineRule="exact"/>
              <w:ind w:firstLine="480" w:firstLineChars="200"/>
              <w:jc w:val="left"/>
              <w:rPr>
                <w:color w:val="auto"/>
                <w:sz w:val="24"/>
              </w:rPr>
            </w:pPr>
            <w:r>
              <w:rPr>
                <w:color w:val="auto"/>
                <w:kern w:val="0"/>
                <w:sz w:val="24"/>
              </w:rPr>
              <w:t>定位为：中国以竹文化为特色的生态休闲目的地，长三角以生态为特色的创新创业示范区。具体引导三大职能：全国首选乡村生态旅游目的地、长三角生态型先进制造业集聚示范区、杭州都市区居住、休闲、产业功能承接地。</w:t>
            </w:r>
          </w:p>
          <w:p w14:paraId="43E145DA">
            <w:pPr>
              <w:widowControl/>
              <w:spacing w:line="440" w:lineRule="exact"/>
              <w:jc w:val="left"/>
              <w:rPr>
                <w:b/>
                <w:color w:val="auto"/>
                <w:sz w:val="24"/>
              </w:rPr>
            </w:pPr>
            <w:r>
              <w:rPr>
                <w:rFonts w:hint="eastAsia"/>
                <w:b/>
                <w:color w:val="auto"/>
                <w:kern w:val="0"/>
                <w:sz w:val="24"/>
              </w:rPr>
              <w:t>1.1.4</w:t>
            </w:r>
            <w:r>
              <w:rPr>
                <w:b/>
                <w:color w:val="auto"/>
                <w:kern w:val="0"/>
                <w:sz w:val="24"/>
              </w:rPr>
              <w:t>工业布局引导</w:t>
            </w:r>
          </w:p>
          <w:p w14:paraId="608163EC">
            <w:pPr>
              <w:widowControl/>
              <w:spacing w:line="440" w:lineRule="exact"/>
              <w:ind w:firstLine="480" w:firstLineChars="200"/>
              <w:jc w:val="left"/>
              <w:rPr>
                <w:color w:val="auto"/>
                <w:sz w:val="24"/>
              </w:rPr>
            </w:pPr>
            <w:r>
              <w:rPr>
                <w:color w:val="auto"/>
                <w:kern w:val="0"/>
                <w:sz w:val="24"/>
              </w:rPr>
              <w:t>工业空间主要为“金三角”区域，规划重点淘汰落后产能，整合产业空间，搬迁城区、镇区内部零散工业，向工业园区集中，形成“两区、七园、多点”的空间布局结构。</w:t>
            </w:r>
          </w:p>
          <w:p w14:paraId="1DFF6645">
            <w:pPr>
              <w:widowControl/>
              <w:spacing w:line="440" w:lineRule="exact"/>
              <w:ind w:firstLine="480" w:firstLineChars="200"/>
              <w:jc w:val="left"/>
              <w:rPr>
                <w:color w:val="auto"/>
                <w:sz w:val="24"/>
              </w:rPr>
            </w:pPr>
            <w:r>
              <w:rPr>
                <w:rFonts w:hint="eastAsia"/>
                <w:color w:val="auto"/>
                <w:kern w:val="0"/>
                <w:sz w:val="24"/>
              </w:rPr>
              <w:t>（1）</w:t>
            </w:r>
            <w:r>
              <w:rPr>
                <w:color w:val="auto"/>
                <w:kern w:val="0"/>
                <w:sz w:val="24"/>
              </w:rPr>
              <w:t>两区：一是递孝同城战略思路下，整合开发区、孝丰竹产业园区形成的安吉经济开发区，重点在提升椅业、竹业，壮大机械、化工、医药等新兴产业；二是湖州省际产业集聚区天子湖、梅溪片区，依托生态优势和交通优势，承接发展以装备制造业、新材料、纺织业、电子信息制造业为主的先进制造业，并加强物流、研发等生产服务配套。</w:t>
            </w:r>
          </w:p>
          <w:p w14:paraId="5DA23255">
            <w:pPr>
              <w:widowControl/>
              <w:spacing w:line="440" w:lineRule="exact"/>
              <w:ind w:firstLine="480" w:firstLineChars="200"/>
              <w:jc w:val="left"/>
              <w:rPr>
                <w:color w:val="auto"/>
                <w:sz w:val="24"/>
              </w:rPr>
            </w:pPr>
            <w:r>
              <w:rPr>
                <w:rFonts w:hint="eastAsia"/>
                <w:color w:val="auto"/>
                <w:kern w:val="0"/>
                <w:sz w:val="24"/>
              </w:rPr>
              <w:t>（2）</w:t>
            </w:r>
            <w:r>
              <w:rPr>
                <w:color w:val="auto"/>
                <w:kern w:val="0"/>
                <w:sz w:val="24"/>
              </w:rPr>
              <w:t>七园：分别指以椅业、竹业、绿色食品、特色机电、健康医药、节能环保为主的城北工业园、阳光工业园、康山工业园、塘浦工业园，以竹产品、竹工机械为主的孝丰竹产业园，以机械装（设）备、膨润土精加工、电子信息、新型纺织为主的天子湖工业园，以五金装备制造、新材料、新型化工为主的梅溪临港工业园。</w:t>
            </w:r>
          </w:p>
          <w:p w14:paraId="492B68C0">
            <w:pPr>
              <w:widowControl/>
              <w:spacing w:line="440" w:lineRule="exact"/>
              <w:ind w:firstLine="480" w:firstLineChars="200"/>
              <w:jc w:val="left"/>
              <w:rPr>
                <w:color w:val="auto"/>
                <w:sz w:val="24"/>
              </w:rPr>
            </w:pPr>
            <w:r>
              <w:rPr>
                <w:rFonts w:hint="eastAsia"/>
                <w:color w:val="auto"/>
                <w:kern w:val="0"/>
                <w:sz w:val="24"/>
              </w:rPr>
              <w:t>（3）</w:t>
            </w:r>
            <w:r>
              <w:rPr>
                <w:color w:val="auto"/>
                <w:kern w:val="0"/>
                <w:sz w:val="24"/>
              </w:rPr>
              <w:t>多点：有一定加工业基础和土地空间的乡镇，如溪龙、天荒坪、报福、杭垓等，保留现有工业集聚点，形成乡镇特色手工业基地，主要发展竹加工、椅业零部件加工、特色旅游工艺品加工等传统工业，解决集聚人口的就业问题。</w:t>
            </w:r>
          </w:p>
          <w:p w14:paraId="45CE60B6">
            <w:pPr>
              <w:widowControl/>
              <w:spacing w:line="440" w:lineRule="exact"/>
              <w:jc w:val="left"/>
              <w:rPr>
                <w:b/>
                <w:color w:val="auto"/>
                <w:sz w:val="24"/>
              </w:rPr>
            </w:pPr>
            <w:r>
              <w:rPr>
                <w:rFonts w:hint="eastAsia"/>
                <w:b/>
                <w:color w:val="auto"/>
                <w:kern w:val="0"/>
                <w:sz w:val="24"/>
              </w:rPr>
              <w:t>1.1.5</w:t>
            </w:r>
            <w:r>
              <w:rPr>
                <w:b/>
                <w:color w:val="auto"/>
                <w:kern w:val="0"/>
                <w:sz w:val="24"/>
              </w:rPr>
              <w:t>符合性分析</w:t>
            </w:r>
          </w:p>
          <w:p w14:paraId="3940C3CF">
            <w:pPr>
              <w:spacing w:line="440" w:lineRule="exact"/>
              <w:ind w:firstLine="480" w:firstLineChars="200"/>
              <w:rPr>
                <w:color w:val="auto"/>
                <w:kern w:val="0"/>
                <w:sz w:val="24"/>
              </w:rPr>
            </w:pPr>
            <w:r>
              <w:rPr>
                <w:color w:val="auto"/>
                <w:kern w:val="0"/>
                <w:sz w:val="24"/>
              </w:rPr>
              <w:t>本项目位于</w:t>
            </w:r>
            <w:r>
              <w:rPr>
                <w:rFonts w:hint="eastAsia" w:cs="宋体"/>
                <w:color w:val="auto"/>
                <w:sz w:val="24"/>
              </w:rPr>
              <w:t>安吉县天荒坪镇白水湾工业园</w:t>
            </w:r>
            <w:r>
              <w:rPr>
                <w:color w:val="auto"/>
                <w:kern w:val="0"/>
                <w:sz w:val="24"/>
              </w:rPr>
              <w:t>，属于“两区、七园、多点”中“多点”类，项目周围多为工业企业，且根据土</w:t>
            </w:r>
            <w:r>
              <w:rPr>
                <w:rFonts w:hint="eastAsia" w:ascii="宋体" w:hAnsi="宋体" w:cs="宋体"/>
                <w:color w:val="auto"/>
                <w:kern w:val="0"/>
                <w:sz w:val="24"/>
              </w:rPr>
              <w:t>地证，所在地用地性质为工业用地，符合《安吉县域总体规划》。</w:t>
            </w:r>
          </w:p>
          <w:p w14:paraId="04101944">
            <w:pPr>
              <w:pStyle w:val="93"/>
              <w:ind w:firstLine="0" w:firstLineChars="0"/>
              <w:rPr>
                <w:rFonts w:eastAsia="宋体"/>
                <w:b/>
                <w:color w:val="auto"/>
              </w:rPr>
            </w:pPr>
          </w:p>
          <w:p w14:paraId="397E750E">
            <w:pPr>
              <w:pStyle w:val="93"/>
              <w:ind w:firstLine="0" w:firstLineChars="0"/>
              <w:rPr>
                <w:rFonts w:eastAsia="宋体"/>
                <w:b/>
                <w:color w:val="auto"/>
              </w:rPr>
            </w:pPr>
          </w:p>
          <w:p w14:paraId="0AABED04">
            <w:pPr>
              <w:pStyle w:val="93"/>
              <w:ind w:firstLine="0" w:firstLineChars="0"/>
              <w:rPr>
                <w:rFonts w:eastAsia="宋体"/>
                <w:b/>
                <w:color w:val="auto"/>
              </w:rPr>
            </w:pPr>
            <w:r>
              <w:rPr>
                <w:rFonts w:eastAsia="宋体"/>
                <w:b/>
                <w:color w:val="auto"/>
              </w:rPr>
              <w:t>1.</w:t>
            </w:r>
            <w:r>
              <w:rPr>
                <w:rFonts w:hint="eastAsia" w:eastAsia="宋体"/>
                <w:b/>
                <w:color w:val="auto"/>
              </w:rPr>
              <w:t>2</w:t>
            </w:r>
            <w:r>
              <w:rPr>
                <w:rFonts w:eastAsia="宋体"/>
                <w:b/>
                <w:color w:val="auto"/>
              </w:rPr>
              <w:t xml:space="preserve"> </w:t>
            </w:r>
            <w:r>
              <w:rPr>
                <w:rFonts w:hAnsi="宋体" w:eastAsia="宋体"/>
                <w:b/>
                <w:color w:val="auto"/>
              </w:rPr>
              <w:t>项目与其他符合性分析</w:t>
            </w:r>
          </w:p>
          <w:p w14:paraId="545E62DD">
            <w:pPr>
              <w:pStyle w:val="93"/>
              <w:ind w:firstLine="0" w:firstLineChars="0"/>
              <w:rPr>
                <w:rFonts w:hAnsi="宋体" w:eastAsia="宋体"/>
                <w:b/>
                <w:color w:val="auto"/>
              </w:rPr>
            </w:pPr>
            <w:r>
              <w:rPr>
                <w:rFonts w:hint="eastAsia" w:hAnsi="宋体" w:eastAsia="宋体"/>
                <w:b/>
                <w:color w:val="auto"/>
              </w:rPr>
              <w:t>1.2.1</w:t>
            </w:r>
            <w:r>
              <w:rPr>
                <w:rFonts w:hAnsi="宋体" w:eastAsia="宋体"/>
                <w:b/>
                <w:color w:val="auto"/>
              </w:rPr>
              <w:t>三线一单”符合性分析</w:t>
            </w:r>
          </w:p>
          <w:p w14:paraId="0B312255">
            <w:pPr>
              <w:spacing w:line="440" w:lineRule="exact"/>
              <w:ind w:firstLine="360" w:firstLineChars="150"/>
              <w:rPr>
                <w:color w:val="auto"/>
                <w:sz w:val="24"/>
              </w:rPr>
            </w:pPr>
            <w:r>
              <w:rPr>
                <w:color w:val="auto"/>
                <w:kern w:val="0"/>
                <w:sz w:val="24"/>
              </w:rPr>
              <w:t>（1）生态保护红线</w:t>
            </w:r>
          </w:p>
          <w:p w14:paraId="71CC0824">
            <w:pPr>
              <w:spacing w:line="440" w:lineRule="exact"/>
              <w:ind w:firstLine="480" w:firstLineChars="200"/>
              <w:rPr>
                <w:color w:val="auto"/>
                <w:sz w:val="24"/>
              </w:rPr>
            </w:pPr>
            <w:r>
              <w:rPr>
                <w:color w:val="auto"/>
                <w:sz w:val="24"/>
              </w:rPr>
              <w:t>根据《安吉县生态保护红线划分方案》以及现场勘查，</w:t>
            </w:r>
            <w:r>
              <w:rPr>
                <w:bCs/>
                <w:color w:val="auto"/>
                <w:sz w:val="24"/>
              </w:rPr>
              <w:t>项目周边无水源保护区、自然保护区、风景名胜区等生态红线区，</w:t>
            </w:r>
            <w:r>
              <w:rPr>
                <w:color w:val="auto"/>
                <w:sz w:val="24"/>
              </w:rPr>
              <w:t>不在生态保护红线范围内，因此，项目选址符合生态保护红线要求。</w:t>
            </w:r>
          </w:p>
          <w:p w14:paraId="742EABA0">
            <w:pPr>
              <w:spacing w:line="440" w:lineRule="exact"/>
              <w:ind w:firstLine="360" w:firstLineChars="150"/>
              <w:rPr>
                <w:color w:val="auto"/>
                <w:sz w:val="24"/>
              </w:rPr>
            </w:pPr>
            <w:r>
              <w:rPr>
                <w:color w:val="auto"/>
                <w:kern w:val="0"/>
                <w:sz w:val="24"/>
              </w:rPr>
              <w:t>（2）环境质量底线</w:t>
            </w:r>
          </w:p>
          <w:p w14:paraId="5892972D">
            <w:pPr>
              <w:spacing w:line="440" w:lineRule="exact"/>
              <w:ind w:firstLine="480" w:firstLineChars="200"/>
              <w:rPr>
                <w:color w:val="auto"/>
                <w:sz w:val="24"/>
              </w:rPr>
            </w:pPr>
            <w:r>
              <w:rPr>
                <w:color w:val="auto"/>
                <w:sz w:val="24"/>
              </w:rPr>
              <w:t>根据项目周边环境质量现状调查，</w:t>
            </w:r>
            <w:r>
              <w:rPr>
                <w:rFonts w:hint="eastAsia"/>
                <w:color w:val="auto"/>
                <w:sz w:val="24"/>
              </w:rPr>
              <w:t>项目所在区域2022年度 SO</w:t>
            </w:r>
            <w:r>
              <w:rPr>
                <w:rFonts w:hint="eastAsia"/>
                <w:color w:val="auto"/>
                <w:sz w:val="24"/>
                <w:vertAlign w:val="subscript"/>
              </w:rPr>
              <w:t>2</w:t>
            </w:r>
            <w:r>
              <w:rPr>
                <w:rFonts w:hint="eastAsia"/>
                <w:color w:val="auto"/>
                <w:sz w:val="24"/>
              </w:rPr>
              <w:t>、NO</w:t>
            </w:r>
            <w:r>
              <w:rPr>
                <w:rFonts w:hint="eastAsia"/>
                <w:color w:val="auto"/>
                <w:sz w:val="24"/>
                <w:vertAlign w:val="subscript"/>
              </w:rPr>
              <w:t>2</w:t>
            </w:r>
            <w:r>
              <w:rPr>
                <w:rFonts w:hint="eastAsia"/>
                <w:color w:val="auto"/>
                <w:sz w:val="24"/>
              </w:rPr>
              <w:t>、PM</w:t>
            </w:r>
            <w:r>
              <w:rPr>
                <w:rFonts w:hint="eastAsia"/>
                <w:color w:val="auto"/>
                <w:sz w:val="24"/>
                <w:vertAlign w:val="subscript"/>
              </w:rPr>
              <w:t>2.5</w:t>
            </w:r>
            <w:r>
              <w:rPr>
                <w:rFonts w:hint="eastAsia"/>
                <w:color w:val="auto"/>
                <w:sz w:val="24"/>
              </w:rPr>
              <w:t>、PM</w:t>
            </w:r>
            <w:r>
              <w:rPr>
                <w:rFonts w:hint="eastAsia"/>
                <w:color w:val="auto"/>
                <w:sz w:val="24"/>
                <w:vertAlign w:val="subscript"/>
              </w:rPr>
              <w:t>10</w:t>
            </w:r>
            <w:r>
              <w:rPr>
                <w:rFonts w:hint="eastAsia"/>
                <w:color w:val="auto"/>
                <w:sz w:val="24"/>
              </w:rPr>
              <w:t>的年平均质量浓度值、CO日平均第95百分位数、O</w:t>
            </w:r>
            <w:r>
              <w:rPr>
                <w:rFonts w:hint="eastAsia"/>
                <w:color w:val="auto"/>
                <w:sz w:val="24"/>
                <w:vertAlign w:val="subscript"/>
              </w:rPr>
              <w:t>3</w:t>
            </w:r>
            <w:r>
              <w:rPr>
                <w:rFonts w:hint="eastAsia"/>
                <w:color w:val="auto"/>
                <w:sz w:val="24"/>
              </w:rPr>
              <w:t>日最大8小时滑动平均值第90百分位均满足《环境空气质量标准》 (GB3095-2012) 及其修改单二级环境标准的要求，故项目所在区域为达标区；地表水2022年度水质满足《地表水环境质量标准》 (GB3838-2002) 中的</w:t>
            </w:r>
            <w:r>
              <w:rPr>
                <w:rFonts w:hint="eastAsia" w:ascii="宋体" w:hAnsi="宋体" w:cs="宋体"/>
                <w:color w:val="auto"/>
                <w:sz w:val="24"/>
              </w:rPr>
              <w:t>Ⅲ</w:t>
            </w:r>
            <w:r>
              <w:rPr>
                <w:rFonts w:hint="eastAsia"/>
                <w:color w:val="auto"/>
                <w:sz w:val="24"/>
              </w:rPr>
              <w:t>类标准、纳污水体2022年度水质满足《地表水环境质量标准》 (GB3838-2002) 中的</w:t>
            </w:r>
            <w:r>
              <w:rPr>
                <w:rFonts w:hint="eastAsia" w:ascii="宋体" w:hAnsi="宋体" w:cs="宋体"/>
                <w:color w:val="auto"/>
                <w:sz w:val="24"/>
              </w:rPr>
              <w:t>Ⅲ</w:t>
            </w:r>
            <w:r>
              <w:rPr>
                <w:rFonts w:hint="eastAsia"/>
                <w:color w:val="auto"/>
                <w:sz w:val="24"/>
              </w:rPr>
              <w:t>类标准，项目所在地声环境质量现状满足</w:t>
            </w:r>
            <w:r>
              <w:rPr>
                <w:rFonts w:hint="eastAsia"/>
                <w:bCs/>
                <w:color w:val="auto"/>
                <w:sz w:val="24"/>
              </w:rPr>
              <w:t>《声环境质量标准》（GB3096-2008）中3类标准</w:t>
            </w:r>
            <w:r>
              <w:rPr>
                <w:rFonts w:hint="eastAsia"/>
                <w:color w:val="auto"/>
                <w:sz w:val="24"/>
              </w:rPr>
              <w:t>。</w:t>
            </w:r>
            <w:r>
              <w:rPr>
                <w:bCs/>
                <w:color w:val="auto"/>
                <w:sz w:val="24"/>
              </w:rPr>
              <w:t>项目废气和噪声经处理后均能达到相关污染物排放标准，且不会明显改变所在环境功能区质量。因此，项目的建设不会突破当地环境质量底线</w:t>
            </w:r>
            <w:r>
              <w:rPr>
                <w:color w:val="auto"/>
                <w:sz w:val="24"/>
              </w:rPr>
              <w:t>。</w:t>
            </w:r>
          </w:p>
          <w:p w14:paraId="2F174D71">
            <w:pPr>
              <w:spacing w:line="440" w:lineRule="exact"/>
              <w:ind w:firstLine="360" w:firstLineChars="150"/>
              <w:rPr>
                <w:color w:val="auto"/>
                <w:sz w:val="24"/>
              </w:rPr>
            </w:pPr>
            <w:r>
              <w:rPr>
                <w:color w:val="auto"/>
                <w:kern w:val="0"/>
                <w:sz w:val="24"/>
              </w:rPr>
              <w:t>（3）资源利用上线</w:t>
            </w:r>
          </w:p>
          <w:p w14:paraId="5CD78BF3">
            <w:pPr>
              <w:spacing w:line="440" w:lineRule="exact"/>
              <w:ind w:firstLine="480" w:firstLineChars="200"/>
              <w:rPr>
                <w:color w:val="auto"/>
                <w:sz w:val="24"/>
              </w:rPr>
            </w:pPr>
            <w:r>
              <w:rPr>
                <w:color w:val="auto"/>
                <w:kern w:val="0"/>
                <w:sz w:val="24"/>
              </w:rPr>
              <w:t>本项目所在地用电用水供给充裕，在区域资源利用上线的承受范围之内，符合区域资源利用上线的要求。</w:t>
            </w:r>
          </w:p>
          <w:p w14:paraId="3C276757">
            <w:pPr>
              <w:pStyle w:val="93"/>
              <w:ind w:firstLine="0" w:firstLineChars="0"/>
              <w:rPr>
                <w:rFonts w:eastAsia="宋体"/>
                <w:bCs w:val="0"/>
                <w:color w:val="auto"/>
                <w:kern w:val="0"/>
                <w:szCs w:val="24"/>
              </w:rPr>
            </w:pPr>
            <w:r>
              <w:rPr>
                <w:rFonts w:hint="eastAsia" w:eastAsia="宋体"/>
                <w:bCs w:val="0"/>
                <w:color w:val="auto"/>
                <w:kern w:val="0"/>
                <w:szCs w:val="24"/>
              </w:rPr>
              <w:t xml:space="preserve">   （4）</w:t>
            </w:r>
            <w:r>
              <w:rPr>
                <w:rFonts w:eastAsia="宋体"/>
                <w:bCs w:val="0"/>
                <w:color w:val="auto"/>
                <w:kern w:val="0"/>
                <w:szCs w:val="24"/>
              </w:rPr>
              <w:t>生态环境准入清单</w:t>
            </w:r>
          </w:p>
          <w:p w14:paraId="13228048">
            <w:pPr>
              <w:pStyle w:val="3"/>
              <w:spacing w:line="440" w:lineRule="exact"/>
              <w:rPr>
                <w:rFonts w:hAnsi="宋体" w:eastAsia="宋体"/>
                <w:bCs/>
                <w:color w:val="auto"/>
                <w:kern w:val="44"/>
                <w:szCs w:val="44"/>
              </w:rPr>
            </w:pPr>
            <w:r>
              <w:rPr>
                <w:rFonts w:hint="eastAsia" w:hAnsi="宋体" w:eastAsia="宋体"/>
                <w:color w:val="auto"/>
              </w:rPr>
              <w:t>对照《安古县生态环境分区管控动态更新方案》（安政发〔2024]7号），本项目位于湖州市安吉县中心城区产业集聚重点管控单元（编码：ZH33052320005）。本项目建设符合湖州市安吉县中心城区产业集聚重点管控单元中生态环境准入清单管控要求，具体见表1</w:t>
            </w:r>
            <w:r>
              <w:rPr>
                <w:rFonts w:hAnsi="宋体" w:eastAsia="宋体"/>
                <w:color w:val="auto"/>
              </w:rPr>
              <w:t>-</w:t>
            </w:r>
            <w:r>
              <w:rPr>
                <w:rFonts w:hint="eastAsia" w:hAnsi="宋体" w:eastAsia="宋体"/>
                <w:color w:val="auto"/>
              </w:rPr>
              <w:t>2。</w:t>
            </w:r>
          </w:p>
          <w:p w14:paraId="32C982D9">
            <w:pPr>
              <w:spacing w:line="440" w:lineRule="exact"/>
              <w:jc w:val="center"/>
              <w:rPr>
                <w:rFonts w:hAnsi="宋体"/>
                <w:b/>
                <w:color w:val="auto"/>
                <w:szCs w:val="21"/>
              </w:rPr>
            </w:pPr>
          </w:p>
          <w:p w14:paraId="4903BD9D">
            <w:pPr>
              <w:spacing w:line="440" w:lineRule="exact"/>
              <w:jc w:val="center"/>
              <w:rPr>
                <w:rFonts w:hAnsi="宋体"/>
                <w:b/>
                <w:color w:val="auto"/>
                <w:szCs w:val="21"/>
              </w:rPr>
            </w:pPr>
          </w:p>
          <w:p w14:paraId="032EC49B">
            <w:pPr>
              <w:spacing w:line="440" w:lineRule="exact"/>
              <w:jc w:val="center"/>
              <w:rPr>
                <w:rFonts w:hAnsi="宋体"/>
                <w:b/>
                <w:color w:val="auto"/>
                <w:szCs w:val="21"/>
              </w:rPr>
            </w:pPr>
          </w:p>
          <w:p w14:paraId="48082802">
            <w:pPr>
              <w:spacing w:line="440" w:lineRule="exact"/>
              <w:jc w:val="center"/>
              <w:rPr>
                <w:rFonts w:hAnsi="宋体"/>
                <w:b/>
                <w:color w:val="auto"/>
                <w:szCs w:val="21"/>
              </w:rPr>
            </w:pPr>
          </w:p>
          <w:p w14:paraId="0C6331D5">
            <w:pPr>
              <w:spacing w:line="440" w:lineRule="exact"/>
              <w:jc w:val="center"/>
              <w:rPr>
                <w:rFonts w:hAnsi="宋体"/>
                <w:b/>
                <w:color w:val="auto"/>
                <w:szCs w:val="21"/>
              </w:rPr>
            </w:pPr>
            <w:r>
              <w:rPr>
                <w:rFonts w:hAnsi="宋体"/>
                <w:b/>
                <w:color w:val="auto"/>
                <w:szCs w:val="21"/>
              </w:rPr>
              <w:t>表</w:t>
            </w:r>
            <w:r>
              <w:rPr>
                <w:rFonts w:hint="eastAsia" w:hAnsi="宋体"/>
                <w:b/>
                <w:color w:val="auto"/>
                <w:szCs w:val="21"/>
              </w:rPr>
              <w:t>1</w:t>
            </w:r>
            <w:r>
              <w:rPr>
                <w:rFonts w:hAnsi="宋体"/>
                <w:b/>
                <w:color w:val="auto"/>
                <w:szCs w:val="21"/>
              </w:rPr>
              <w:t>-</w:t>
            </w:r>
            <w:r>
              <w:rPr>
                <w:rFonts w:hint="eastAsia" w:hAnsi="宋体"/>
                <w:b/>
                <w:color w:val="auto"/>
                <w:szCs w:val="21"/>
              </w:rPr>
              <w:t>2  环境管控单元准入清单要求</w:t>
            </w:r>
          </w:p>
          <w:tbl>
            <w:tblPr>
              <w:tblStyle w:val="3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27"/>
              <w:gridCol w:w="3057"/>
              <w:gridCol w:w="2123"/>
              <w:gridCol w:w="428"/>
            </w:tblGrid>
            <w:tr w14:paraId="60FD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5" w:type="dxa"/>
                  <w:gridSpan w:val="2"/>
                  <w:vAlign w:val="center"/>
                </w:tcPr>
                <w:p w14:paraId="62B53C31">
                  <w:pPr>
                    <w:pStyle w:val="115"/>
                    <w:spacing w:line="240" w:lineRule="auto"/>
                    <w:rPr>
                      <w:rFonts w:eastAsia="宋体"/>
                      <w:color w:val="auto"/>
                      <w:szCs w:val="21"/>
                    </w:rPr>
                  </w:pPr>
                  <w:r>
                    <w:rPr>
                      <w:rFonts w:hint="eastAsia" w:ascii="宋体" w:hAnsi="宋体" w:eastAsia="宋体"/>
                      <w:color w:val="auto"/>
                      <w:szCs w:val="21"/>
                    </w:rPr>
                    <w:t>“三线一单”环境管控单元-单元管控空间属性</w:t>
                  </w:r>
                </w:p>
              </w:tc>
              <w:tc>
                <w:tcPr>
                  <w:tcW w:w="3057" w:type="dxa"/>
                  <w:vAlign w:val="center"/>
                </w:tcPr>
                <w:p w14:paraId="107F3CFF">
                  <w:pPr>
                    <w:adjustRightInd w:val="0"/>
                    <w:jc w:val="center"/>
                    <w:rPr>
                      <w:b/>
                      <w:color w:val="auto"/>
                      <w:szCs w:val="21"/>
                    </w:rPr>
                  </w:pPr>
                  <w:r>
                    <w:rPr>
                      <w:b/>
                      <w:color w:val="auto"/>
                    </w:rPr>
                    <w:t>项目所属区域为</w:t>
                  </w:r>
                  <w:r>
                    <w:rPr>
                      <w:rFonts w:hint="eastAsia"/>
                      <w:b/>
                      <w:color w:val="auto"/>
                    </w:rPr>
                    <w:t>湖州市安吉县中心城区产业集聚重点管控单元（ZH33052320005）</w:t>
                  </w:r>
                  <w:r>
                    <w:rPr>
                      <w:b/>
                      <w:color w:val="auto"/>
                    </w:rPr>
                    <w:t>。</w:t>
                  </w:r>
                </w:p>
              </w:tc>
              <w:tc>
                <w:tcPr>
                  <w:tcW w:w="2123" w:type="dxa"/>
                  <w:vAlign w:val="center"/>
                </w:tcPr>
                <w:p w14:paraId="443BB0C5">
                  <w:pPr>
                    <w:adjustRightInd w:val="0"/>
                    <w:jc w:val="center"/>
                    <w:rPr>
                      <w:b/>
                      <w:color w:val="auto"/>
                      <w:szCs w:val="21"/>
                    </w:rPr>
                  </w:pPr>
                  <w:r>
                    <w:rPr>
                      <w:b/>
                      <w:color w:val="auto"/>
                      <w:szCs w:val="21"/>
                    </w:rPr>
                    <w:t>本项目</w:t>
                  </w:r>
                </w:p>
              </w:tc>
              <w:tc>
                <w:tcPr>
                  <w:tcW w:w="428" w:type="dxa"/>
                  <w:vAlign w:val="center"/>
                </w:tcPr>
                <w:p w14:paraId="200B0081">
                  <w:pPr>
                    <w:adjustRightInd w:val="0"/>
                    <w:jc w:val="center"/>
                    <w:rPr>
                      <w:b/>
                      <w:color w:val="auto"/>
                      <w:szCs w:val="21"/>
                    </w:rPr>
                  </w:pPr>
                  <w:r>
                    <w:rPr>
                      <w:b/>
                      <w:color w:val="auto"/>
                      <w:szCs w:val="21"/>
                    </w:rPr>
                    <w:t>是否符合</w:t>
                  </w:r>
                </w:p>
              </w:tc>
            </w:tr>
            <w:tr w14:paraId="5245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dxa"/>
                  <w:vMerge w:val="restart"/>
                  <w:vAlign w:val="center"/>
                </w:tcPr>
                <w:p w14:paraId="4639D74F">
                  <w:pPr>
                    <w:adjustRightInd w:val="0"/>
                    <w:jc w:val="center"/>
                    <w:rPr>
                      <w:color w:val="auto"/>
                      <w:szCs w:val="21"/>
                    </w:rPr>
                  </w:pPr>
                  <w:r>
                    <w:rPr>
                      <w:rFonts w:hint="eastAsia"/>
                      <w:color w:val="auto"/>
                      <w:szCs w:val="21"/>
                    </w:rPr>
                    <w:t>“三线一单”生态环境准入清单编制要求</w:t>
                  </w:r>
                </w:p>
              </w:tc>
              <w:tc>
                <w:tcPr>
                  <w:tcW w:w="727" w:type="dxa"/>
                  <w:vAlign w:val="center"/>
                </w:tcPr>
                <w:p w14:paraId="78CC5208">
                  <w:pPr>
                    <w:pStyle w:val="133"/>
                    <w:adjustRightInd w:val="0"/>
                    <w:ind w:firstLine="0" w:firstLineChars="0"/>
                    <w:jc w:val="center"/>
                    <w:rPr>
                      <w:color w:val="auto"/>
                      <w:szCs w:val="21"/>
                    </w:rPr>
                  </w:pPr>
                  <w:r>
                    <w:rPr>
                      <w:color w:val="auto"/>
                      <w:szCs w:val="21"/>
                    </w:rPr>
                    <w:t>空间布局约束</w:t>
                  </w:r>
                </w:p>
              </w:tc>
              <w:tc>
                <w:tcPr>
                  <w:tcW w:w="3057" w:type="dxa"/>
                  <w:vAlign w:val="center"/>
                </w:tcPr>
                <w:p w14:paraId="76187982">
                  <w:pPr>
                    <w:adjustRightInd w:val="0"/>
                    <w:rPr>
                      <w:color w:val="auto"/>
                      <w:szCs w:val="21"/>
                    </w:rPr>
                  </w:pPr>
                  <w:r>
                    <w:rPr>
                      <w:rFonts w:hint="eastAsia"/>
                      <w:szCs w:val="22"/>
                    </w:rPr>
                    <w:t>除白水湾园区、阳光三区、鞍山园区禁止新建、扩建三类工业项目外，禁止新建、扩建化工等高污染三类工业项目(不新增总量项目除外)，但鼓励对现有三类工业项目进行淘汰或提升改造。除阳光三区禁止新建涉及一类重金属、重点行业重点重金属污染物、持久性有机污染物排放等环境健康风险较大的二类工业项目外，允许新建、扩建、改建二类工业项目,属国家、省、市、县落后产能的限制类、淘汰类二类工业项目，一律不得准入，现存此类工业项目应进行淘汰或提升改造。加强“两高”项目源头防控。综合条件较好的重点行业率先开展节能降碳技术改造。合理规划布局居住、医疗卫生、文化教育等功能区块，与工业区块、工业企业之间设置防护绿地、生活绿地等隔离带。合理布局工业项目，减少对周边居住区、学校等敏感点的恶臭、噪声等环境影响。土壤污染重点监管单位新(改、扩)建项目用地应当符合国家或地方有关建设用地土壤风险管控标准。重点行业按照规范要求开展建设项目碳排放评价</w:t>
                  </w:r>
                  <w:r>
                    <w:rPr>
                      <w:color w:val="auto"/>
                      <w:szCs w:val="22"/>
                    </w:rPr>
                    <w:t>。</w:t>
                  </w:r>
                </w:p>
              </w:tc>
              <w:tc>
                <w:tcPr>
                  <w:tcW w:w="2123" w:type="dxa"/>
                  <w:vAlign w:val="center"/>
                </w:tcPr>
                <w:p w14:paraId="519895A2">
                  <w:pPr>
                    <w:adjustRightInd w:val="0"/>
                    <w:rPr>
                      <w:color w:val="auto"/>
                      <w:szCs w:val="21"/>
                    </w:rPr>
                  </w:pPr>
                  <w:r>
                    <w:rPr>
                      <w:color w:val="auto"/>
                      <w:szCs w:val="21"/>
                    </w:rPr>
                    <w:t>本项目主要从事</w:t>
                  </w:r>
                  <w:r>
                    <w:rPr>
                      <w:rFonts w:hint="eastAsia"/>
                      <w:color w:val="auto"/>
                      <w:szCs w:val="21"/>
                      <w:lang w:eastAsia="zh-CN"/>
                    </w:rPr>
                    <w:t>家具配件</w:t>
                  </w:r>
                  <w:r>
                    <w:rPr>
                      <w:color w:val="auto"/>
                      <w:szCs w:val="21"/>
                    </w:rPr>
                    <w:t>的生产，属于二类工业项目；不属于国家、省、市、县落后产能的限制类、淘汰类二类工业项目；不属于区域负面清单内三类工业项目。本项目周边最近环境敏感点距离本项目约</w:t>
                  </w:r>
                  <w:r>
                    <w:rPr>
                      <w:rFonts w:hint="eastAsia"/>
                      <w:color w:val="auto"/>
                      <w:szCs w:val="21"/>
                      <w:lang w:val="en-US" w:eastAsia="zh-CN"/>
                    </w:rPr>
                    <w:t>180</w:t>
                  </w:r>
                  <w:r>
                    <w:rPr>
                      <w:color w:val="auto"/>
                      <w:szCs w:val="21"/>
                    </w:rPr>
                    <w:t>m，且与企业之间设置了防护绿地、</w:t>
                  </w:r>
                  <w:r>
                    <w:rPr>
                      <w:rFonts w:hint="eastAsia"/>
                      <w:color w:val="auto"/>
                      <w:szCs w:val="21"/>
                    </w:rPr>
                    <w:t>企业围墙</w:t>
                  </w:r>
                  <w:r>
                    <w:rPr>
                      <w:color w:val="auto"/>
                      <w:szCs w:val="21"/>
                    </w:rPr>
                    <w:t>等隔离带。同时本项目不属于土壤污染重点监管单位。</w:t>
                  </w:r>
                </w:p>
              </w:tc>
              <w:tc>
                <w:tcPr>
                  <w:tcW w:w="428" w:type="dxa"/>
                  <w:vAlign w:val="center"/>
                </w:tcPr>
                <w:p w14:paraId="1C8112DB">
                  <w:pPr>
                    <w:adjustRightInd w:val="0"/>
                    <w:jc w:val="center"/>
                    <w:rPr>
                      <w:color w:val="auto"/>
                      <w:szCs w:val="21"/>
                    </w:rPr>
                  </w:pPr>
                  <w:r>
                    <w:rPr>
                      <w:color w:val="auto"/>
                      <w:szCs w:val="21"/>
                    </w:rPr>
                    <w:t>符合</w:t>
                  </w:r>
                </w:p>
              </w:tc>
            </w:tr>
            <w:tr w14:paraId="4365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dxa"/>
                  <w:vMerge w:val="continue"/>
                  <w:vAlign w:val="center"/>
                </w:tcPr>
                <w:p w14:paraId="34C4BDA4">
                  <w:pPr>
                    <w:adjustRightInd w:val="0"/>
                    <w:jc w:val="center"/>
                    <w:rPr>
                      <w:color w:val="auto"/>
                      <w:szCs w:val="21"/>
                    </w:rPr>
                  </w:pPr>
                </w:p>
              </w:tc>
              <w:tc>
                <w:tcPr>
                  <w:tcW w:w="727" w:type="dxa"/>
                  <w:vAlign w:val="center"/>
                </w:tcPr>
                <w:p w14:paraId="0649B328">
                  <w:pPr>
                    <w:pStyle w:val="133"/>
                    <w:adjustRightInd w:val="0"/>
                    <w:ind w:firstLine="0" w:firstLineChars="0"/>
                    <w:jc w:val="center"/>
                    <w:rPr>
                      <w:color w:val="auto"/>
                      <w:szCs w:val="21"/>
                    </w:rPr>
                  </w:pPr>
                  <w:r>
                    <w:rPr>
                      <w:color w:val="auto"/>
                      <w:szCs w:val="21"/>
                    </w:rPr>
                    <w:t>污染物排放管控</w:t>
                  </w:r>
                </w:p>
              </w:tc>
              <w:tc>
                <w:tcPr>
                  <w:tcW w:w="3057" w:type="dxa"/>
                  <w:vAlign w:val="center"/>
                </w:tcPr>
                <w:p w14:paraId="0CCDF598">
                  <w:pPr>
                    <w:adjustRightInd w:val="0"/>
                    <w:rPr>
                      <w:color w:val="auto"/>
                      <w:szCs w:val="21"/>
                    </w:rPr>
                  </w:pPr>
                  <w:r>
                    <w:rPr>
                      <w:rFonts w:hint="eastAsia"/>
                      <w:szCs w:val="22"/>
                    </w:rPr>
                    <w:t>实施污染物总量控制制度，严格执行地区削减目标。推进工业集聚区“零直排区”建设，所有企业实现雨污分流，现有工业集聚区内工业企业废水必须经预处理达到集中处理要求，方可进入污水集中处理设施。</w:t>
                  </w:r>
                </w:p>
              </w:tc>
              <w:tc>
                <w:tcPr>
                  <w:tcW w:w="2123" w:type="dxa"/>
                  <w:vAlign w:val="center"/>
                </w:tcPr>
                <w:p w14:paraId="3B146041">
                  <w:pPr>
                    <w:adjustRightInd w:val="0"/>
                    <w:rPr>
                      <w:color w:val="auto"/>
                      <w:szCs w:val="21"/>
                    </w:rPr>
                  </w:pPr>
                  <w:r>
                    <w:rPr>
                      <w:rFonts w:hint="eastAsia"/>
                      <w:color w:val="auto"/>
                    </w:rPr>
                    <w:t>项目实施污染物总量控制制度，项目自身不设有入河排污口，营运期无生产废水，生活污水通过污水管网排入安吉净源污水处理有限公司城北污水处理厂集中处理。</w:t>
                  </w:r>
                </w:p>
              </w:tc>
              <w:tc>
                <w:tcPr>
                  <w:tcW w:w="428" w:type="dxa"/>
                  <w:vAlign w:val="center"/>
                </w:tcPr>
                <w:p w14:paraId="0B07077F">
                  <w:pPr>
                    <w:adjustRightInd w:val="0"/>
                    <w:jc w:val="center"/>
                    <w:rPr>
                      <w:color w:val="auto"/>
                      <w:szCs w:val="21"/>
                    </w:rPr>
                  </w:pPr>
                  <w:r>
                    <w:rPr>
                      <w:color w:val="auto"/>
                      <w:szCs w:val="21"/>
                    </w:rPr>
                    <w:t>符合</w:t>
                  </w:r>
                </w:p>
              </w:tc>
            </w:tr>
            <w:tr w14:paraId="5FE2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dxa"/>
                  <w:vMerge w:val="continue"/>
                  <w:vAlign w:val="center"/>
                </w:tcPr>
                <w:p w14:paraId="37B3DED8">
                  <w:pPr>
                    <w:adjustRightInd w:val="0"/>
                    <w:jc w:val="center"/>
                    <w:rPr>
                      <w:color w:val="auto"/>
                      <w:szCs w:val="21"/>
                    </w:rPr>
                  </w:pPr>
                </w:p>
              </w:tc>
              <w:tc>
                <w:tcPr>
                  <w:tcW w:w="727" w:type="dxa"/>
                  <w:vAlign w:val="center"/>
                </w:tcPr>
                <w:p w14:paraId="4DF68566">
                  <w:pPr>
                    <w:adjustRightInd w:val="0"/>
                    <w:jc w:val="center"/>
                    <w:rPr>
                      <w:color w:val="auto"/>
                      <w:szCs w:val="21"/>
                    </w:rPr>
                  </w:pPr>
                  <w:r>
                    <w:rPr>
                      <w:color w:val="auto"/>
                      <w:szCs w:val="21"/>
                    </w:rPr>
                    <w:t>环境风险防控</w:t>
                  </w:r>
                </w:p>
              </w:tc>
              <w:tc>
                <w:tcPr>
                  <w:tcW w:w="3057" w:type="dxa"/>
                  <w:vAlign w:val="center"/>
                </w:tcPr>
                <w:p w14:paraId="76EFF8C9">
                  <w:pPr>
                    <w:adjustRightInd w:val="0"/>
                    <w:rPr>
                      <w:color w:val="auto"/>
                      <w:szCs w:val="21"/>
                    </w:rPr>
                  </w:pPr>
                  <w:r>
                    <w:rPr>
                      <w:rFonts w:hint="eastAsia"/>
                      <w:szCs w:val="22"/>
                    </w:rPr>
                    <w:t>严格控制石油加工、化学原料和化学制品制造、医药制造、化学纤维制造、有色金属冶炼、纺织印染等项目环境风险。重点管控新污染物环境风险。定期评估沿江河湖库工业企业、工业集聚区环境和健康风险，落实防控措施。强化工业集聚区应急预案和风险防控体系 建设，防范重点企业环境风险。严格污染地块开发利用和流转审批，按照《污染地块土壤环境管理办法》有关规定开展调查、评估、治理与修复等活动。</w:t>
                  </w:r>
                </w:p>
              </w:tc>
              <w:tc>
                <w:tcPr>
                  <w:tcW w:w="2123" w:type="dxa"/>
                  <w:vAlign w:val="center"/>
                </w:tcPr>
                <w:p w14:paraId="5FC0820A">
                  <w:pPr>
                    <w:adjustRightInd w:val="0"/>
                    <w:rPr>
                      <w:color w:val="auto"/>
                      <w:szCs w:val="21"/>
                    </w:rPr>
                  </w:pPr>
                  <w:r>
                    <w:rPr>
                      <w:rFonts w:hint="eastAsia"/>
                      <w:color w:val="auto"/>
                    </w:rPr>
                    <w:t>项目主要从事</w:t>
                  </w:r>
                  <w:r>
                    <w:rPr>
                      <w:rFonts w:hint="eastAsia"/>
                      <w:color w:val="auto"/>
                      <w:szCs w:val="21"/>
                      <w:lang w:eastAsia="zh-CN"/>
                    </w:rPr>
                    <w:t>家具配件</w:t>
                  </w:r>
                  <w:r>
                    <w:rPr>
                      <w:rFonts w:hint="eastAsia"/>
                      <w:color w:val="auto"/>
                      <w:szCs w:val="21"/>
                    </w:rPr>
                    <w:t>的生产</w:t>
                  </w:r>
                  <w:r>
                    <w:rPr>
                      <w:rFonts w:hint="eastAsia"/>
                      <w:color w:val="auto"/>
                    </w:rPr>
                    <w:t>，项目不属于重点企业，同时项目落实防控措施，降低环境风险</w:t>
                  </w:r>
                  <w:r>
                    <w:rPr>
                      <w:color w:val="auto"/>
                    </w:rPr>
                    <w:t>。</w:t>
                  </w:r>
                </w:p>
              </w:tc>
              <w:tc>
                <w:tcPr>
                  <w:tcW w:w="428" w:type="dxa"/>
                  <w:vAlign w:val="center"/>
                </w:tcPr>
                <w:p w14:paraId="3BB4210A">
                  <w:pPr>
                    <w:adjustRightInd w:val="0"/>
                    <w:jc w:val="center"/>
                    <w:rPr>
                      <w:color w:val="auto"/>
                      <w:szCs w:val="21"/>
                    </w:rPr>
                  </w:pPr>
                  <w:r>
                    <w:rPr>
                      <w:color w:val="auto"/>
                      <w:szCs w:val="21"/>
                    </w:rPr>
                    <w:t>符合</w:t>
                  </w:r>
                </w:p>
              </w:tc>
            </w:tr>
            <w:tr w14:paraId="3054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dxa"/>
                  <w:vMerge w:val="continue"/>
                  <w:vAlign w:val="center"/>
                </w:tcPr>
                <w:p w14:paraId="5511448B">
                  <w:pPr>
                    <w:adjustRightInd w:val="0"/>
                    <w:jc w:val="center"/>
                    <w:rPr>
                      <w:color w:val="auto"/>
                      <w:szCs w:val="21"/>
                    </w:rPr>
                  </w:pPr>
                </w:p>
              </w:tc>
              <w:tc>
                <w:tcPr>
                  <w:tcW w:w="727" w:type="dxa"/>
                  <w:vAlign w:val="center"/>
                </w:tcPr>
                <w:p w14:paraId="06311B11">
                  <w:pPr>
                    <w:adjustRightInd w:val="0"/>
                    <w:jc w:val="center"/>
                    <w:rPr>
                      <w:color w:val="auto"/>
                      <w:szCs w:val="21"/>
                    </w:rPr>
                  </w:pPr>
                  <w:r>
                    <w:rPr>
                      <w:color w:val="auto"/>
                      <w:szCs w:val="21"/>
                    </w:rPr>
                    <w:t>资源开发效率要求</w:t>
                  </w:r>
                </w:p>
              </w:tc>
              <w:tc>
                <w:tcPr>
                  <w:tcW w:w="3057" w:type="dxa"/>
                  <w:vAlign w:val="center"/>
                </w:tcPr>
                <w:p w14:paraId="170F9323">
                  <w:pPr>
                    <w:adjustRightInd w:val="0"/>
                    <w:rPr>
                      <w:color w:val="auto"/>
                      <w:szCs w:val="21"/>
                    </w:rPr>
                  </w:pPr>
                  <w:r>
                    <w:rPr>
                      <w:rFonts w:hint="eastAsia"/>
                      <w:szCs w:val="22"/>
                    </w:rPr>
                    <w:t>推进工业集聚区生态化改造，强化企业清洁生产改造，推进节水型企业、节水标杆园区建设，落实煤炭消费减量替代要求，提高资源能源利用效率。</w:t>
                  </w:r>
                </w:p>
              </w:tc>
              <w:tc>
                <w:tcPr>
                  <w:tcW w:w="2123" w:type="dxa"/>
                  <w:vAlign w:val="center"/>
                </w:tcPr>
                <w:p w14:paraId="41102A87">
                  <w:pPr>
                    <w:adjustRightInd w:val="0"/>
                    <w:rPr>
                      <w:color w:val="auto"/>
                      <w:szCs w:val="21"/>
                    </w:rPr>
                  </w:pPr>
                  <w:r>
                    <w:rPr>
                      <w:rFonts w:hint="eastAsia"/>
                      <w:color w:val="auto"/>
                    </w:rPr>
                    <w:t>本项目生活用水量较少；所有设备用电驱动。符合清洁生产要求。</w:t>
                  </w:r>
                </w:p>
              </w:tc>
              <w:tc>
                <w:tcPr>
                  <w:tcW w:w="428" w:type="dxa"/>
                  <w:vAlign w:val="center"/>
                </w:tcPr>
                <w:p w14:paraId="123542F3">
                  <w:pPr>
                    <w:adjustRightInd w:val="0"/>
                    <w:jc w:val="center"/>
                    <w:rPr>
                      <w:color w:val="auto"/>
                      <w:szCs w:val="21"/>
                    </w:rPr>
                  </w:pPr>
                  <w:r>
                    <w:rPr>
                      <w:color w:val="auto"/>
                      <w:szCs w:val="21"/>
                    </w:rPr>
                    <w:t>符合</w:t>
                  </w:r>
                </w:p>
              </w:tc>
            </w:tr>
          </w:tbl>
          <w:p w14:paraId="3F76B478">
            <w:pPr>
              <w:pStyle w:val="3"/>
              <w:spacing w:line="440" w:lineRule="exact"/>
              <w:rPr>
                <w:rFonts w:eastAsia="宋体"/>
                <w:color w:val="auto"/>
              </w:rPr>
            </w:pPr>
            <w:r>
              <w:rPr>
                <w:rFonts w:hint="eastAsia" w:eastAsia="宋体"/>
                <w:color w:val="auto"/>
              </w:rPr>
              <w:t>综上所述，本项目符合湖州市安吉县中心城区产业集聚重点管控单元中生态环境准入清单管控要求。</w:t>
            </w:r>
          </w:p>
          <w:p w14:paraId="71D9F320">
            <w:pPr>
              <w:pStyle w:val="3"/>
              <w:spacing w:line="440" w:lineRule="exact"/>
              <w:ind w:firstLine="0" w:firstLineChars="0"/>
              <w:jc w:val="center"/>
              <w:rPr>
                <w:rFonts w:hint="eastAsia" w:hAnsi="宋体" w:eastAsia="宋体"/>
                <w:b/>
                <w:color w:val="auto"/>
                <w:sz w:val="21"/>
                <w:szCs w:val="21"/>
              </w:rPr>
            </w:pPr>
          </w:p>
          <w:p w14:paraId="5DCB8963">
            <w:pPr>
              <w:pStyle w:val="3"/>
              <w:spacing w:line="440" w:lineRule="exact"/>
              <w:ind w:firstLine="0" w:firstLineChars="0"/>
              <w:jc w:val="center"/>
              <w:rPr>
                <w:rFonts w:hint="eastAsia" w:hAnsi="宋体" w:eastAsia="宋体"/>
                <w:b/>
                <w:color w:val="auto"/>
                <w:sz w:val="21"/>
                <w:szCs w:val="21"/>
              </w:rPr>
            </w:pPr>
          </w:p>
          <w:p w14:paraId="586C2D13">
            <w:pPr>
              <w:pStyle w:val="3"/>
              <w:spacing w:line="440" w:lineRule="exact"/>
              <w:ind w:firstLine="0" w:firstLineChars="0"/>
              <w:jc w:val="center"/>
              <w:rPr>
                <w:rFonts w:hint="eastAsia" w:hAnsi="宋体" w:eastAsia="宋体"/>
                <w:b/>
                <w:color w:val="auto"/>
                <w:sz w:val="21"/>
                <w:szCs w:val="21"/>
              </w:rPr>
            </w:pPr>
            <w:r>
              <w:rPr>
                <w:rFonts w:ascii="Arial" w:hAnsi="Arial" w:cs="Arial"/>
                <w:color w:val="auto"/>
              </w:rPr>
              <mc:AlternateContent>
                <mc:Choice Requires="wps">
                  <w:drawing>
                    <wp:anchor distT="0" distB="0" distL="114300" distR="114300" simplePos="0" relativeHeight="251681792" behindDoc="0" locked="0" layoutInCell="1" allowOverlap="1">
                      <wp:simplePos x="0" y="0"/>
                      <wp:positionH relativeFrom="column">
                        <wp:posOffset>992505</wp:posOffset>
                      </wp:positionH>
                      <wp:positionV relativeFrom="paragraph">
                        <wp:posOffset>248920</wp:posOffset>
                      </wp:positionV>
                      <wp:extent cx="1596390" cy="196215"/>
                      <wp:effectExtent l="4445" t="4445" r="18415" b="904240"/>
                      <wp:wrapNone/>
                      <wp:docPr id="56" name="矩形标注 56"/>
                      <wp:cNvGraphicFramePr/>
                      <a:graphic xmlns:a="http://schemas.openxmlformats.org/drawingml/2006/main">
                        <a:graphicData uri="http://schemas.microsoft.com/office/word/2010/wordprocessingShape">
                          <wps:wsp>
                            <wps:cNvSpPr/>
                            <wps:spPr>
                              <a:xfrm>
                                <a:off x="0" y="0"/>
                                <a:ext cx="1596390" cy="196215"/>
                              </a:xfrm>
                              <a:prstGeom prst="wedgeRectCallout">
                                <a:avLst>
                                  <a:gd name="adj1" fmla="val 31856"/>
                                  <a:gd name="adj2" fmla="val 498867"/>
                                </a:avLst>
                              </a:prstGeom>
                              <a:solidFill>
                                <a:srgbClr val="FFFFFF">
                                  <a:alpha val="67000"/>
                                </a:srgbClr>
                              </a:solidFill>
                              <a:ln w="9525" cap="flat" cmpd="sng">
                                <a:solidFill>
                                  <a:srgbClr val="000000"/>
                                </a:solidFill>
                                <a:prstDash val="solid"/>
                                <a:miter/>
                                <a:headEnd type="none" w="med" len="med"/>
                                <a:tailEnd type="none" w="med" len="med"/>
                              </a:ln>
                              <a:effectLst/>
                            </wps:spPr>
                            <wps:txbx>
                              <w:txbxContent>
                                <w:p w14:paraId="602238AE">
                                  <w:pPr>
                                    <w:jc w:val="center"/>
                                    <w:rPr>
                                      <w:rFonts w:hint="eastAsia" w:eastAsia="宋体"/>
                                      <w:b/>
                                      <w:bCs/>
                                      <w:lang w:eastAsia="zh-CN"/>
                                    </w:rPr>
                                  </w:pPr>
                                  <w:r>
                                    <w:rPr>
                                      <w:rFonts w:hint="eastAsia"/>
                                      <w:b/>
                                      <w:bCs/>
                                    </w:rPr>
                                    <w:t>安吉</w:t>
                                  </w:r>
                                  <w:r>
                                    <w:rPr>
                                      <w:rFonts w:hint="eastAsia"/>
                                      <w:b/>
                                      <w:bCs/>
                                      <w:lang w:eastAsia="zh-CN"/>
                                    </w:rPr>
                                    <w:t>联红五金制品厂</w:t>
                                  </w:r>
                                </w:p>
                              </w:txbxContent>
                            </wps:txbx>
                            <wps:bodyPr lIns="0" tIns="0" rIns="0" bIns="0" upright="1"/>
                          </wps:wsp>
                        </a:graphicData>
                      </a:graphic>
                    </wp:anchor>
                  </w:drawing>
                </mc:Choice>
                <mc:Fallback>
                  <w:pict>
                    <v:shape id="_x0000_s1026" o:spid="_x0000_s1026" o:spt="61" type="#_x0000_t61" style="position:absolute;left:0pt;margin-left:78.15pt;margin-top:19.6pt;height:15.45pt;width:125.7pt;z-index:251681792;mso-width-relative:page;mso-height-relative:page;" fillcolor="#FFFFFF" filled="t" stroked="t" coordsize="21600,21600" o:gfxdata="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8BQPdgAAAAJAQAADwAAAAAAAAABACAAAAAiAAAAZHJzL2Rvd25yZXYueG1sUEsBAhQA&#10;FAAAAAgAh07iQOwJw0pkAgAA4gQAAA4AAAAAAAAAAQAgAAAAJwEAAGRycy9lMm9Eb2MueG1sUEsF&#10;BgAAAAAGAAYAWQEAAP0FAAAAAA==&#10;" adj="17681,118555">
                      <v:fill on="t" opacity="43909f" focussize="0,0"/>
                      <v:stroke color="#000000" joinstyle="miter"/>
                      <v:imagedata o:title=""/>
                      <o:lock v:ext="edit" aspectratio="f"/>
                      <v:textbox inset="0mm,0mm,0mm,0mm">
                        <w:txbxContent>
                          <w:p w14:paraId="602238AE">
                            <w:pPr>
                              <w:jc w:val="center"/>
                              <w:rPr>
                                <w:rFonts w:hint="eastAsia" w:eastAsia="宋体"/>
                                <w:b/>
                                <w:bCs/>
                                <w:lang w:eastAsia="zh-CN"/>
                              </w:rPr>
                            </w:pPr>
                            <w:r>
                              <w:rPr>
                                <w:rFonts w:hint="eastAsia"/>
                                <w:b/>
                                <w:bCs/>
                              </w:rPr>
                              <w:t>安吉</w:t>
                            </w:r>
                            <w:r>
                              <w:rPr>
                                <w:rFonts w:hint="eastAsia"/>
                                <w:b/>
                                <w:bCs/>
                                <w:lang w:eastAsia="zh-CN"/>
                              </w:rPr>
                              <w:t>联红五金制品厂</w:t>
                            </w:r>
                          </w:p>
                        </w:txbxContent>
                      </v:textbox>
                    </v:shape>
                  </w:pict>
                </mc:Fallback>
              </mc:AlternateContent>
            </w:r>
          </w:p>
          <w:p w14:paraId="31AC75E8">
            <w:pPr>
              <w:pStyle w:val="3"/>
              <w:spacing w:line="440" w:lineRule="exact"/>
              <w:ind w:firstLine="0" w:firstLineChars="0"/>
              <w:jc w:val="center"/>
              <w:rPr>
                <w:rFonts w:hint="eastAsia" w:hAnsi="宋体" w:eastAsia="宋体"/>
                <w:b/>
                <w:color w:val="auto"/>
                <w:sz w:val="21"/>
                <w:szCs w:val="21"/>
              </w:rPr>
            </w:pPr>
          </w:p>
          <w:p w14:paraId="19ADCC8B">
            <w:pPr>
              <w:pStyle w:val="3"/>
              <w:spacing w:line="440" w:lineRule="exact"/>
              <w:ind w:firstLine="0" w:firstLineChars="0"/>
              <w:jc w:val="center"/>
              <w:rPr>
                <w:rFonts w:hint="eastAsia" w:hAnsi="宋体" w:eastAsia="宋体"/>
                <w:b/>
                <w:color w:val="auto"/>
                <w:sz w:val="21"/>
                <w:szCs w:val="21"/>
              </w:rPr>
            </w:pPr>
          </w:p>
          <w:p w14:paraId="0AF5CF8C">
            <w:pPr>
              <w:pStyle w:val="3"/>
              <w:spacing w:line="440" w:lineRule="exact"/>
              <w:ind w:firstLine="0" w:firstLineChars="0"/>
              <w:jc w:val="center"/>
              <w:rPr>
                <w:rFonts w:hint="eastAsia" w:hAnsi="宋体" w:eastAsia="宋体"/>
                <w:b/>
                <w:color w:val="auto"/>
                <w:sz w:val="21"/>
                <w:szCs w:val="21"/>
              </w:rPr>
            </w:pPr>
          </w:p>
          <w:p w14:paraId="391BFC5E">
            <w:pPr>
              <w:pStyle w:val="3"/>
              <w:spacing w:line="440" w:lineRule="exact"/>
              <w:ind w:firstLine="0" w:firstLineChars="0"/>
              <w:jc w:val="center"/>
              <w:rPr>
                <w:rFonts w:hint="eastAsia" w:hAnsi="宋体" w:eastAsia="宋体"/>
                <w:b/>
                <w:color w:val="auto"/>
                <w:sz w:val="21"/>
                <w:szCs w:val="21"/>
              </w:rPr>
            </w:pPr>
          </w:p>
          <w:p w14:paraId="01312424">
            <w:pPr>
              <w:pStyle w:val="3"/>
              <w:spacing w:line="440" w:lineRule="exact"/>
              <w:ind w:firstLine="0" w:firstLineChars="0"/>
              <w:jc w:val="center"/>
              <w:rPr>
                <w:rFonts w:hint="eastAsia" w:hAnsi="宋体" w:eastAsia="宋体"/>
                <w:b/>
                <w:color w:val="auto"/>
                <w:sz w:val="21"/>
                <w:szCs w:val="21"/>
              </w:rPr>
            </w:pPr>
          </w:p>
          <w:p w14:paraId="5E8BBD31">
            <w:pPr>
              <w:pStyle w:val="3"/>
              <w:spacing w:line="440" w:lineRule="exact"/>
              <w:ind w:firstLine="0" w:firstLineChars="0"/>
              <w:jc w:val="center"/>
              <w:rPr>
                <w:rFonts w:hint="eastAsia" w:hAnsi="宋体" w:eastAsia="宋体"/>
                <w:b/>
                <w:color w:val="auto"/>
                <w:sz w:val="21"/>
                <w:szCs w:val="21"/>
              </w:rPr>
            </w:pPr>
          </w:p>
          <w:p w14:paraId="1C2CF6C2">
            <w:pPr>
              <w:pStyle w:val="3"/>
              <w:spacing w:line="440" w:lineRule="exact"/>
              <w:ind w:firstLine="0" w:firstLineChars="0"/>
              <w:jc w:val="center"/>
              <w:rPr>
                <w:rFonts w:hint="eastAsia" w:hAnsi="宋体" w:eastAsia="宋体"/>
                <w:b/>
                <w:color w:val="auto"/>
                <w:sz w:val="21"/>
                <w:szCs w:val="21"/>
              </w:rPr>
            </w:pPr>
          </w:p>
          <w:p w14:paraId="04D760A3">
            <w:pPr>
              <w:pStyle w:val="3"/>
              <w:spacing w:line="440" w:lineRule="exact"/>
              <w:ind w:firstLine="0" w:firstLineChars="0"/>
              <w:jc w:val="center"/>
              <w:rPr>
                <w:rFonts w:hint="eastAsia" w:hAnsi="宋体" w:eastAsia="宋体"/>
                <w:b/>
                <w:color w:val="auto"/>
                <w:sz w:val="21"/>
                <w:szCs w:val="21"/>
              </w:rPr>
            </w:pPr>
          </w:p>
          <w:p w14:paraId="559AA92C">
            <w:pPr>
              <w:pStyle w:val="3"/>
              <w:spacing w:line="440" w:lineRule="exact"/>
              <w:ind w:firstLine="0" w:firstLineChars="0"/>
              <w:jc w:val="center"/>
              <w:rPr>
                <w:rFonts w:hAnsi="宋体" w:eastAsia="宋体"/>
                <w:b/>
                <w:color w:val="auto"/>
                <w:szCs w:val="22"/>
              </w:rPr>
            </w:pPr>
            <w:r>
              <w:drawing>
                <wp:anchor distT="0" distB="0" distL="114300" distR="114300" simplePos="0" relativeHeight="251692032" behindDoc="1" locked="0" layoutInCell="1" allowOverlap="1">
                  <wp:simplePos x="0" y="0"/>
                  <wp:positionH relativeFrom="column">
                    <wp:posOffset>372745</wp:posOffset>
                  </wp:positionH>
                  <wp:positionV relativeFrom="paragraph">
                    <wp:posOffset>-2971800</wp:posOffset>
                  </wp:positionV>
                  <wp:extent cx="3832225" cy="2809875"/>
                  <wp:effectExtent l="0" t="0" r="15875" b="9525"/>
                  <wp:wrapNone/>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7"/>
                          <a:stretch>
                            <a:fillRect/>
                          </a:stretch>
                        </pic:blipFill>
                        <pic:spPr>
                          <a:xfrm>
                            <a:off x="0" y="0"/>
                            <a:ext cx="3832225" cy="2809875"/>
                          </a:xfrm>
                          <a:prstGeom prst="rect">
                            <a:avLst/>
                          </a:prstGeom>
                          <a:noFill/>
                          <a:ln>
                            <a:noFill/>
                          </a:ln>
                        </pic:spPr>
                      </pic:pic>
                    </a:graphicData>
                  </a:graphic>
                </wp:anchor>
              </w:drawing>
            </w:r>
            <w:r>
              <w:rPr>
                <w:rFonts w:hint="eastAsia" w:hAnsi="宋体" w:eastAsia="宋体"/>
                <w:b/>
                <w:color w:val="auto"/>
                <w:sz w:val="21"/>
                <w:szCs w:val="21"/>
              </w:rPr>
              <w:t>图1-1  安吉县环境管控单元分类图</w:t>
            </w:r>
          </w:p>
          <w:p w14:paraId="1CFC6920">
            <w:pPr>
              <w:pStyle w:val="3"/>
              <w:spacing w:line="440" w:lineRule="exact"/>
              <w:ind w:firstLine="0" w:firstLineChars="0"/>
              <w:rPr>
                <w:rFonts w:hAnsi="宋体" w:eastAsia="宋体"/>
                <w:bCs/>
                <w:color w:val="auto"/>
                <w:kern w:val="44"/>
                <w:szCs w:val="44"/>
              </w:rPr>
            </w:pPr>
            <w:r>
              <w:rPr>
                <w:rFonts w:hint="eastAsia" w:hAnsi="宋体" w:eastAsia="宋体"/>
                <w:b/>
                <w:color w:val="auto"/>
                <w:szCs w:val="22"/>
              </w:rPr>
              <w:t>1.3</w:t>
            </w:r>
            <w:r>
              <w:rPr>
                <w:rFonts w:hAnsi="宋体" w:eastAsia="宋体"/>
                <w:b/>
                <w:color w:val="auto"/>
                <w:szCs w:val="22"/>
              </w:rPr>
              <w:t>.</w:t>
            </w:r>
            <w:r>
              <w:rPr>
                <w:rFonts w:hint="eastAsia" w:hAnsi="宋体" w:eastAsia="宋体"/>
                <w:b/>
                <w:color w:val="auto"/>
                <w:szCs w:val="22"/>
              </w:rPr>
              <w:t>2《</w:t>
            </w:r>
            <w:r>
              <w:rPr>
                <w:rFonts w:hAnsi="宋体" w:eastAsia="宋体"/>
                <w:b/>
                <w:color w:val="auto"/>
                <w:szCs w:val="22"/>
              </w:rPr>
              <w:t>太湖流域管理条例</w:t>
            </w:r>
            <w:r>
              <w:rPr>
                <w:rFonts w:hint="eastAsia" w:hAnsi="宋体" w:eastAsia="宋体"/>
                <w:b/>
                <w:color w:val="auto"/>
                <w:szCs w:val="22"/>
              </w:rPr>
              <w:t>》</w:t>
            </w:r>
            <w:r>
              <w:rPr>
                <w:rFonts w:hAnsi="宋体" w:eastAsia="宋体"/>
                <w:b/>
                <w:color w:val="auto"/>
                <w:szCs w:val="22"/>
              </w:rPr>
              <w:t>(国务院令第 604 号) 相符性分析</w:t>
            </w:r>
          </w:p>
          <w:p w14:paraId="14811DD2">
            <w:pPr>
              <w:tabs>
                <w:tab w:val="left" w:pos="677"/>
              </w:tabs>
              <w:spacing w:line="440" w:lineRule="exact"/>
              <w:ind w:firstLine="480" w:firstLineChars="200"/>
              <w:rPr>
                <w:b/>
                <w:color w:val="auto"/>
                <w:szCs w:val="21"/>
              </w:rPr>
            </w:pPr>
            <w:r>
              <w:rPr>
                <w:rFonts w:hint="eastAsia"/>
                <w:color w:val="auto"/>
                <w:sz w:val="24"/>
              </w:rPr>
              <w:t>经与《太湖流域管理条例》(国务院令第 604 号)</w:t>
            </w:r>
            <w:r>
              <w:rPr>
                <w:color w:val="auto"/>
                <w:sz w:val="24"/>
              </w:rPr>
              <w:t> </w:t>
            </w:r>
            <w:r>
              <w:rPr>
                <w:rFonts w:hint="eastAsia"/>
                <w:color w:val="auto"/>
                <w:sz w:val="24"/>
              </w:rPr>
              <w:t>进行对比分析可知，本项目实施符合该管理条例的相关要求，详见表1-3。</w:t>
            </w:r>
          </w:p>
          <w:p w14:paraId="49236C3A">
            <w:pPr>
              <w:tabs>
                <w:tab w:val="left" w:pos="677"/>
              </w:tabs>
              <w:spacing w:line="480" w:lineRule="exact"/>
              <w:jc w:val="center"/>
              <w:rPr>
                <w:b/>
                <w:color w:val="auto"/>
                <w:szCs w:val="21"/>
              </w:rPr>
            </w:pPr>
            <w:r>
              <w:rPr>
                <w:b/>
                <w:color w:val="auto"/>
                <w:szCs w:val="21"/>
              </w:rPr>
              <w:t>表</w:t>
            </w:r>
            <w:r>
              <w:rPr>
                <w:rFonts w:hint="eastAsia"/>
                <w:b/>
                <w:color w:val="auto"/>
                <w:szCs w:val="21"/>
              </w:rPr>
              <w:t>1</w:t>
            </w:r>
            <w:r>
              <w:rPr>
                <w:b/>
                <w:color w:val="auto"/>
                <w:szCs w:val="21"/>
              </w:rPr>
              <w:t>-</w:t>
            </w:r>
            <w:r>
              <w:rPr>
                <w:rFonts w:hint="eastAsia"/>
                <w:b/>
                <w:color w:val="auto"/>
                <w:szCs w:val="21"/>
              </w:rPr>
              <w:t>3 项目与</w:t>
            </w:r>
            <w:r>
              <w:rPr>
                <w:b/>
                <w:color w:val="auto"/>
                <w:szCs w:val="21"/>
              </w:rPr>
              <w:t>《太湖流域管理条例》对照分析</w:t>
            </w:r>
          </w:p>
          <w:tbl>
            <w:tblPr>
              <w:tblStyle w:val="37"/>
              <w:tblW w:w="6803"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803"/>
              <w:gridCol w:w="1812"/>
              <w:gridCol w:w="683"/>
            </w:tblGrid>
            <w:tr w14:paraId="6AFC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dxa"/>
                  <w:vAlign w:val="center"/>
                </w:tcPr>
                <w:p w14:paraId="1D041C4C">
                  <w:pPr>
                    <w:tabs>
                      <w:tab w:val="left" w:pos="677"/>
                    </w:tabs>
                    <w:jc w:val="center"/>
                    <w:rPr>
                      <w:b/>
                      <w:color w:val="auto"/>
                      <w:szCs w:val="21"/>
                    </w:rPr>
                  </w:pPr>
                  <w:r>
                    <w:rPr>
                      <w:rFonts w:hint="eastAsia"/>
                      <w:b/>
                      <w:color w:val="auto"/>
                      <w:szCs w:val="21"/>
                    </w:rPr>
                    <w:t>序号</w:t>
                  </w:r>
                </w:p>
              </w:tc>
              <w:tc>
                <w:tcPr>
                  <w:tcW w:w="3803" w:type="dxa"/>
                  <w:vAlign w:val="center"/>
                </w:tcPr>
                <w:p w14:paraId="04BD10EE">
                  <w:pPr>
                    <w:tabs>
                      <w:tab w:val="left" w:pos="677"/>
                    </w:tabs>
                    <w:jc w:val="center"/>
                    <w:rPr>
                      <w:b/>
                      <w:color w:val="auto"/>
                      <w:szCs w:val="21"/>
                    </w:rPr>
                  </w:pPr>
                  <w:r>
                    <w:rPr>
                      <w:rFonts w:hint="eastAsia"/>
                      <w:b/>
                      <w:color w:val="auto"/>
                      <w:szCs w:val="21"/>
                    </w:rPr>
                    <w:t>判断依据</w:t>
                  </w:r>
                </w:p>
              </w:tc>
              <w:tc>
                <w:tcPr>
                  <w:tcW w:w="1812" w:type="dxa"/>
                  <w:vAlign w:val="center"/>
                </w:tcPr>
                <w:p w14:paraId="5CEE8178">
                  <w:pPr>
                    <w:tabs>
                      <w:tab w:val="left" w:pos="677"/>
                    </w:tabs>
                    <w:jc w:val="center"/>
                    <w:rPr>
                      <w:b/>
                      <w:color w:val="auto"/>
                      <w:szCs w:val="21"/>
                    </w:rPr>
                  </w:pPr>
                  <w:r>
                    <w:rPr>
                      <w:rFonts w:hint="eastAsia"/>
                      <w:b/>
                      <w:color w:val="auto"/>
                      <w:szCs w:val="21"/>
                    </w:rPr>
                    <w:t>项目情况</w:t>
                  </w:r>
                </w:p>
              </w:tc>
              <w:tc>
                <w:tcPr>
                  <w:tcW w:w="683" w:type="dxa"/>
                  <w:vAlign w:val="center"/>
                </w:tcPr>
                <w:p w14:paraId="00C5ACF3">
                  <w:pPr>
                    <w:tabs>
                      <w:tab w:val="left" w:pos="677"/>
                    </w:tabs>
                    <w:jc w:val="center"/>
                    <w:rPr>
                      <w:b/>
                      <w:color w:val="auto"/>
                      <w:szCs w:val="21"/>
                    </w:rPr>
                  </w:pPr>
                  <w:r>
                    <w:rPr>
                      <w:rFonts w:hint="eastAsia"/>
                      <w:b/>
                      <w:color w:val="auto"/>
                      <w:szCs w:val="21"/>
                    </w:rPr>
                    <w:t>是否符合</w:t>
                  </w:r>
                </w:p>
              </w:tc>
            </w:tr>
            <w:tr w14:paraId="2675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dxa"/>
                  <w:vAlign w:val="center"/>
                </w:tcPr>
                <w:p w14:paraId="36EBC96E">
                  <w:pPr>
                    <w:tabs>
                      <w:tab w:val="left" w:pos="677"/>
                    </w:tabs>
                    <w:jc w:val="center"/>
                    <w:rPr>
                      <w:color w:val="auto"/>
                      <w:szCs w:val="21"/>
                    </w:rPr>
                  </w:pPr>
                  <w:r>
                    <w:rPr>
                      <w:rFonts w:hint="eastAsia"/>
                      <w:color w:val="auto"/>
                      <w:szCs w:val="21"/>
                    </w:rPr>
                    <w:t>1</w:t>
                  </w:r>
                </w:p>
              </w:tc>
              <w:tc>
                <w:tcPr>
                  <w:tcW w:w="3803" w:type="dxa"/>
                  <w:vAlign w:val="center"/>
                </w:tcPr>
                <w:p w14:paraId="00F3960F">
                  <w:pPr>
                    <w:tabs>
                      <w:tab w:val="left" w:pos="677"/>
                    </w:tabs>
                    <w:jc w:val="center"/>
                    <w:rPr>
                      <w:color w:val="auto"/>
                      <w:szCs w:val="21"/>
                    </w:rPr>
                  </w:pPr>
                  <w:r>
                    <w:rPr>
                      <w:rFonts w:hAnsi="Arial"/>
                      <w:color w:val="auto"/>
                      <w:szCs w:val="21"/>
                    </w:rPr>
                    <w:t>第二十五条　太湖流域实行重点水污染物排放总量控制制度</w:t>
                  </w:r>
                  <w:r>
                    <w:rPr>
                      <w:rFonts w:hint="eastAsia" w:hAnsi="Arial"/>
                      <w:color w:val="auto"/>
                      <w:szCs w:val="21"/>
                    </w:rPr>
                    <w:t>。</w:t>
                  </w:r>
                </w:p>
              </w:tc>
              <w:tc>
                <w:tcPr>
                  <w:tcW w:w="1812" w:type="dxa"/>
                  <w:vAlign w:val="center"/>
                </w:tcPr>
                <w:p w14:paraId="5B33C36F">
                  <w:pPr>
                    <w:tabs>
                      <w:tab w:val="left" w:pos="677"/>
                    </w:tabs>
                    <w:rPr>
                      <w:color w:val="auto"/>
                      <w:szCs w:val="21"/>
                    </w:rPr>
                  </w:pPr>
                  <w:r>
                    <w:rPr>
                      <w:rFonts w:hAnsi="Arial"/>
                      <w:color w:val="auto"/>
                      <w:szCs w:val="21"/>
                    </w:rPr>
                    <w:t>本项目</w:t>
                  </w:r>
                  <w:r>
                    <w:rPr>
                      <w:rFonts w:hint="eastAsia" w:hAnsi="Arial"/>
                      <w:color w:val="auto"/>
                      <w:szCs w:val="21"/>
                    </w:rPr>
                    <w:t>生活污水纳管排放，</w:t>
                  </w:r>
                  <w:r>
                    <w:rPr>
                      <w:rFonts w:hAnsi="Arial"/>
                      <w:color w:val="auto"/>
                      <w:szCs w:val="21"/>
                    </w:rPr>
                    <w:t>符合总量控制制度</w:t>
                  </w:r>
                  <w:r>
                    <w:rPr>
                      <w:rFonts w:hint="eastAsia" w:hAnsi="Arial"/>
                      <w:color w:val="auto"/>
                      <w:szCs w:val="21"/>
                    </w:rPr>
                    <w:t>。</w:t>
                  </w:r>
                </w:p>
              </w:tc>
              <w:tc>
                <w:tcPr>
                  <w:tcW w:w="683" w:type="dxa"/>
                  <w:vAlign w:val="center"/>
                </w:tcPr>
                <w:p w14:paraId="17D7A798">
                  <w:pPr>
                    <w:tabs>
                      <w:tab w:val="left" w:pos="677"/>
                    </w:tabs>
                    <w:jc w:val="center"/>
                    <w:rPr>
                      <w:color w:val="auto"/>
                      <w:szCs w:val="21"/>
                    </w:rPr>
                  </w:pPr>
                  <w:r>
                    <w:rPr>
                      <w:rFonts w:hint="eastAsia"/>
                      <w:color w:val="auto"/>
                      <w:szCs w:val="21"/>
                    </w:rPr>
                    <w:t>符合</w:t>
                  </w:r>
                </w:p>
              </w:tc>
            </w:tr>
            <w:tr w14:paraId="08B0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dxa"/>
                  <w:vAlign w:val="center"/>
                </w:tcPr>
                <w:p w14:paraId="68C752DB">
                  <w:pPr>
                    <w:tabs>
                      <w:tab w:val="left" w:pos="677"/>
                    </w:tabs>
                    <w:jc w:val="center"/>
                    <w:rPr>
                      <w:color w:val="auto"/>
                      <w:szCs w:val="21"/>
                    </w:rPr>
                  </w:pPr>
                  <w:r>
                    <w:rPr>
                      <w:rFonts w:hint="eastAsia"/>
                      <w:color w:val="auto"/>
                      <w:szCs w:val="21"/>
                    </w:rPr>
                    <w:t>2</w:t>
                  </w:r>
                </w:p>
              </w:tc>
              <w:tc>
                <w:tcPr>
                  <w:tcW w:w="3803" w:type="dxa"/>
                  <w:vAlign w:val="center"/>
                </w:tcPr>
                <w:p w14:paraId="2E6D1E04">
                  <w:pPr>
                    <w:tabs>
                      <w:tab w:val="left" w:pos="677"/>
                    </w:tabs>
                    <w:jc w:val="center"/>
                    <w:rPr>
                      <w:color w:val="auto"/>
                      <w:szCs w:val="21"/>
                    </w:rPr>
                  </w:pPr>
                  <w:r>
                    <w:rPr>
                      <w:rFonts w:hAnsi="Arial"/>
                      <w:color w:val="auto"/>
                      <w:szCs w:val="21"/>
                    </w:rPr>
                    <w:t>第二十八条　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w:t>
                  </w:r>
                </w:p>
              </w:tc>
              <w:tc>
                <w:tcPr>
                  <w:tcW w:w="1812" w:type="dxa"/>
                  <w:vAlign w:val="center"/>
                </w:tcPr>
                <w:p w14:paraId="65773FF6">
                  <w:pPr>
                    <w:tabs>
                      <w:tab w:val="left" w:pos="677"/>
                    </w:tabs>
                    <w:rPr>
                      <w:color w:val="auto"/>
                      <w:szCs w:val="21"/>
                    </w:rPr>
                  </w:pPr>
                  <w:r>
                    <w:rPr>
                      <w:rFonts w:hint="eastAsia"/>
                      <w:color w:val="auto"/>
                      <w:szCs w:val="21"/>
                    </w:rPr>
                    <w:t>本项目设置</w:t>
                  </w:r>
                  <w:r>
                    <w:rPr>
                      <w:rFonts w:hAnsi="Arial"/>
                      <w:color w:val="auto"/>
                      <w:szCs w:val="21"/>
                    </w:rPr>
                    <w:t>规范化排污口</w:t>
                  </w:r>
                  <w:r>
                    <w:rPr>
                      <w:rFonts w:hint="eastAsia" w:hAnsi="Arial"/>
                      <w:color w:val="auto"/>
                      <w:szCs w:val="21"/>
                    </w:rPr>
                    <w:t>，本项目不属于</w:t>
                  </w:r>
                  <w:r>
                    <w:rPr>
                      <w:rFonts w:hAnsi="Arial"/>
                      <w:color w:val="auto"/>
                      <w:szCs w:val="21"/>
                    </w:rPr>
                    <w:t>不符合国家产业政策和水环境综合治理要求</w:t>
                  </w:r>
                  <w:r>
                    <w:rPr>
                      <w:rFonts w:hint="eastAsia" w:hAnsi="Arial"/>
                      <w:color w:val="auto"/>
                      <w:szCs w:val="21"/>
                    </w:rPr>
                    <w:t>的行业。</w:t>
                  </w:r>
                  <w:r>
                    <w:rPr>
                      <w:rFonts w:hAnsi="Arial"/>
                      <w:color w:val="auto"/>
                      <w:szCs w:val="21"/>
                    </w:rPr>
                    <w:t>本项目达到相关清洁生产要求</w:t>
                  </w:r>
                  <w:r>
                    <w:rPr>
                      <w:rFonts w:hint="eastAsia" w:hAnsi="Arial"/>
                      <w:color w:val="auto"/>
                      <w:szCs w:val="21"/>
                    </w:rPr>
                    <w:t>。</w:t>
                  </w:r>
                </w:p>
              </w:tc>
              <w:tc>
                <w:tcPr>
                  <w:tcW w:w="683" w:type="dxa"/>
                  <w:vAlign w:val="center"/>
                </w:tcPr>
                <w:p w14:paraId="3D708189">
                  <w:pPr>
                    <w:tabs>
                      <w:tab w:val="left" w:pos="677"/>
                    </w:tabs>
                    <w:jc w:val="center"/>
                    <w:rPr>
                      <w:color w:val="auto"/>
                      <w:szCs w:val="21"/>
                    </w:rPr>
                  </w:pPr>
                  <w:r>
                    <w:rPr>
                      <w:rFonts w:hint="eastAsia"/>
                      <w:color w:val="auto"/>
                      <w:szCs w:val="21"/>
                    </w:rPr>
                    <w:t>符合</w:t>
                  </w:r>
                </w:p>
              </w:tc>
            </w:tr>
            <w:tr w14:paraId="653C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dxa"/>
                  <w:vAlign w:val="center"/>
                </w:tcPr>
                <w:p w14:paraId="228470FA">
                  <w:pPr>
                    <w:tabs>
                      <w:tab w:val="left" w:pos="677"/>
                    </w:tabs>
                    <w:jc w:val="center"/>
                    <w:rPr>
                      <w:color w:val="auto"/>
                      <w:szCs w:val="21"/>
                    </w:rPr>
                  </w:pPr>
                  <w:r>
                    <w:rPr>
                      <w:rFonts w:hint="eastAsia"/>
                      <w:color w:val="auto"/>
                      <w:szCs w:val="21"/>
                    </w:rPr>
                    <w:t>3</w:t>
                  </w:r>
                </w:p>
              </w:tc>
              <w:tc>
                <w:tcPr>
                  <w:tcW w:w="3803" w:type="dxa"/>
                  <w:vAlign w:val="center"/>
                </w:tcPr>
                <w:p w14:paraId="741AB0E0">
                  <w:pPr>
                    <w:tabs>
                      <w:tab w:val="left" w:pos="677"/>
                    </w:tabs>
                    <w:jc w:val="center"/>
                    <w:rPr>
                      <w:color w:val="auto"/>
                      <w:szCs w:val="21"/>
                    </w:rPr>
                  </w:pPr>
                  <w:r>
                    <w:rPr>
                      <w:rFonts w:hAnsi="Arial"/>
                      <w:color w:val="auto"/>
                      <w:szCs w:val="21"/>
                    </w:rPr>
                    <w:t>第二十九条　新孟河、望虞河以外的其他主要入太湖河道，自河口</w:t>
                  </w:r>
                  <w:r>
                    <w:rPr>
                      <w:color w:val="auto"/>
                      <w:szCs w:val="21"/>
                    </w:rPr>
                    <w:t>1</w:t>
                  </w:r>
                  <w:r>
                    <w:rPr>
                      <w:rFonts w:hAnsi="Arial"/>
                      <w:color w:val="auto"/>
                      <w:szCs w:val="21"/>
                    </w:rPr>
                    <w:t>万米上溯至</w:t>
                  </w:r>
                  <w:r>
                    <w:rPr>
                      <w:color w:val="auto"/>
                      <w:szCs w:val="21"/>
                    </w:rPr>
                    <w:t>5</w:t>
                  </w:r>
                  <w:r>
                    <w:rPr>
                      <w:rFonts w:hAnsi="Arial"/>
                      <w:color w:val="auto"/>
                      <w:szCs w:val="21"/>
                    </w:rPr>
                    <w:t>万米河道岸线内及其岸线两侧各</w:t>
                  </w:r>
                  <w:r>
                    <w:rPr>
                      <w:color w:val="auto"/>
                      <w:szCs w:val="21"/>
                    </w:rPr>
                    <w:t>1000</w:t>
                  </w:r>
                  <w:r>
                    <w:rPr>
                      <w:rFonts w:hAnsi="Arial"/>
                      <w:color w:val="auto"/>
                      <w:szCs w:val="21"/>
                    </w:rPr>
                    <w:t>米范围内，禁止下列行为：（一）新建、扩建化工、医药生产项目；（二）新建、扩建污水集中处理设施排污口以外的排污口；（三）扩大水产养殖规模。</w:t>
                  </w:r>
                </w:p>
              </w:tc>
              <w:tc>
                <w:tcPr>
                  <w:tcW w:w="1812" w:type="dxa"/>
                  <w:vAlign w:val="center"/>
                </w:tcPr>
                <w:p w14:paraId="4ED0712E">
                  <w:pPr>
                    <w:tabs>
                      <w:tab w:val="left" w:pos="677"/>
                    </w:tabs>
                    <w:rPr>
                      <w:color w:val="auto"/>
                      <w:szCs w:val="21"/>
                    </w:rPr>
                  </w:pPr>
                  <w:r>
                    <w:rPr>
                      <w:rFonts w:hAnsi="Arial"/>
                      <w:color w:val="auto"/>
                      <w:szCs w:val="21"/>
                    </w:rPr>
                    <w:t>本项目不在新孟河、望虞河以外的其他主要入太湖河道，自河口</w:t>
                  </w:r>
                  <w:r>
                    <w:rPr>
                      <w:color w:val="auto"/>
                      <w:szCs w:val="21"/>
                    </w:rPr>
                    <w:t>1</w:t>
                  </w:r>
                  <w:r>
                    <w:rPr>
                      <w:rFonts w:hAnsi="Arial"/>
                      <w:color w:val="auto"/>
                      <w:szCs w:val="21"/>
                    </w:rPr>
                    <w:t>万米上溯至</w:t>
                  </w:r>
                  <w:r>
                    <w:rPr>
                      <w:color w:val="auto"/>
                      <w:szCs w:val="21"/>
                    </w:rPr>
                    <w:t>5</w:t>
                  </w:r>
                  <w:r>
                    <w:rPr>
                      <w:rFonts w:hAnsi="Arial"/>
                      <w:color w:val="auto"/>
                      <w:szCs w:val="21"/>
                    </w:rPr>
                    <w:t>万米河道岸线内及其岸线两侧各</w:t>
                  </w:r>
                  <w:r>
                    <w:rPr>
                      <w:color w:val="auto"/>
                      <w:szCs w:val="21"/>
                    </w:rPr>
                    <w:t>1000</w:t>
                  </w:r>
                  <w:r>
                    <w:rPr>
                      <w:rFonts w:hAnsi="Arial"/>
                      <w:color w:val="auto"/>
                      <w:szCs w:val="21"/>
                    </w:rPr>
                    <w:t>米范围内</w:t>
                  </w:r>
                  <w:r>
                    <w:rPr>
                      <w:rFonts w:hint="eastAsia" w:hAnsi="Arial"/>
                      <w:color w:val="auto"/>
                      <w:szCs w:val="21"/>
                    </w:rPr>
                    <w:t>。</w:t>
                  </w:r>
                </w:p>
              </w:tc>
              <w:tc>
                <w:tcPr>
                  <w:tcW w:w="683" w:type="dxa"/>
                  <w:vAlign w:val="center"/>
                </w:tcPr>
                <w:p w14:paraId="04F12E0C">
                  <w:pPr>
                    <w:tabs>
                      <w:tab w:val="left" w:pos="677"/>
                    </w:tabs>
                    <w:jc w:val="center"/>
                    <w:rPr>
                      <w:color w:val="auto"/>
                      <w:szCs w:val="21"/>
                    </w:rPr>
                  </w:pPr>
                  <w:r>
                    <w:rPr>
                      <w:rFonts w:hint="eastAsia"/>
                      <w:color w:val="auto"/>
                      <w:szCs w:val="21"/>
                    </w:rPr>
                    <w:t>符合</w:t>
                  </w:r>
                </w:p>
              </w:tc>
            </w:tr>
            <w:tr w14:paraId="0864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5" w:type="dxa"/>
                  <w:vAlign w:val="center"/>
                </w:tcPr>
                <w:p w14:paraId="24FF0CFD">
                  <w:pPr>
                    <w:tabs>
                      <w:tab w:val="left" w:pos="677"/>
                    </w:tabs>
                    <w:jc w:val="center"/>
                    <w:rPr>
                      <w:color w:val="auto"/>
                      <w:szCs w:val="21"/>
                    </w:rPr>
                  </w:pPr>
                  <w:r>
                    <w:rPr>
                      <w:rFonts w:hint="eastAsia"/>
                      <w:color w:val="auto"/>
                      <w:szCs w:val="21"/>
                    </w:rPr>
                    <w:t>4</w:t>
                  </w:r>
                </w:p>
              </w:tc>
              <w:tc>
                <w:tcPr>
                  <w:tcW w:w="3803" w:type="dxa"/>
                  <w:vAlign w:val="center"/>
                </w:tcPr>
                <w:p w14:paraId="30D91352">
                  <w:pPr>
                    <w:tabs>
                      <w:tab w:val="left" w:pos="677"/>
                    </w:tabs>
                    <w:jc w:val="left"/>
                    <w:rPr>
                      <w:color w:val="auto"/>
                      <w:szCs w:val="21"/>
                    </w:rPr>
                  </w:pPr>
                  <w:r>
                    <w:rPr>
                      <w:rFonts w:hAnsi="Arial"/>
                      <w:color w:val="auto"/>
                      <w:szCs w:val="21"/>
                    </w:rPr>
                    <w:t>第三十条　太湖岸线内和岸线周边</w:t>
                  </w:r>
                  <w:r>
                    <w:rPr>
                      <w:color w:val="auto"/>
                      <w:szCs w:val="21"/>
                    </w:rPr>
                    <w:t>5000</w:t>
                  </w:r>
                  <w:r>
                    <w:rPr>
                      <w:rFonts w:hAnsi="Arial"/>
                      <w:color w:val="auto"/>
                      <w:szCs w:val="21"/>
                    </w:rPr>
                    <w:t>米范围内，淀山湖岸线内和岸线周边</w:t>
                  </w:r>
                  <w:r>
                    <w:rPr>
                      <w:color w:val="auto"/>
                      <w:szCs w:val="21"/>
                    </w:rPr>
                    <w:t>2000</w:t>
                  </w:r>
                  <w:r>
                    <w:rPr>
                      <w:rFonts w:hAnsi="Arial"/>
                      <w:color w:val="auto"/>
                      <w:szCs w:val="21"/>
                    </w:rPr>
                    <w:t>米范围内，太浦河、新孟河、望虞河岸线内和岸线两侧各</w:t>
                  </w:r>
                  <w:r>
                    <w:rPr>
                      <w:color w:val="auto"/>
                      <w:szCs w:val="21"/>
                    </w:rPr>
                    <w:t>1000</w:t>
                  </w:r>
                  <w:r>
                    <w:rPr>
                      <w:rFonts w:hAnsi="Arial"/>
                      <w:color w:val="auto"/>
                      <w:szCs w:val="21"/>
                    </w:rPr>
                    <w:t>米范围内，其他主要入太湖河道自河口上溯至</w:t>
                  </w:r>
                  <w:r>
                    <w:rPr>
                      <w:color w:val="auto"/>
                      <w:szCs w:val="21"/>
                    </w:rPr>
                    <w:t>1</w:t>
                  </w:r>
                  <w:r>
                    <w:rPr>
                      <w:rFonts w:hAnsi="Arial"/>
                      <w:color w:val="auto"/>
                      <w:szCs w:val="21"/>
                    </w:rPr>
                    <w:t>万米河道岸线内及其岸线两侧各</w:t>
                  </w:r>
                  <w:r>
                    <w:rPr>
                      <w:color w:val="auto"/>
                      <w:szCs w:val="21"/>
                    </w:rPr>
                    <w:t>1000</w:t>
                  </w:r>
                  <w:r>
                    <w:rPr>
                      <w:rFonts w:hAnsi="Arial"/>
                      <w:color w:val="auto"/>
                      <w:szCs w:val="21"/>
                    </w:rPr>
                    <w:t>米范围内，禁止下列行为：（一）设置剧毒物质、危险化学品的贮存、输送设施和废物回收场、垃圾场；（二）设置水上餐饮经营设施；（三）新建、扩建高尔夫球场</w:t>
                  </w:r>
                  <w:r>
                    <w:rPr>
                      <w:color w:val="auto"/>
                      <w:szCs w:val="21"/>
                    </w:rPr>
                    <w:t>;</w:t>
                  </w:r>
                  <w:r>
                    <w:rPr>
                      <w:rFonts w:hAnsi="Arial"/>
                      <w:color w:val="auto"/>
                      <w:szCs w:val="21"/>
                    </w:rPr>
                    <w:t>（四）新建、扩建畜禽养殖场；（五）新建、扩建向水体排放污染物的建设项目；（六）本条例第二十九条规定的行为。</w:t>
                  </w:r>
                </w:p>
              </w:tc>
              <w:tc>
                <w:tcPr>
                  <w:tcW w:w="1812" w:type="dxa"/>
                  <w:vAlign w:val="center"/>
                </w:tcPr>
                <w:p w14:paraId="24B4FC20">
                  <w:pPr>
                    <w:tabs>
                      <w:tab w:val="left" w:pos="677"/>
                    </w:tabs>
                    <w:rPr>
                      <w:color w:val="auto"/>
                      <w:szCs w:val="21"/>
                    </w:rPr>
                  </w:pPr>
                  <w:r>
                    <w:rPr>
                      <w:rFonts w:hAnsi="Arial"/>
                      <w:color w:val="auto"/>
                      <w:szCs w:val="21"/>
                    </w:rPr>
                    <w:t>本项目不在太湖岸线内和岸线周边</w:t>
                  </w:r>
                  <w:r>
                    <w:rPr>
                      <w:color w:val="auto"/>
                      <w:szCs w:val="21"/>
                    </w:rPr>
                    <w:t>5000</w:t>
                  </w:r>
                  <w:r>
                    <w:rPr>
                      <w:rFonts w:hAnsi="Arial"/>
                      <w:color w:val="auto"/>
                      <w:szCs w:val="21"/>
                    </w:rPr>
                    <w:t>米范围内，淀山湖岸线内和岸线周边</w:t>
                  </w:r>
                  <w:r>
                    <w:rPr>
                      <w:color w:val="auto"/>
                      <w:szCs w:val="21"/>
                    </w:rPr>
                    <w:t>2000</w:t>
                  </w:r>
                  <w:r>
                    <w:rPr>
                      <w:rFonts w:hAnsi="Arial"/>
                      <w:color w:val="auto"/>
                      <w:szCs w:val="21"/>
                    </w:rPr>
                    <w:t>米范围内，太浦河、新孟河、望虞河岸线内和岸线两侧各</w:t>
                  </w:r>
                  <w:r>
                    <w:rPr>
                      <w:color w:val="auto"/>
                      <w:szCs w:val="21"/>
                    </w:rPr>
                    <w:t>1000</w:t>
                  </w:r>
                  <w:r>
                    <w:rPr>
                      <w:rFonts w:hAnsi="Arial"/>
                      <w:color w:val="auto"/>
                      <w:szCs w:val="21"/>
                    </w:rPr>
                    <w:t>米范围内，其他主要入太湖河道自河口上溯至</w:t>
                  </w:r>
                  <w:r>
                    <w:rPr>
                      <w:color w:val="auto"/>
                      <w:szCs w:val="21"/>
                    </w:rPr>
                    <w:t>1</w:t>
                  </w:r>
                  <w:r>
                    <w:rPr>
                      <w:rFonts w:hAnsi="Arial"/>
                      <w:color w:val="auto"/>
                      <w:szCs w:val="21"/>
                    </w:rPr>
                    <w:t>万米河道岸线内及其岸线两侧各</w:t>
                  </w:r>
                  <w:r>
                    <w:rPr>
                      <w:color w:val="auto"/>
                      <w:szCs w:val="21"/>
                    </w:rPr>
                    <w:t>1000</w:t>
                  </w:r>
                  <w:r>
                    <w:rPr>
                      <w:rFonts w:hAnsi="Arial"/>
                      <w:color w:val="auto"/>
                      <w:szCs w:val="21"/>
                    </w:rPr>
                    <w:t>米范围内</w:t>
                  </w:r>
                  <w:r>
                    <w:rPr>
                      <w:rFonts w:hint="eastAsia" w:hAnsi="Arial"/>
                      <w:color w:val="auto"/>
                      <w:szCs w:val="21"/>
                    </w:rPr>
                    <w:t>。</w:t>
                  </w:r>
                </w:p>
              </w:tc>
              <w:tc>
                <w:tcPr>
                  <w:tcW w:w="683" w:type="dxa"/>
                  <w:vAlign w:val="center"/>
                </w:tcPr>
                <w:p w14:paraId="0E9D9303">
                  <w:pPr>
                    <w:tabs>
                      <w:tab w:val="left" w:pos="677"/>
                    </w:tabs>
                    <w:jc w:val="center"/>
                    <w:rPr>
                      <w:color w:val="auto"/>
                      <w:szCs w:val="21"/>
                    </w:rPr>
                  </w:pPr>
                  <w:r>
                    <w:rPr>
                      <w:rFonts w:hint="eastAsia"/>
                      <w:color w:val="auto"/>
                      <w:szCs w:val="21"/>
                    </w:rPr>
                    <w:t>符合</w:t>
                  </w:r>
                </w:p>
              </w:tc>
            </w:tr>
          </w:tbl>
          <w:p w14:paraId="4BAD075C">
            <w:pPr>
              <w:pStyle w:val="3"/>
              <w:spacing w:line="440" w:lineRule="exact"/>
              <w:ind w:firstLine="46" w:firstLineChars="19"/>
              <w:rPr>
                <w:rFonts w:hAnsi="宋体" w:eastAsia="宋体"/>
                <w:bCs/>
                <w:color w:val="auto"/>
                <w:kern w:val="44"/>
                <w:szCs w:val="44"/>
              </w:rPr>
            </w:pPr>
            <w:r>
              <w:rPr>
                <w:rFonts w:hint="eastAsia" w:hAnsi="宋体" w:eastAsia="宋体"/>
                <w:b/>
                <w:color w:val="auto"/>
                <w:szCs w:val="22"/>
              </w:rPr>
              <w:t>1.3.3</w:t>
            </w:r>
            <w:r>
              <w:rPr>
                <w:rFonts w:hAnsi="宋体" w:eastAsia="宋体"/>
                <w:b/>
                <w:color w:val="auto"/>
                <w:szCs w:val="22"/>
              </w:rPr>
              <w:t>《</w:t>
            </w:r>
            <w:r>
              <w:rPr>
                <w:rFonts w:hint="eastAsia" w:hAnsi="宋体" w:eastAsia="宋体"/>
                <w:b/>
                <w:color w:val="auto"/>
                <w:szCs w:val="22"/>
              </w:rPr>
              <w:t>关于落实&lt;水污染防治行动计划&gt;实施区域差别化环境准入的指导意见（环环评[2016]190号）</w:t>
            </w:r>
            <w:r>
              <w:rPr>
                <w:rFonts w:hAnsi="宋体" w:eastAsia="宋体"/>
                <w:b/>
                <w:color w:val="auto"/>
                <w:szCs w:val="22"/>
              </w:rPr>
              <w:t>》相符性分析</w:t>
            </w:r>
          </w:p>
          <w:p w14:paraId="37EF5A8D">
            <w:pPr>
              <w:tabs>
                <w:tab w:val="left" w:pos="677"/>
              </w:tabs>
              <w:spacing w:line="440" w:lineRule="exact"/>
              <w:ind w:firstLine="480" w:firstLineChars="200"/>
              <w:rPr>
                <w:color w:val="auto"/>
                <w:sz w:val="24"/>
              </w:rPr>
            </w:pPr>
            <w:r>
              <w:rPr>
                <w:rFonts w:hint="eastAsia"/>
                <w:color w:val="auto"/>
                <w:sz w:val="24"/>
              </w:rPr>
              <w:t>经与《关于落实&lt;水污染防治行动计划&gt;实施区域差别化环境准入的指导意见（环环评[2016]190号）》进行对比分析可知，本项目实施符合该指导意见的相关要求，详见表1-4。</w:t>
            </w:r>
          </w:p>
          <w:p w14:paraId="4D81EC1B">
            <w:pPr>
              <w:tabs>
                <w:tab w:val="left" w:pos="677"/>
              </w:tabs>
              <w:spacing w:beforeLines="50"/>
              <w:jc w:val="center"/>
              <w:rPr>
                <w:b/>
                <w:color w:val="auto"/>
                <w:szCs w:val="21"/>
              </w:rPr>
            </w:pPr>
            <w:r>
              <w:rPr>
                <w:b/>
                <w:color w:val="auto"/>
                <w:szCs w:val="21"/>
              </w:rPr>
              <w:t>表</w:t>
            </w:r>
            <w:r>
              <w:rPr>
                <w:rFonts w:hint="eastAsia"/>
                <w:b/>
                <w:color w:val="auto"/>
                <w:szCs w:val="21"/>
              </w:rPr>
              <w:t>1</w:t>
            </w:r>
            <w:r>
              <w:rPr>
                <w:b/>
                <w:color w:val="auto"/>
                <w:szCs w:val="21"/>
              </w:rPr>
              <w:t>-</w:t>
            </w:r>
            <w:r>
              <w:rPr>
                <w:rFonts w:hint="eastAsia"/>
                <w:b/>
                <w:color w:val="auto"/>
                <w:szCs w:val="21"/>
              </w:rPr>
              <w:t>4 项目与</w:t>
            </w:r>
            <w:r>
              <w:rPr>
                <w:b/>
                <w:color w:val="auto"/>
                <w:szCs w:val="21"/>
              </w:rPr>
              <w:t>《</w:t>
            </w:r>
            <w:r>
              <w:rPr>
                <w:rFonts w:hint="eastAsia"/>
                <w:b/>
                <w:color w:val="auto"/>
                <w:szCs w:val="21"/>
              </w:rPr>
              <w:t>关于落实&lt;水污染防治行动计划&gt;实施区域差别化环境准入的指导意见（环环评[2016]190号）</w:t>
            </w:r>
            <w:r>
              <w:rPr>
                <w:b/>
                <w:color w:val="auto"/>
                <w:szCs w:val="21"/>
              </w:rPr>
              <w:t>》对照分析</w:t>
            </w:r>
          </w:p>
          <w:tbl>
            <w:tblPr>
              <w:tblStyle w:val="37"/>
              <w:tblW w:w="6803"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3937"/>
              <w:gridCol w:w="1620"/>
              <w:gridCol w:w="716"/>
            </w:tblGrid>
            <w:tr w14:paraId="6652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8" w:type="dxa"/>
                  <w:vAlign w:val="center"/>
                </w:tcPr>
                <w:p w14:paraId="5D4F0375">
                  <w:pPr>
                    <w:tabs>
                      <w:tab w:val="left" w:pos="677"/>
                    </w:tabs>
                    <w:jc w:val="center"/>
                    <w:rPr>
                      <w:b/>
                      <w:color w:val="auto"/>
                      <w:szCs w:val="21"/>
                    </w:rPr>
                  </w:pPr>
                  <w:r>
                    <w:rPr>
                      <w:rFonts w:hint="eastAsia"/>
                      <w:b/>
                      <w:color w:val="auto"/>
                      <w:szCs w:val="21"/>
                    </w:rPr>
                    <w:t>序号</w:t>
                  </w:r>
                </w:p>
              </w:tc>
              <w:tc>
                <w:tcPr>
                  <w:tcW w:w="6803" w:type="dxa"/>
                  <w:vAlign w:val="center"/>
                </w:tcPr>
                <w:p w14:paraId="673D5804">
                  <w:pPr>
                    <w:tabs>
                      <w:tab w:val="left" w:pos="677"/>
                    </w:tabs>
                    <w:jc w:val="center"/>
                    <w:rPr>
                      <w:b/>
                      <w:color w:val="auto"/>
                      <w:szCs w:val="21"/>
                    </w:rPr>
                  </w:pPr>
                  <w:r>
                    <w:rPr>
                      <w:rFonts w:hint="eastAsia"/>
                      <w:b/>
                      <w:color w:val="auto"/>
                      <w:szCs w:val="21"/>
                    </w:rPr>
                    <w:t>判断依据</w:t>
                  </w:r>
                </w:p>
              </w:tc>
              <w:tc>
                <w:tcPr>
                  <w:tcW w:w="2691" w:type="dxa"/>
                  <w:vAlign w:val="center"/>
                </w:tcPr>
                <w:p w14:paraId="1C66A6A6">
                  <w:pPr>
                    <w:tabs>
                      <w:tab w:val="left" w:pos="677"/>
                    </w:tabs>
                    <w:jc w:val="center"/>
                    <w:rPr>
                      <w:b/>
                      <w:color w:val="auto"/>
                      <w:szCs w:val="21"/>
                    </w:rPr>
                  </w:pPr>
                  <w:r>
                    <w:rPr>
                      <w:rFonts w:hint="eastAsia"/>
                      <w:b/>
                      <w:color w:val="auto"/>
                      <w:szCs w:val="21"/>
                    </w:rPr>
                    <w:t>项目情况</w:t>
                  </w:r>
                </w:p>
              </w:tc>
              <w:tc>
                <w:tcPr>
                  <w:tcW w:w="1088" w:type="dxa"/>
                  <w:vAlign w:val="center"/>
                </w:tcPr>
                <w:p w14:paraId="32EC7D39">
                  <w:pPr>
                    <w:tabs>
                      <w:tab w:val="left" w:pos="677"/>
                    </w:tabs>
                    <w:jc w:val="center"/>
                    <w:rPr>
                      <w:b/>
                      <w:color w:val="auto"/>
                      <w:szCs w:val="21"/>
                    </w:rPr>
                  </w:pPr>
                  <w:r>
                    <w:rPr>
                      <w:rFonts w:hint="eastAsia"/>
                      <w:b/>
                      <w:color w:val="auto"/>
                      <w:szCs w:val="21"/>
                    </w:rPr>
                    <w:t>是否符合</w:t>
                  </w:r>
                </w:p>
              </w:tc>
            </w:tr>
            <w:tr w14:paraId="12B0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8" w:type="dxa"/>
                  <w:vAlign w:val="center"/>
                </w:tcPr>
                <w:p w14:paraId="7C5E5A1F">
                  <w:pPr>
                    <w:tabs>
                      <w:tab w:val="left" w:pos="677"/>
                    </w:tabs>
                    <w:jc w:val="center"/>
                    <w:rPr>
                      <w:color w:val="auto"/>
                      <w:szCs w:val="21"/>
                    </w:rPr>
                  </w:pPr>
                  <w:r>
                    <w:rPr>
                      <w:rFonts w:hint="eastAsia"/>
                      <w:color w:val="auto"/>
                      <w:szCs w:val="21"/>
                    </w:rPr>
                    <w:t>1</w:t>
                  </w:r>
                </w:p>
              </w:tc>
              <w:tc>
                <w:tcPr>
                  <w:tcW w:w="6803" w:type="dxa"/>
                  <w:vAlign w:val="center"/>
                </w:tcPr>
                <w:p w14:paraId="2A28C4EE">
                  <w:pPr>
                    <w:tabs>
                      <w:tab w:val="left" w:pos="677"/>
                    </w:tabs>
                    <w:rPr>
                      <w:color w:val="auto"/>
                      <w:szCs w:val="21"/>
                    </w:rPr>
                  </w:pPr>
                  <w:r>
                    <w:rPr>
                      <w:rFonts w:hint="eastAsia" w:hAnsi="Arial"/>
                      <w:color w:val="auto"/>
                      <w:szCs w:val="21"/>
                    </w:rPr>
                    <w:t>禁止开发区。对国家和地方划定的禁止开发区、生态保护红线等进行严格管理，依据相关法律法规和政策规划实施强制性严格保护。严禁不符合主体功能定位和主导生态功能的各类开发活动，区域内新建工业和矿产开发项目不予环境准入，重大线性基础设施项目应优先采取避让措施，强化生态修复和补偿。</w:t>
                  </w:r>
                </w:p>
              </w:tc>
              <w:tc>
                <w:tcPr>
                  <w:tcW w:w="2691" w:type="dxa"/>
                  <w:vAlign w:val="center"/>
                </w:tcPr>
                <w:p w14:paraId="44D269E4">
                  <w:pPr>
                    <w:tabs>
                      <w:tab w:val="left" w:pos="677"/>
                    </w:tabs>
                    <w:rPr>
                      <w:color w:val="auto"/>
                      <w:szCs w:val="21"/>
                    </w:rPr>
                  </w:pPr>
                  <w:r>
                    <w:rPr>
                      <w:rFonts w:hAnsi="Arial"/>
                      <w:color w:val="auto"/>
                      <w:szCs w:val="21"/>
                    </w:rPr>
                    <w:t>本项目</w:t>
                  </w:r>
                  <w:r>
                    <w:rPr>
                      <w:rFonts w:hint="eastAsia" w:hAnsi="Arial"/>
                      <w:color w:val="auto"/>
                      <w:szCs w:val="21"/>
                    </w:rPr>
                    <w:t>不在禁止开发区内。</w:t>
                  </w:r>
                </w:p>
              </w:tc>
              <w:tc>
                <w:tcPr>
                  <w:tcW w:w="1088" w:type="dxa"/>
                  <w:vAlign w:val="center"/>
                </w:tcPr>
                <w:p w14:paraId="6E637246">
                  <w:pPr>
                    <w:tabs>
                      <w:tab w:val="left" w:pos="677"/>
                    </w:tabs>
                    <w:jc w:val="center"/>
                    <w:rPr>
                      <w:color w:val="auto"/>
                      <w:szCs w:val="21"/>
                    </w:rPr>
                  </w:pPr>
                  <w:r>
                    <w:rPr>
                      <w:rFonts w:hint="eastAsia"/>
                      <w:color w:val="auto"/>
                      <w:szCs w:val="21"/>
                    </w:rPr>
                    <w:t>符合</w:t>
                  </w:r>
                </w:p>
              </w:tc>
            </w:tr>
            <w:tr w14:paraId="1ADD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8" w:type="dxa"/>
                  <w:vAlign w:val="center"/>
                </w:tcPr>
                <w:p w14:paraId="0A79EA49">
                  <w:pPr>
                    <w:tabs>
                      <w:tab w:val="left" w:pos="677"/>
                    </w:tabs>
                    <w:jc w:val="center"/>
                    <w:rPr>
                      <w:color w:val="auto"/>
                      <w:szCs w:val="21"/>
                    </w:rPr>
                  </w:pPr>
                  <w:r>
                    <w:rPr>
                      <w:rFonts w:hint="eastAsia"/>
                      <w:color w:val="auto"/>
                      <w:szCs w:val="21"/>
                    </w:rPr>
                    <w:t>2</w:t>
                  </w:r>
                </w:p>
              </w:tc>
              <w:tc>
                <w:tcPr>
                  <w:tcW w:w="6803" w:type="dxa"/>
                  <w:vAlign w:val="center"/>
                </w:tcPr>
                <w:p w14:paraId="6C87CC58">
                  <w:pPr>
                    <w:tabs>
                      <w:tab w:val="left" w:pos="677"/>
                    </w:tabs>
                    <w:jc w:val="left"/>
                    <w:rPr>
                      <w:color w:val="auto"/>
                      <w:szCs w:val="21"/>
                    </w:rPr>
                  </w:pPr>
                  <w:r>
                    <w:rPr>
                      <w:rFonts w:hint="eastAsia"/>
                      <w:color w:val="auto"/>
                      <w:szCs w:val="21"/>
                    </w:rPr>
                    <w:t>限制开发的重点生态功能区。根据流域生态环境功能，细化主体功能区生态环境保护要求。以主导生态功能的恢复和保育为主要目标，在环境准入中坚持预防为主、保护优先。各类产业园区不得增加水污染物排放。新、改、扩建金属采选及加工、轻工、纺织品制造、废旧资源加工再生等行业的项目，其主要污染物及有毒有害污染物排放实施倍量或减量置换.各级各类水生生物保护区水域不新建排污口，涉及水生珍稀特有物种重要生境等河段严格水电环境准入。结合重点生态功能区产业准入负面清单,对其中的限制类产业提出严格的环境准入要求。</w:t>
                  </w:r>
                </w:p>
              </w:tc>
              <w:tc>
                <w:tcPr>
                  <w:tcW w:w="2691" w:type="dxa"/>
                  <w:vAlign w:val="center"/>
                </w:tcPr>
                <w:p w14:paraId="36E37C5E">
                  <w:pPr>
                    <w:tabs>
                      <w:tab w:val="left" w:pos="677"/>
                    </w:tabs>
                    <w:rPr>
                      <w:color w:val="auto"/>
                      <w:szCs w:val="21"/>
                    </w:rPr>
                  </w:pPr>
                  <w:r>
                    <w:rPr>
                      <w:rFonts w:hAnsi="Arial"/>
                      <w:color w:val="auto"/>
                      <w:szCs w:val="21"/>
                    </w:rPr>
                    <w:t>本项目</w:t>
                  </w:r>
                  <w:r>
                    <w:rPr>
                      <w:rFonts w:hint="eastAsia" w:hAnsi="Arial"/>
                      <w:color w:val="auto"/>
                      <w:szCs w:val="21"/>
                    </w:rPr>
                    <w:t>不在</w:t>
                  </w:r>
                  <w:r>
                    <w:rPr>
                      <w:rFonts w:hint="eastAsia"/>
                      <w:color w:val="auto"/>
                      <w:szCs w:val="21"/>
                    </w:rPr>
                    <w:t>限制开发的重点生态功能区。</w:t>
                  </w:r>
                </w:p>
              </w:tc>
              <w:tc>
                <w:tcPr>
                  <w:tcW w:w="1088" w:type="dxa"/>
                  <w:vAlign w:val="center"/>
                </w:tcPr>
                <w:p w14:paraId="2BDA5BBD">
                  <w:pPr>
                    <w:tabs>
                      <w:tab w:val="left" w:pos="677"/>
                    </w:tabs>
                    <w:jc w:val="center"/>
                    <w:rPr>
                      <w:color w:val="auto"/>
                      <w:szCs w:val="21"/>
                    </w:rPr>
                  </w:pPr>
                  <w:r>
                    <w:rPr>
                      <w:rFonts w:hint="eastAsia"/>
                      <w:color w:val="auto"/>
                      <w:szCs w:val="21"/>
                    </w:rPr>
                    <w:t>符合</w:t>
                  </w:r>
                </w:p>
              </w:tc>
            </w:tr>
            <w:tr w14:paraId="6367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8" w:type="dxa"/>
                  <w:vAlign w:val="center"/>
                </w:tcPr>
                <w:p w14:paraId="2CBF335D">
                  <w:pPr>
                    <w:tabs>
                      <w:tab w:val="left" w:pos="677"/>
                    </w:tabs>
                    <w:jc w:val="center"/>
                    <w:rPr>
                      <w:color w:val="auto"/>
                      <w:szCs w:val="21"/>
                    </w:rPr>
                  </w:pPr>
                  <w:r>
                    <w:rPr>
                      <w:rFonts w:hint="eastAsia"/>
                      <w:color w:val="auto"/>
                      <w:szCs w:val="21"/>
                    </w:rPr>
                    <w:t>3</w:t>
                  </w:r>
                </w:p>
              </w:tc>
              <w:tc>
                <w:tcPr>
                  <w:tcW w:w="6803" w:type="dxa"/>
                  <w:vAlign w:val="center"/>
                </w:tcPr>
                <w:p w14:paraId="73420C6A">
                  <w:pPr>
                    <w:tabs>
                      <w:tab w:val="left" w:pos="677"/>
                    </w:tabs>
                    <w:jc w:val="left"/>
                    <w:rPr>
                      <w:color w:val="auto"/>
                      <w:szCs w:val="21"/>
                    </w:rPr>
                  </w:pPr>
                  <w:r>
                    <w:rPr>
                      <w:rFonts w:hint="eastAsia"/>
                      <w:color w:val="auto"/>
                      <w:szCs w:val="21"/>
                    </w:rPr>
                    <w:t>限制开发的农产品主产区。以保护和恢复地力为主要目标，加强水和土壤污染的统筹防控。提高有色金属矿采选冶炼、石油开采及加工、化工、焦化、电镀、制革等行业环境准入要求，避免重金属、有机污染物与面源污染叠加，加剧水质改善难度。水库、灌溉、排涝等水利建设应发挥水资源的多种功能，协调好生活、生产和生态用水需求，降低对水生态和水环境的影响。不得进行自然生态系统的开荒以及侵占水面、湿地、林地、草地，控制化肥施用量，严格控制江河、湖泊、水库等水域新增人工养殖，防范水质富营养化。其他优先保护耕地集中区域可参照本区域要求强化准入管理。</w:t>
                  </w:r>
                </w:p>
              </w:tc>
              <w:tc>
                <w:tcPr>
                  <w:tcW w:w="2691" w:type="dxa"/>
                  <w:vAlign w:val="center"/>
                </w:tcPr>
                <w:p w14:paraId="52347B34">
                  <w:pPr>
                    <w:tabs>
                      <w:tab w:val="left" w:pos="677"/>
                    </w:tabs>
                    <w:rPr>
                      <w:color w:val="auto"/>
                      <w:szCs w:val="21"/>
                    </w:rPr>
                  </w:pPr>
                  <w:r>
                    <w:rPr>
                      <w:rFonts w:hAnsi="Arial"/>
                      <w:color w:val="auto"/>
                      <w:szCs w:val="21"/>
                    </w:rPr>
                    <w:t>本项目</w:t>
                  </w:r>
                  <w:r>
                    <w:rPr>
                      <w:rFonts w:hint="eastAsia" w:hAnsi="Arial"/>
                      <w:color w:val="auto"/>
                      <w:szCs w:val="21"/>
                    </w:rPr>
                    <w:t>不在</w:t>
                  </w:r>
                  <w:r>
                    <w:rPr>
                      <w:rFonts w:hint="eastAsia"/>
                      <w:color w:val="auto"/>
                      <w:szCs w:val="21"/>
                    </w:rPr>
                    <w:t>限制开发的农产品主产区。</w:t>
                  </w:r>
                </w:p>
              </w:tc>
              <w:tc>
                <w:tcPr>
                  <w:tcW w:w="1088" w:type="dxa"/>
                  <w:vAlign w:val="center"/>
                </w:tcPr>
                <w:p w14:paraId="44A756A7">
                  <w:pPr>
                    <w:tabs>
                      <w:tab w:val="left" w:pos="677"/>
                    </w:tabs>
                    <w:jc w:val="center"/>
                    <w:rPr>
                      <w:color w:val="auto"/>
                      <w:szCs w:val="21"/>
                    </w:rPr>
                  </w:pPr>
                  <w:r>
                    <w:rPr>
                      <w:rFonts w:hint="eastAsia"/>
                      <w:color w:val="auto"/>
                      <w:szCs w:val="21"/>
                    </w:rPr>
                    <w:t>符合</w:t>
                  </w:r>
                </w:p>
              </w:tc>
            </w:tr>
            <w:tr w14:paraId="2A4C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8" w:type="dxa"/>
                  <w:vAlign w:val="center"/>
                </w:tcPr>
                <w:p w14:paraId="4AB0B845">
                  <w:pPr>
                    <w:tabs>
                      <w:tab w:val="left" w:pos="677"/>
                    </w:tabs>
                    <w:jc w:val="center"/>
                    <w:rPr>
                      <w:color w:val="auto"/>
                      <w:szCs w:val="21"/>
                    </w:rPr>
                  </w:pPr>
                  <w:r>
                    <w:rPr>
                      <w:rFonts w:hint="eastAsia"/>
                      <w:color w:val="auto"/>
                      <w:szCs w:val="21"/>
                    </w:rPr>
                    <w:t>4</w:t>
                  </w:r>
                </w:p>
              </w:tc>
              <w:tc>
                <w:tcPr>
                  <w:tcW w:w="6803" w:type="dxa"/>
                  <w:vAlign w:val="center"/>
                </w:tcPr>
                <w:p w14:paraId="31565AC1">
                  <w:pPr>
                    <w:tabs>
                      <w:tab w:val="left" w:pos="677"/>
                    </w:tabs>
                    <w:jc w:val="left"/>
                    <w:rPr>
                      <w:color w:val="auto"/>
                      <w:szCs w:val="21"/>
                    </w:rPr>
                  </w:pPr>
                  <w:r>
                    <w:rPr>
                      <w:rFonts w:hint="eastAsia"/>
                      <w:color w:val="auto"/>
                      <w:szCs w:val="21"/>
                    </w:rPr>
                    <w:t>重点开发区。针对区域面临的水质达标、水资源开发程度及水生态保护的形势和压力，严控建设项目污染物排放，新、改、扩建项目主要水污染物及有毒有害污染物排放实施减量置换。</w:t>
                  </w:r>
                </w:p>
              </w:tc>
              <w:tc>
                <w:tcPr>
                  <w:tcW w:w="2691" w:type="dxa"/>
                  <w:vAlign w:val="center"/>
                </w:tcPr>
                <w:p w14:paraId="261CC2BF">
                  <w:pPr>
                    <w:tabs>
                      <w:tab w:val="left" w:pos="677"/>
                    </w:tabs>
                    <w:rPr>
                      <w:color w:val="auto"/>
                      <w:szCs w:val="21"/>
                    </w:rPr>
                  </w:pPr>
                  <w:r>
                    <w:rPr>
                      <w:rFonts w:hint="eastAsia"/>
                      <w:color w:val="auto"/>
                      <w:szCs w:val="21"/>
                    </w:rPr>
                    <w:t>本项目废水纳管至污水处理厂深度处理后排放，不排放其他有毒有害污染物。</w:t>
                  </w:r>
                </w:p>
              </w:tc>
              <w:tc>
                <w:tcPr>
                  <w:tcW w:w="1088" w:type="dxa"/>
                  <w:vAlign w:val="center"/>
                </w:tcPr>
                <w:p w14:paraId="49448C4D">
                  <w:pPr>
                    <w:tabs>
                      <w:tab w:val="left" w:pos="677"/>
                    </w:tabs>
                    <w:jc w:val="center"/>
                    <w:rPr>
                      <w:color w:val="auto"/>
                      <w:szCs w:val="21"/>
                    </w:rPr>
                  </w:pPr>
                  <w:r>
                    <w:rPr>
                      <w:rFonts w:hint="eastAsia"/>
                      <w:color w:val="auto"/>
                      <w:szCs w:val="21"/>
                    </w:rPr>
                    <w:t>符合</w:t>
                  </w:r>
                </w:p>
              </w:tc>
            </w:tr>
            <w:tr w14:paraId="488B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8" w:type="dxa"/>
                  <w:vAlign w:val="center"/>
                </w:tcPr>
                <w:p w14:paraId="57BA6893">
                  <w:pPr>
                    <w:tabs>
                      <w:tab w:val="left" w:pos="677"/>
                    </w:tabs>
                    <w:jc w:val="center"/>
                    <w:rPr>
                      <w:color w:val="auto"/>
                      <w:szCs w:val="21"/>
                    </w:rPr>
                  </w:pPr>
                  <w:r>
                    <w:rPr>
                      <w:rFonts w:hint="eastAsia"/>
                      <w:color w:val="auto"/>
                      <w:szCs w:val="21"/>
                    </w:rPr>
                    <w:t>5</w:t>
                  </w:r>
                </w:p>
              </w:tc>
              <w:tc>
                <w:tcPr>
                  <w:tcW w:w="6803" w:type="dxa"/>
                  <w:vAlign w:val="center"/>
                </w:tcPr>
                <w:p w14:paraId="14985FE8">
                  <w:pPr>
                    <w:tabs>
                      <w:tab w:val="left" w:pos="677"/>
                    </w:tabs>
                    <w:jc w:val="left"/>
                    <w:rPr>
                      <w:color w:val="auto"/>
                      <w:szCs w:val="21"/>
                    </w:rPr>
                  </w:pPr>
                  <w:r>
                    <w:rPr>
                      <w:rFonts w:hint="eastAsia"/>
                      <w:color w:val="auto"/>
                      <w:szCs w:val="21"/>
                    </w:rPr>
                    <w:t>优化开发区。对确有必要的符合区域功能定位的建设项目，在污染治理水平、环境标准等方面执行最严格的准入条件，清洁生产达到国际先进水平。保护河口和海岸湿地，加强城市重点水源地保护。</w:t>
                  </w:r>
                </w:p>
              </w:tc>
              <w:tc>
                <w:tcPr>
                  <w:tcW w:w="2691" w:type="dxa"/>
                  <w:vAlign w:val="center"/>
                </w:tcPr>
                <w:p w14:paraId="647D4AB0">
                  <w:pPr>
                    <w:tabs>
                      <w:tab w:val="left" w:pos="677"/>
                    </w:tabs>
                    <w:rPr>
                      <w:color w:val="auto"/>
                      <w:szCs w:val="21"/>
                    </w:rPr>
                  </w:pPr>
                  <w:r>
                    <w:rPr>
                      <w:rFonts w:hint="eastAsia"/>
                      <w:color w:val="auto"/>
                      <w:szCs w:val="21"/>
                    </w:rPr>
                    <w:t>本项目废水纳管至污水处理厂深度处理后排放，本项目清洁生产水平较高。</w:t>
                  </w:r>
                </w:p>
              </w:tc>
              <w:tc>
                <w:tcPr>
                  <w:tcW w:w="1088" w:type="dxa"/>
                  <w:vAlign w:val="center"/>
                </w:tcPr>
                <w:p w14:paraId="529AE0B2">
                  <w:pPr>
                    <w:tabs>
                      <w:tab w:val="left" w:pos="677"/>
                    </w:tabs>
                    <w:jc w:val="center"/>
                    <w:rPr>
                      <w:color w:val="auto"/>
                      <w:szCs w:val="21"/>
                    </w:rPr>
                  </w:pPr>
                  <w:r>
                    <w:rPr>
                      <w:rFonts w:hint="eastAsia"/>
                      <w:color w:val="auto"/>
                      <w:szCs w:val="21"/>
                    </w:rPr>
                    <w:t>符合</w:t>
                  </w:r>
                </w:p>
              </w:tc>
            </w:tr>
            <w:tr w14:paraId="5E4C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8" w:type="dxa"/>
                  <w:vAlign w:val="center"/>
                </w:tcPr>
                <w:p w14:paraId="4104D612">
                  <w:pPr>
                    <w:tabs>
                      <w:tab w:val="left" w:pos="677"/>
                    </w:tabs>
                    <w:jc w:val="center"/>
                    <w:rPr>
                      <w:color w:val="auto"/>
                      <w:szCs w:val="21"/>
                    </w:rPr>
                  </w:pPr>
                  <w:r>
                    <w:rPr>
                      <w:rFonts w:hint="eastAsia"/>
                      <w:color w:val="auto"/>
                      <w:szCs w:val="21"/>
                    </w:rPr>
                    <w:t>6</w:t>
                  </w:r>
                </w:p>
              </w:tc>
              <w:tc>
                <w:tcPr>
                  <w:tcW w:w="6803" w:type="dxa"/>
                  <w:vAlign w:val="center"/>
                </w:tcPr>
                <w:p w14:paraId="7FF48FAF">
                  <w:pPr>
                    <w:tabs>
                      <w:tab w:val="left" w:pos="677"/>
                    </w:tabs>
                    <w:jc w:val="left"/>
                    <w:rPr>
                      <w:color w:val="auto"/>
                      <w:szCs w:val="21"/>
                    </w:rPr>
                  </w:pPr>
                  <w:r>
                    <w:rPr>
                      <w:rFonts w:hint="eastAsia"/>
                      <w:color w:val="auto"/>
                      <w:szCs w:val="21"/>
                    </w:rPr>
                    <w:t>长江三角洲地区。落实《长江经济带取水口排污口和应急水源布局规划》，沿江地区进一步严格石化、化工、印染、造纸等项目环境准入，对干流两岸一定范围内新建相关重污染项目不予环境准入，推进石化化工企业向尚有一定环境容量的沿海地区集中、绿色发展。对太湖流域新建原料化工、燃料、颜料及排放氮磷污染物的工业项目，不予环境准入；实施江、湖一体的氮、磷污染控制，防范和治理江、湖富营养化。严格沿江港口码头项目环境准入，强化环境风险防范措施。</w:t>
                  </w:r>
                </w:p>
              </w:tc>
              <w:tc>
                <w:tcPr>
                  <w:tcW w:w="2691" w:type="dxa"/>
                  <w:vAlign w:val="center"/>
                </w:tcPr>
                <w:p w14:paraId="0323940D">
                  <w:pPr>
                    <w:tabs>
                      <w:tab w:val="left" w:pos="677"/>
                    </w:tabs>
                    <w:rPr>
                      <w:rFonts w:hint="eastAsia" w:eastAsia="宋体"/>
                      <w:color w:val="auto"/>
                      <w:szCs w:val="21"/>
                      <w:lang w:eastAsia="zh-CN"/>
                    </w:rPr>
                  </w:pPr>
                  <w:r>
                    <w:rPr>
                      <w:rFonts w:hint="eastAsia"/>
                      <w:color w:val="auto"/>
                      <w:szCs w:val="21"/>
                    </w:rPr>
                    <w:t>本项目仅排放生活污水，不排放含氮、磷的生产废水。</w:t>
                  </w:r>
                </w:p>
              </w:tc>
              <w:tc>
                <w:tcPr>
                  <w:tcW w:w="1088" w:type="dxa"/>
                  <w:vAlign w:val="center"/>
                </w:tcPr>
                <w:p w14:paraId="21AFD352">
                  <w:pPr>
                    <w:tabs>
                      <w:tab w:val="left" w:pos="677"/>
                    </w:tabs>
                    <w:jc w:val="center"/>
                    <w:rPr>
                      <w:color w:val="auto"/>
                      <w:szCs w:val="21"/>
                    </w:rPr>
                  </w:pPr>
                  <w:r>
                    <w:rPr>
                      <w:rFonts w:hint="eastAsia"/>
                      <w:color w:val="auto"/>
                      <w:szCs w:val="21"/>
                    </w:rPr>
                    <w:t>符合</w:t>
                  </w:r>
                </w:p>
              </w:tc>
            </w:tr>
          </w:tbl>
          <w:p w14:paraId="0797DD6F">
            <w:pPr>
              <w:widowControl/>
              <w:spacing w:line="440" w:lineRule="exact"/>
              <w:jc w:val="left"/>
              <w:rPr>
                <w:rFonts w:hAnsi="宋体"/>
                <w:b/>
                <w:color w:val="auto"/>
                <w:sz w:val="24"/>
                <w:szCs w:val="22"/>
              </w:rPr>
            </w:pPr>
            <w:r>
              <w:rPr>
                <w:rFonts w:hint="eastAsia" w:hAnsi="宋体"/>
                <w:b/>
                <w:color w:val="auto"/>
                <w:sz w:val="24"/>
                <w:szCs w:val="22"/>
              </w:rPr>
              <w:t>1.3.4项目与《太湖流域水环境综合治理总体方案》符合性分析</w:t>
            </w:r>
          </w:p>
          <w:p w14:paraId="566406EF">
            <w:pPr>
              <w:widowControl/>
              <w:spacing w:line="440" w:lineRule="exact"/>
              <w:ind w:firstLine="480" w:firstLineChars="200"/>
              <w:jc w:val="left"/>
              <w:rPr>
                <w:color w:val="auto"/>
                <w:sz w:val="24"/>
              </w:rPr>
            </w:pPr>
            <w:r>
              <w:rPr>
                <w:rFonts w:hint="eastAsia"/>
                <w:color w:val="auto"/>
                <w:sz w:val="24"/>
              </w:rPr>
              <w:t>本项目位于浙江省湖州市安吉县境内，属太湖流域范围。对照 2022年6月22日国家发展和改革委员会、自然资源部、生态环境部、住房城乡建设部水利部、农业农村部《关于印发&lt;太湖流域水环境综合治理总体方案&gt;的通知》（发改地区 (2022) 959 号） ，详见表1-5。</w:t>
            </w:r>
          </w:p>
          <w:p w14:paraId="1D736F37">
            <w:pPr>
              <w:tabs>
                <w:tab w:val="left" w:pos="677"/>
              </w:tabs>
              <w:spacing w:line="480" w:lineRule="exact"/>
              <w:jc w:val="center"/>
              <w:rPr>
                <w:b/>
                <w:color w:val="auto"/>
                <w:szCs w:val="21"/>
              </w:rPr>
            </w:pPr>
            <w:r>
              <w:rPr>
                <w:rFonts w:hint="eastAsia"/>
                <w:b/>
                <w:color w:val="auto"/>
                <w:szCs w:val="21"/>
              </w:rPr>
              <w:t>表1-5 项目与《太湖流域水环境综合治理总体方案》对照分析</w:t>
            </w:r>
          </w:p>
          <w:tbl>
            <w:tblPr>
              <w:tblStyle w:val="37"/>
              <w:tblW w:w="6803"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1634"/>
              <w:gridCol w:w="653"/>
            </w:tblGrid>
            <w:tr w14:paraId="71B5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6" w:type="dxa"/>
                  <w:vAlign w:val="center"/>
                </w:tcPr>
                <w:p w14:paraId="131DD173">
                  <w:pPr>
                    <w:tabs>
                      <w:tab w:val="left" w:pos="677"/>
                    </w:tabs>
                    <w:jc w:val="center"/>
                    <w:rPr>
                      <w:b/>
                      <w:color w:val="auto"/>
                      <w:szCs w:val="21"/>
                    </w:rPr>
                  </w:pPr>
                  <w:r>
                    <w:rPr>
                      <w:rFonts w:hint="eastAsia"/>
                      <w:b/>
                      <w:color w:val="auto"/>
                      <w:szCs w:val="21"/>
                    </w:rPr>
                    <w:t>判断依据</w:t>
                  </w:r>
                </w:p>
              </w:tc>
              <w:tc>
                <w:tcPr>
                  <w:tcW w:w="1634" w:type="dxa"/>
                  <w:vAlign w:val="center"/>
                </w:tcPr>
                <w:p w14:paraId="51A6787D">
                  <w:pPr>
                    <w:tabs>
                      <w:tab w:val="left" w:pos="677"/>
                    </w:tabs>
                    <w:jc w:val="center"/>
                    <w:rPr>
                      <w:b/>
                      <w:color w:val="auto"/>
                      <w:szCs w:val="21"/>
                    </w:rPr>
                  </w:pPr>
                  <w:r>
                    <w:rPr>
                      <w:rFonts w:hint="eastAsia"/>
                      <w:b/>
                      <w:color w:val="auto"/>
                      <w:szCs w:val="21"/>
                    </w:rPr>
                    <w:t>项目情况</w:t>
                  </w:r>
                </w:p>
              </w:tc>
              <w:tc>
                <w:tcPr>
                  <w:tcW w:w="653" w:type="dxa"/>
                  <w:vAlign w:val="center"/>
                </w:tcPr>
                <w:p w14:paraId="2FA51E70">
                  <w:pPr>
                    <w:tabs>
                      <w:tab w:val="left" w:pos="677"/>
                    </w:tabs>
                    <w:jc w:val="center"/>
                    <w:rPr>
                      <w:b/>
                      <w:color w:val="auto"/>
                      <w:szCs w:val="21"/>
                    </w:rPr>
                  </w:pPr>
                  <w:r>
                    <w:rPr>
                      <w:rFonts w:hint="eastAsia"/>
                      <w:b/>
                      <w:color w:val="auto"/>
                      <w:szCs w:val="21"/>
                    </w:rPr>
                    <w:t>是否符合</w:t>
                  </w:r>
                </w:p>
              </w:tc>
            </w:tr>
            <w:tr w14:paraId="03AF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6" w:type="dxa"/>
                  <w:vAlign w:val="center"/>
                </w:tcPr>
                <w:p w14:paraId="36EC216D">
                  <w:pPr>
                    <w:widowControl/>
                    <w:jc w:val="left"/>
                    <w:rPr>
                      <w:color w:val="auto"/>
                      <w:szCs w:val="21"/>
                    </w:rPr>
                  </w:pPr>
                  <w:r>
                    <w:rPr>
                      <w:rFonts w:hint="eastAsia" w:ascii="宋体" w:hAnsi="宋体" w:cs="宋体"/>
                      <w:color w:val="auto"/>
                      <w:kern w:val="0"/>
                      <w:szCs w:val="21"/>
                    </w:rPr>
                    <w:t>督促企业依法持证排污、按证排污，严格落实总磷许可排放浓度和许可排放量要求。持续强化涉水行业污染整治，基于水生态环境质量改善，大力推进印染、化工、造纸、钢铁、电镀、食品(啤酒、味精) 等重点行业企业废水深度处理。</w:t>
                  </w:r>
                </w:p>
              </w:tc>
              <w:tc>
                <w:tcPr>
                  <w:tcW w:w="1634" w:type="dxa"/>
                  <w:vAlign w:val="center"/>
                </w:tcPr>
                <w:p w14:paraId="59091B6B">
                  <w:pPr>
                    <w:widowControl/>
                    <w:jc w:val="left"/>
                    <w:rPr>
                      <w:color w:val="auto"/>
                      <w:szCs w:val="21"/>
                    </w:rPr>
                  </w:pPr>
                  <w:r>
                    <w:rPr>
                      <w:rFonts w:hint="eastAsia" w:ascii="宋体" w:hAnsi="宋体" w:cs="宋体"/>
                      <w:color w:val="auto"/>
                      <w:kern w:val="0"/>
                      <w:szCs w:val="21"/>
                    </w:rPr>
                    <w:t>项目依法持证排污、按证排污，严格落实许可排放量要求。</w:t>
                  </w:r>
                </w:p>
              </w:tc>
              <w:tc>
                <w:tcPr>
                  <w:tcW w:w="653" w:type="dxa"/>
                  <w:vAlign w:val="center"/>
                </w:tcPr>
                <w:p w14:paraId="5D606306">
                  <w:pPr>
                    <w:tabs>
                      <w:tab w:val="left" w:pos="677"/>
                    </w:tabs>
                    <w:jc w:val="center"/>
                    <w:rPr>
                      <w:color w:val="auto"/>
                      <w:szCs w:val="21"/>
                    </w:rPr>
                  </w:pPr>
                  <w:r>
                    <w:rPr>
                      <w:rFonts w:hint="eastAsia"/>
                      <w:color w:val="auto"/>
                      <w:szCs w:val="21"/>
                    </w:rPr>
                    <w:t>符合</w:t>
                  </w:r>
                </w:p>
              </w:tc>
            </w:tr>
            <w:tr w14:paraId="66C8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6" w:type="dxa"/>
                  <w:vAlign w:val="center"/>
                </w:tcPr>
                <w:p w14:paraId="37D53062">
                  <w:pPr>
                    <w:widowControl/>
                    <w:jc w:val="left"/>
                    <w:rPr>
                      <w:rFonts w:ascii="宋体" w:hAnsi="宋体" w:cs="宋体"/>
                      <w:color w:val="auto"/>
                      <w:kern w:val="0"/>
                      <w:szCs w:val="21"/>
                    </w:rPr>
                  </w:pPr>
                  <w:r>
                    <w:rPr>
                      <w:rFonts w:hint="eastAsia" w:ascii="宋体" w:hAnsi="宋体" w:cs="宋体"/>
                      <w:color w:val="auto"/>
                      <w:kern w:val="0"/>
                      <w:szCs w:val="21"/>
                    </w:rPr>
                    <w:t>实施工业园区限值限量管理，全面推进工业园区污水管网排查整治和污水收集处理设施建设，加快实施管网混错接改造、管网更新、破损修复改造等，依法推动园区生产废水应纳尽纳。推进化工园区雨污分流改造和初期雨水收集处理，鼓励有条件的园区实施化工企业废水分类收集、分质处理、一企一管、明管输送、实时监测。</w:t>
                  </w:r>
                </w:p>
              </w:tc>
              <w:tc>
                <w:tcPr>
                  <w:tcW w:w="1634" w:type="dxa"/>
                  <w:vMerge w:val="restart"/>
                  <w:vAlign w:val="center"/>
                </w:tcPr>
                <w:p w14:paraId="2E60AFCE">
                  <w:pPr>
                    <w:widowControl/>
                    <w:jc w:val="left"/>
                    <w:rPr>
                      <w:rFonts w:ascii="宋体" w:hAnsi="宋体" w:cs="宋体"/>
                      <w:color w:val="auto"/>
                      <w:kern w:val="0"/>
                      <w:szCs w:val="21"/>
                    </w:rPr>
                  </w:pPr>
                  <w:r>
                    <w:rPr>
                      <w:rFonts w:hint="eastAsia" w:ascii="宋体" w:hAnsi="宋体" w:cs="宋体"/>
                      <w:color w:val="auto"/>
                      <w:kern w:val="0"/>
                      <w:szCs w:val="21"/>
                    </w:rPr>
                    <w:t>本项目位于安吉县天荒坪镇白水湾工业园，园区内已建设污水管网，本项目仅排放生活污水，生活污水化粪池预处理后纳管排放。</w:t>
                  </w:r>
                </w:p>
              </w:tc>
              <w:tc>
                <w:tcPr>
                  <w:tcW w:w="653" w:type="dxa"/>
                  <w:vAlign w:val="center"/>
                </w:tcPr>
                <w:p w14:paraId="023FEE68">
                  <w:pPr>
                    <w:tabs>
                      <w:tab w:val="left" w:pos="677"/>
                    </w:tabs>
                    <w:jc w:val="center"/>
                    <w:rPr>
                      <w:color w:val="auto"/>
                      <w:szCs w:val="21"/>
                    </w:rPr>
                  </w:pPr>
                  <w:r>
                    <w:rPr>
                      <w:rFonts w:hint="eastAsia"/>
                      <w:color w:val="auto"/>
                      <w:szCs w:val="21"/>
                    </w:rPr>
                    <w:t>符合</w:t>
                  </w:r>
                </w:p>
              </w:tc>
            </w:tr>
            <w:tr w14:paraId="62B8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6" w:type="dxa"/>
                  <w:vAlign w:val="center"/>
                </w:tcPr>
                <w:p w14:paraId="30422029">
                  <w:pPr>
                    <w:widowControl/>
                    <w:jc w:val="left"/>
                    <w:rPr>
                      <w:rFonts w:ascii="宋体" w:hAnsi="宋体" w:cs="宋体"/>
                      <w:color w:val="auto"/>
                      <w:kern w:val="0"/>
                      <w:szCs w:val="21"/>
                    </w:rPr>
                  </w:pPr>
                  <w:r>
                    <w:rPr>
                      <w:rFonts w:hint="eastAsia" w:ascii="宋体" w:hAnsi="宋体" w:cs="宋体"/>
                      <w:color w:val="auto"/>
                      <w:kern w:val="0"/>
                      <w:szCs w:val="21"/>
                    </w:rPr>
                    <w:t>推进企业内部工业用水循环利用、园区内企业间用水系统集成优化，推动工业废水资源化利用。积极推进清洁生产，引到工业园区、开发区尤其是耗水量大的企业新建中水回用设施和环保循环设施，推行尾水循环再生利用。</w:t>
                  </w:r>
                </w:p>
              </w:tc>
              <w:tc>
                <w:tcPr>
                  <w:tcW w:w="1634" w:type="dxa"/>
                  <w:vMerge w:val="continue"/>
                  <w:vAlign w:val="center"/>
                </w:tcPr>
                <w:p w14:paraId="3FCFC221">
                  <w:pPr>
                    <w:widowControl/>
                    <w:jc w:val="left"/>
                    <w:rPr>
                      <w:rFonts w:ascii="宋体" w:hAnsi="宋体" w:cs="宋体"/>
                      <w:color w:val="auto"/>
                      <w:kern w:val="0"/>
                      <w:szCs w:val="21"/>
                    </w:rPr>
                  </w:pPr>
                </w:p>
              </w:tc>
              <w:tc>
                <w:tcPr>
                  <w:tcW w:w="653" w:type="dxa"/>
                  <w:vAlign w:val="center"/>
                </w:tcPr>
                <w:p w14:paraId="16EF036A">
                  <w:pPr>
                    <w:tabs>
                      <w:tab w:val="left" w:pos="677"/>
                    </w:tabs>
                    <w:jc w:val="center"/>
                    <w:rPr>
                      <w:color w:val="auto"/>
                      <w:szCs w:val="21"/>
                    </w:rPr>
                  </w:pPr>
                  <w:r>
                    <w:rPr>
                      <w:rFonts w:hint="eastAsia"/>
                      <w:color w:val="auto"/>
                      <w:szCs w:val="21"/>
                    </w:rPr>
                    <w:t>符合</w:t>
                  </w:r>
                </w:p>
              </w:tc>
            </w:tr>
            <w:tr w14:paraId="6F62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6" w:type="dxa"/>
                  <w:vAlign w:val="center"/>
                </w:tcPr>
                <w:p w14:paraId="03AC0E61">
                  <w:pPr>
                    <w:widowControl/>
                    <w:jc w:val="left"/>
                    <w:rPr>
                      <w:rFonts w:ascii="宋体" w:hAnsi="宋体" w:cs="宋体"/>
                      <w:color w:val="auto"/>
                      <w:kern w:val="0"/>
                      <w:szCs w:val="21"/>
                    </w:rPr>
                  </w:pPr>
                  <w:r>
                    <w:rPr>
                      <w:rFonts w:hint="eastAsia" w:ascii="宋体" w:hAnsi="宋体" w:cs="宋体"/>
                      <w:color w:val="auto"/>
                      <w:kern w:val="0"/>
                      <w:szCs w:val="21"/>
                    </w:rPr>
                    <w:t>开展造纸、印染等高耗水行业工业废水循环利用示范，率先在纺织印染、化工材料等工业园区探索建设“污水零直排区”，实施环境信息依法披露、生态环境损害赔偿、环境污染责任保险等制度。</w:t>
                  </w:r>
                </w:p>
              </w:tc>
              <w:tc>
                <w:tcPr>
                  <w:tcW w:w="1634" w:type="dxa"/>
                  <w:vAlign w:val="center"/>
                </w:tcPr>
                <w:p w14:paraId="1E3A7018">
                  <w:pPr>
                    <w:widowControl/>
                    <w:jc w:val="left"/>
                    <w:rPr>
                      <w:rFonts w:ascii="宋体" w:hAnsi="宋体" w:cs="宋体"/>
                      <w:color w:val="auto"/>
                      <w:kern w:val="0"/>
                      <w:szCs w:val="21"/>
                    </w:rPr>
                  </w:pPr>
                  <w:r>
                    <w:rPr>
                      <w:color w:val="auto"/>
                      <w:kern w:val="0"/>
                      <w:szCs w:val="21"/>
                    </w:rPr>
                    <w:t>本项目为</w:t>
                  </w:r>
                  <w:r>
                    <w:rPr>
                      <w:rFonts w:hint="eastAsia"/>
                      <w:color w:val="auto"/>
                      <w:kern w:val="0"/>
                      <w:szCs w:val="21"/>
                      <w:lang w:eastAsia="zh-CN"/>
                    </w:rPr>
                    <w:t>塑料制品业和金属制品业</w:t>
                  </w:r>
                  <w:r>
                    <w:rPr>
                      <w:color w:val="auto"/>
                      <w:kern w:val="0"/>
                      <w:szCs w:val="21"/>
                    </w:rPr>
                    <w:t>，不属于造纸、印染等高耗水行业</w:t>
                  </w:r>
                </w:p>
              </w:tc>
              <w:tc>
                <w:tcPr>
                  <w:tcW w:w="653" w:type="dxa"/>
                  <w:vAlign w:val="center"/>
                </w:tcPr>
                <w:p w14:paraId="2370035A">
                  <w:pPr>
                    <w:tabs>
                      <w:tab w:val="left" w:pos="677"/>
                    </w:tabs>
                    <w:jc w:val="center"/>
                    <w:rPr>
                      <w:color w:val="auto"/>
                      <w:szCs w:val="21"/>
                    </w:rPr>
                  </w:pPr>
                  <w:r>
                    <w:rPr>
                      <w:rFonts w:hint="eastAsia"/>
                      <w:color w:val="auto"/>
                      <w:szCs w:val="21"/>
                    </w:rPr>
                    <w:t>符合</w:t>
                  </w:r>
                </w:p>
              </w:tc>
            </w:tr>
            <w:tr w14:paraId="4A15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6" w:type="dxa"/>
                  <w:vAlign w:val="center"/>
                </w:tcPr>
                <w:p w14:paraId="3D0968DE">
                  <w:pPr>
                    <w:widowControl/>
                    <w:jc w:val="left"/>
                    <w:rPr>
                      <w:rFonts w:ascii="宋体" w:hAnsi="宋体" w:cs="宋体"/>
                      <w:color w:val="auto"/>
                      <w:kern w:val="0"/>
                      <w:szCs w:val="21"/>
                    </w:rPr>
                  </w:pPr>
                  <w:r>
                    <w:rPr>
                      <w:rFonts w:hint="eastAsia" w:ascii="宋体" w:hAnsi="宋体" w:cs="宋体"/>
                      <w:color w:val="auto"/>
                      <w:kern w:val="0"/>
                      <w:szCs w:val="21"/>
                    </w:rPr>
                    <w:t>亚格落地国家和本地产业结构调整目录明确的限制类、淘汰类工艺、装备、产品与项目，依法推动污染企业退出。继续推进城市建成区内造纸、印染、化工等污染较重企业有序搬迁改造或依法关闭，推动环太湖生态环境敏感区内部符合产业发展政策、存在重大安全隐患且不具备整治条件的企业依法关闭或搬迁至合规工业园。推进太湖流域等重要饮用水水源地</w:t>
                  </w:r>
                  <w:r>
                    <w:rPr>
                      <w:color w:val="auto"/>
                      <w:kern w:val="0"/>
                      <w:szCs w:val="21"/>
                    </w:rPr>
                    <w:t>300米</w:t>
                  </w:r>
                  <w:r>
                    <w:rPr>
                      <w:rFonts w:hint="eastAsia" w:ascii="宋体" w:hAnsi="宋体" w:cs="宋体"/>
                      <w:color w:val="auto"/>
                      <w:kern w:val="0"/>
                      <w:szCs w:val="21"/>
                    </w:rPr>
                    <w:t>范围内重点排污企业逐步退出。除战略性新兴产业项目外，太湖流域原则上不在审批其他生产性新增氮磷污染物的工业类建设项目。</w:t>
                  </w:r>
                </w:p>
              </w:tc>
              <w:tc>
                <w:tcPr>
                  <w:tcW w:w="1634" w:type="dxa"/>
                  <w:vAlign w:val="center"/>
                </w:tcPr>
                <w:p w14:paraId="7C9B753A">
                  <w:pPr>
                    <w:widowControl/>
                    <w:jc w:val="left"/>
                    <w:rPr>
                      <w:rFonts w:ascii="宋体" w:hAnsi="宋体" w:cs="宋体"/>
                      <w:color w:val="auto"/>
                      <w:kern w:val="0"/>
                      <w:szCs w:val="21"/>
                    </w:rPr>
                  </w:pPr>
                  <w:r>
                    <w:rPr>
                      <w:rFonts w:hint="eastAsia" w:ascii="宋体" w:hAnsi="宋体" w:cs="宋体"/>
                      <w:color w:val="auto"/>
                      <w:kern w:val="0"/>
                      <w:szCs w:val="21"/>
                    </w:rPr>
                    <w:t>本项目符合国家产业地方产业政策要求；项目拟建地附近无饮用水水源地，且无生产废水排放。</w:t>
                  </w:r>
                </w:p>
              </w:tc>
              <w:tc>
                <w:tcPr>
                  <w:tcW w:w="653" w:type="dxa"/>
                  <w:vAlign w:val="center"/>
                </w:tcPr>
                <w:p w14:paraId="218FD94E">
                  <w:pPr>
                    <w:tabs>
                      <w:tab w:val="left" w:pos="677"/>
                    </w:tabs>
                    <w:jc w:val="center"/>
                    <w:rPr>
                      <w:color w:val="auto"/>
                      <w:szCs w:val="21"/>
                    </w:rPr>
                  </w:pPr>
                  <w:r>
                    <w:rPr>
                      <w:rFonts w:hint="eastAsia"/>
                      <w:color w:val="auto"/>
                      <w:szCs w:val="21"/>
                    </w:rPr>
                    <w:t>符合</w:t>
                  </w:r>
                </w:p>
              </w:tc>
            </w:tr>
            <w:tr w14:paraId="43EE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6" w:type="dxa"/>
                  <w:vAlign w:val="center"/>
                </w:tcPr>
                <w:p w14:paraId="13043DD7">
                  <w:pPr>
                    <w:widowControl/>
                    <w:jc w:val="left"/>
                    <w:rPr>
                      <w:rFonts w:ascii="宋体" w:hAnsi="宋体" w:cs="宋体"/>
                      <w:color w:val="auto"/>
                      <w:kern w:val="0"/>
                      <w:szCs w:val="21"/>
                    </w:rPr>
                  </w:pPr>
                  <w:r>
                    <w:rPr>
                      <w:rFonts w:hint="eastAsia" w:ascii="宋体" w:hAnsi="宋体" w:cs="宋体"/>
                      <w:color w:val="auto"/>
                      <w:kern w:val="0"/>
                      <w:szCs w:val="21"/>
                    </w:rPr>
                    <w:t>环太湖地区重点布局总部经济、研发设计、高端制造、销售等产业链环节，大力发展创新经济、服务经济、绿色经济，打造具有全球竞争力的产业创新高地。全面拓展沿太湖科技研发创新带，高水平规划建设太湖科学城“两湖”创新区。引进产业应符合“三线一单”管控要求、相关规划和环境影响评价要求，符合区域主导生态功能，鼓励工业企业项目采用国际国内行业先进的生产工艺与装备，提高污染物排放控制水平。</w:t>
                  </w:r>
                </w:p>
              </w:tc>
              <w:tc>
                <w:tcPr>
                  <w:tcW w:w="1634" w:type="dxa"/>
                  <w:vAlign w:val="center"/>
                </w:tcPr>
                <w:p w14:paraId="37BBC475">
                  <w:pPr>
                    <w:widowControl/>
                    <w:jc w:val="left"/>
                    <w:rPr>
                      <w:rFonts w:ascii="宋体" w:hAnsi="宋体" w:cs="宋体"/>
                      <w:color w:val="auto"/>
                      <w:kern w:val="0"/>
                      <w:szCs w:val="21"/>
                    </w:rPr>
                  </w:pPr>
                  <w:r>
                    <w:rPr>
                      <w:rFonts w:hint="eastAsia" w:ascii="宋体" w:hAnsi="宋体" w:cs="宋体"/>
                      <w:color w:val="auto"/>
                      <w:kern w:val="0"/>
                      <w:szCs w:val="21"/>
                    </w:rPr>
                    <w:t>本项目符合安吉县“三线一单”管控要求；项目生产工艺和装备自动化程度高，须按环境影响报告要求落实污染治理措施，确保污染物低排放要求。</w:t>
                  </w:r>
                </w:p>
              </w:tc>
              <w:tc>
                <w:tcPr>
                  <w:tcW w:w="653" w:type="dxa"/>
                  <w:vAlign w:val="center"/>
                </w:tcPr>
                <w:p w14:paraId="4BCAE24F">
                  <w:pPr>
                    <w:tabs>
                      <w:tab w:val="left" w:pos="677"/>
                    </w:tabs>
                    <w:jc w:val="center"/>
                    <w:rPr>
                      <w:color w:val="auto"/>
                      <w:szCs w:val="21"/>
                    </w:rPr>
                  </w:pPr>
                  <w:r>
                    <w:rPr>
                      <w:rFonts w:hint="eastAsia"/>
                      <w:color w:val="auto"/>
                      <w:szCs w:val="21"/>
                    </w:rPr>
                    <w:t>符合</w:t>
                  </w:r>
                </w:p>
              </w:tc>
            </w:tr>
            <w:tr w14:paraId="389F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6" w:type="dxa"/>
                  <w:vAlign w:val="center"/>
                </w:tcPr>
                <w:p w14:paraId="284EC052">
                  <w:pPr>
                    <w:widowControl/>
                    <w:jc w:val="left"/>
                    <w:rPr>
                      <w:rFonts w:ascii="宋体" w:hAnsi="宋体" w:cs="宋体"/>
                      <w:color w:val="auto"/>
                      <w:kern w:val="0"/>
                      <w:szCs w:val="21"/>
                    </w:rPr>
                  </w:pPr>
                  <w:r>
                    <w:rPr>
                      <w:rFonts w:hint="eastAsia" w:ascii="宋体" w:hAnsi="宋体" w:cs="宋体"/>
                      <w:color w:val="auto"/>
                      <w:kern w:val="0"/>
                      <w:szCs w:val="21"/>
                    </w:rPr>
                    <w:t>深入实施智能制造和绿色制造工程，发展服务型制造新模式。大力发展智能制造，推广共性适用的新技术、新工艺、新材料、新标准，推动相关产业绿色发展和绿色改造。强化绿色制造关键核心技术攻关，推动制造业高端化、智能化、绿色化。</w:t>
                  </w:r>
                </w:p>
              </w:tc>
              <w:tc>
                <w:tcPr>
                  <w:tcW w:w="1634" w:type="dxa"/>
                  <w:vAlign w:val="center"/>
                </w:tcPr>
                <w:p w14:paraId="4F5C3054">
                  <w:pPr>
                    <w:widowControl/>
                    <w:jc w:val="center"/>
                    <w:rPr>
                      <w:rFonts w:ascii="宋体" w:hAnsi="宋体" w:cs="宋体"/>
                      <w:color w:val="auto"/>
                      <w:kern w:val="0"/>
                      <w:szCs w:val="21"/>
                    </w:rPr>
                  </w:pPr>
                  <w:r>
                    <w:rPr>
                      <w:rFonts w:hint="eastAsia" w:ascii="宋体" w:hAnsi="宋体" w:cs="宋体"/>
                      <w:color w:val="auto"/>
                      <w:kern w:val="0"/>
                      <w:szCs w:val="21"/>
                    </w:rPr>
                    <w:t>本项目不涉及</w:t>
                  </w:r>
                </w:p>
              </w:tc>
              <w:tc>
                <w:tcPr>
                  <w:tcW w:w="653" w:type="dxa"/>
                  <w:vAlign w:val="center"/>
                </w:tcPr>
                <w:p w14:paraId="2CC5B0BE">
                  <w:pPr>
                    <w:tabs>
                      <w:tab w:val="left" w:pos="677"/>
                    </w:tabs>
                    <w:jc w:val="center"/>
                    <w:rPr>
                      <w:color w:val="auto"/>
                      <w:szCs w:val="21"/>
                    </w:rPr>
                  </w:pPr>
                  <w:r>
                    <w:rPr>
                      <w:rFonts w:hint="eastAsia"/>
                      <w:color w:val="auto"/>
                      <w:szCs w:val="21"/>
                    </w:rPr>
                    <w:t>符合</w:t>
                  </w:r>
                </w:p>
              </w:tc>
            </w:tr>
            <w:tr w14:paraId="40CE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6" w:type="dxa"/>
                  <w:vAlign w:val="center"/>
                </w:tcPr>
                <w:p w14:paraId="7D0D3072">
                  <w:pPr>
                    <w:widowControl/>
                    <w:jc w:val="left"/>
                    <w:rPr>
                      <w:rFonts w:ascii="宋体" w:hAnsi="宋体" w:cs="宋体"/>
                      <w:color w:val="auto"/>
                      <w:kern w:val="0"/>
                      <w:szCs w:val="21"/>
                    </w:rPr>
                  </w:pPr>
                  <w:r>
                    <w:rPr>
                      <w:rFonts w:hint="eastAsia" w:ascii="宋体" w:hAnsi="宋体" w:cs="宋体"/>
                      <w:color w:val="auto"/>
                      <w:kern w:val="0"/>
                      <w:szCs w:val="21"/>
                    </w:rPr>
                    <w:t>开展含磷洗涤剂禁用政策执行情况调查，采取有力措施亚禁销售、使用含磷洗涤剂，全面推行无磷洗涤用品。</w:t>
                  </w:r>
                </w:p>
              </w:tc>
              <w:tc>
                <w:tcPr>
                  <w:tcW w:w="1634" w:type="dxa"/>
                  <w:vAlign w:val="center"/>
                </w:tcPr>
                <w:p w14:paraId="5B856F44">
                  <w:pPr>
                    <w:widowControl/>
                    <w:jc w:val="center"/>
                    <w:rPr>
                      <w:rFonts w:ascii="宋体" w:hAnsi="宋体" w:cs="宋体"/>
                      <w:color w:val="auto"/>
                      <w:kern w:val="0"/>
                      <w:szCs w:val="21"/>
                    </w:rPr>
                  </w:pPr>
                  <w:r>
                    <w:rPr>
                      <w:rFonts w:hint="eastAsia" w:ascii="宋体" w:hAnsi="宋体" w:cs="宋体"/>
                      <w:color w:val="auto"/>
                      <w:kern w:val="0"/>
                      <w:szCs w:val="21"/>
                    </w:rPr>
                    <w:t>本项目不涉及</w:t>
                  </w:r>
                </w:p>
              </w:tc>
              <w:tc>
                <w:tcPr>
                  <w:tcW w:w="653" w:type="dxa"/>
                  <w:vAlign w:val="center"/>
                </w:tcPr>
                <w:p w14:paraId="48FB4E8B">
                  <w:pPr>
                    <w:tabs>
                      <w:tab w:val="left" w:pos="677"/>
                    </w:tabs>
                    <w:jc w:val="center"/>
                    <w:rPr>
                      <w:color w:val="auto"/>
                      <w:szCs w:val="21"/>
                    </w:rPr>
                  </w:pPr>
                  <w:r>
                    <w:rPr>
                      <w:rFonts w:hint="eastAsia"/>
                      <w:color w:val="auto"/>
                      <w:szCs w:val="21"/>
                    </w:rPr>
                    <w:t>符合</w:t>
                  </w:r>
                </w:p>
              </w:tc>
            </w:tr>
          </w:tbl>
          <w:p w14:paraId="0C42C5D8">
            <w:pPr>
              <w:pStyle w:val="3"/>
              <w:spacing w:line="440" w:lineRule="exact"/>
              <w:rPr>
                <w:rFonts w:eastAsia="宋体"/>
                <w:color w:val="auto"/>
              </w:rPr>
            </w:pPr>
            <w:r>
              <w:rPr>
                <w:rFonts w:hint="eastAsia" w:eastAsia="宋体"/>
                <w:color w:val="auto"/>
              </w:rPr>
              <w:t>通过对照分析，本项目建设可满足《太湖流域水环境综合治理总体方案》要求。</w:t>
            </w:r>
          </w:p>
          <w:p w14:paraId="4CB5B8D2">
            <w:pPr>
              <w:pStyle w:val="3"/>
              <w:spacing w:line="440" w:lineRule="exact"/>
              <w:ind w:firstLine="0" w:firstLineChars="0"/>
              <w:rPr>
                <w:rFonts w:hAnsi="宋体" w:eastAsia="宋体"/>
                <w:bCs/>
                <w:color w:val="auto"/>
                <w:kern w:val="44"/>
                <w:szCs w:val="44"/>
              </w:rPr>
            </w:pPr>
            <w:r>
              <w:rPr>
                <w:rFonts w:hint="eastAsia" w:hAnsi="宋体" w:eastAsia="宋体"/>
                <w:b/>
                <w:color w:val="auto"/>
                <w:szCs w:val="22"/>
              </w:rPr>
              <w:t>1.3.5</w:t>
            </w:r>
            <w:r>
              <w:rPr>
                <w:rFonts w:hAnsi="宋体" w:eastAsia="宋体"/>
                <w:b/>
                <w:color w:val="auto"/>
                <w:szCs w:val="22"/>
              </w:rPr>
              <w:t>《长江经济带发展负面清单指南（试行）》浙江省实施细则符合性分析</w:t>
            </w:r>
          </w:p>
          <w:p w14:paraId="0F66D2FA">
            <w:pPr>
              <w:spacing w:line="440" w:lineRule="exact"/>
              <w:ind w:firstLine="480" w:firstLineChars="200"/>
              <w:rPr>
                <w:b/>
                <w:color w:val="auto"/>
                <w:szCs w:val="21"/>
              </w:rPr>
            </w:pPr>
            <w:r>
              <w:rPr>
                <w:rFonts w:hint="eastAsia"/>
                <w:color w:val="auto"/>
                <w:sz w:val="24"/>
              </w:rPr>
              <w:t>经与《长江经济带发展负面清单指南（试行）》浙江省实施细则进行对比分析可知，本项目实施符合该指南的相关要求，详见表1-6。</w:t>
            </w:r>
          </w:p>
          <w:p w14:paraId="6D5A2050">
            <w:pPr>
              <w:spacing w:beforeLines="50"/>
              <w:jc w:val="center"/>
              <w:rPr>
                <w:b/>
                <w:color w:val="auto"/>
                <w:szCs w:val="21"/>
              </w:rPr>
            </w:pPr>
            <w:r>
              <w:rPr>
                <w:b/>
                <w:color w:val="auto"/>
                <w:szCs w:val="21"/>
              </w:rPr>
              <w:t>表</w:t>
            </w:r>
            <w:r>
              <w:rPr>
                <w:rFonts w:hint="eastAsia"/>
                <w:b/>
                <w:color w:val="auto"/>
                <w:szCs w:val="21"/>
              </w:rPr>
              <w:t>1</w:t>
            </w:r>
            <w:r>
              <w:rPr>
                <w:b/>
                <w:color w:val="auto"/>
                <w:szCs w:val="21"/>
              </w:rPr>
              <w:t>-</w:t>
            </w:r>
            <w:r>
              <w:rPr>
                <w:rFonts w:hint="eastAsia"/>
                <w:b/>
                <w:color w:val="auto"/>
                <w:szCs w:val="21"/>
              </w:rPr>
              <w:t>6 项目与</w:t>
            </w:r>
            <w:r>
              <w:rPr>
                <w:rFonts w:hint="eastAsia" w:hAnsi="宋体"/>
                <w:b/>
                <w:color w:val="auto"/>
                <w:szCs w:val="22"/>
              </w:rPr>
              <w:t>《长江经济带发展负面清单指南（试行，2022年版）》浙江省实施细则</w:t>
            </w:r>
            <w:r>
              <w:rPr>
                <w:b/>
                <w:color w:val="auto"/>
                <w:szCs w:val="21"/>
              </w:rPr>
              <w:t>符合性分析</w:t>
            </w:r>
          </w:p>
          <w:tbl>
            <w:tblPr>
              <w:tblStyle w:val="37"/>
              <w:tblW w:w="6803"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4049"/>
              <w:gridCol w:w="2142"/>
            </w:tblGrid>
            <w:tr w14:paraId="76F9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63" w:type="dxa"/>
                  <w:tcBorders>
                    <w:top w:val="single" w:color="auto" w:sz="4" w:space="0"/>
                    <w:left w:val="single" w:color="auto" w:sz="4" w:space="0"/>
                    <w:bottom w:val="single" w:color="auto" w:sz="4" w:space="0"/>
                    <w:right w:val="single" w:color="auto" w:sz="4" w:space="0"/>
                  </w:tcBorders>
                  <w:vAlign w:val="center"/>
                </w:tcPr>
                <w:p w14:paraId="24790D6C">
                  <w:pPr>
                    <w:jc w:val="center"/>
                    <w:rPr>
                      <w:b/>
                      <w:color w:val="auto"/>
                      <w:szCs w:val="21"/>
                    </w:rPr>
                  </w:pPr>
                  <w:r>
                    <w:rPr>
                      <w:b/>
                      <w:color w:val="auto"/>
                      <w:szCs w:val="21"/>
                    </w:rPr>
                    <w:t>序号</w:t>
                  </w:r>
                </w:p>
              </w:tc>
              <w:tc>
                <w:tcPr>
                  <w:tcW w:w="7596" w:type="dxa"/>
                  <w:tcBorders>
                    <w:top w:val="single" w:color="auto" w:sz="4" w:space="0"/>
                    <w:left w:val="single" w:color="auto" w:sz="4" w:space="0"/>
                    <w:bottom w:val="single" w:color="auto" w:sz="4" w:space="0"/>
                    <w:right w:val="single" w:color="auto" w:sz="4" w:space="0"/>
                  </w:tcBorders>
                  <w:vAlign w:val="center"/>
                </w:tcPr>
                <w:p w14:paraId="0742A553">
                  <w:pPr>
                    <w:jc w:val="center"/>
                    <w:rPr>
                      <w:b/>
                      <w:color w:val="auto"/>
                      <w:szCs w:val="21"/>
                    </w:rPr>
                  </w:pPr>
                  <w:r>
                    <w:rPr>
                      <w:b/>
                      <w:color w:val="auto"/>
                      <w:szCs w:val="21"/>
                    </w:rPr>
                    <w:t>具体要求</w:t>
                  </w:r>
                </w:p>
              </w:tc>
              <w:tc>
                <w:tcPr>
                  <w:tcW w:w="3915" w:type="dxa"/>
                  <w:tcBorders>
                    <w:top w:val="single" w:color="auto" w:sz="4" w:space="0"/>
                    <w:left w:val="single" w:color="auto" w:sz="4" w:space="0"/>
                    <w:bottom w:val="single" w:color="auto" w:sz="4" w:space="0"/>
                    <w:right w:val="single" w:color="auto" w:sz="4" w:space="0"/>
                  </w:tcBorders>
                  <w:vAlign w:val="center"/>
                </w:tcPr>
                <w:p w14:paraId="6E8CA8A3">
                  <w:pPr>
                    <w:jc w:val="center"/>
                    <w:rPr>
                      <w:b/>
                      <w:color w:val="auto"/>
                      <w:szCs w:val="21"/>
                    </w:rPr>
                  </w:pPr>
                  <w:r>
                    <w:rPr>
                      <w:b/>
                      <w:color w:val="auto"/>
                      <w:szCs w:val="21"/>
                    </w:rPr>
                    <w:t>相符性</w:t>
                  </w:r>
                </w:p>
              </w:tc>
            </w:tr>
            <w:tr w14:paraId="0960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963" w:type="dxa"/>
                  <w:tcBorders>
                    <w:top w:val="single" w:color="auto" w:sz="4" w:space="0"/>
                    <w:left w:val="single" w:color="auto" w:sz="4" w:space="0"/>
                    <w:bottom w:val="single" w:color="auto" w:sz="4" w:space="0"/>
                    <w:right w:val="single" w:color="auto" w:sz="4" w:space="0"/>
                  </w:tcBorders>
                  <w:vAlign w:val="center"/>
                </w:tcPr>
                <w:p w14:paraId="5E53C3E7">
                  <w:pPr>
                    <w:jc w:val="center"/>
                    <w:rPr>
                      <w:color w:val="auto"/>
                      <w:szCs w:val="21"/>
                    </w:rPr>
                  </w:pPr>
                  <w:r>
                    <w:rPr>
                      <w:color w:val="auto"/>
                      <w:szCs w:val="21"/>
                    </w:rPr>
                    <w:t>1</w:t>
                  </w:r>
                </w:p>
              </w:tc>
              <w:tc>
                <w:tcPr>
                  <w:tcW w:w="7596" w:type="dxa"/>
                  <w:tcBorders>
                    <w:top w:val="single" w:color="auto" w:sz="4" w:space="0"/>
                    <w:left w:val="single" w:color="auto" w:sz="4" w:space="0"/>
                    <w:bottom w:val="single" w:color="auto" w:sz="4" w:space="0"/>
                    <w:right w:val="single" w:color="auto" w:sz="4" w:space="0"/>
                  </w:tcBorders>
                  <w:vAlign w:val="center"/>
                </w:tcPr>
                <w:p w14:paraId="3C9AF8DA">
                  <w:pPr>
                    <w:autoSpaceDE w:val="0"/>
                    <w:autoSpaceDN w:val="0"/>
                    <w:adjustRightInd w:val="0"/>
                    <w:jc w:val="left"/>
                    <w:rPr>
                      <w:color w:val="auto"/>
                      <w:szCs w:val="21"/>
                    </w:rPr>
                  </w:pPr>
                  <w:r>
                    <w:rPr>
                      <w:rFonts w:ascii="宋体" w:hAnsi="宋体" w:cs="宋体"/>
                      <w:color w:val="auto"/>
                      <w:szCs w:val="21"/>
                    </w:rPr>
                    <w:t>禁止建设不符合《全国沿海港口布局规划》、《全国内河航道与港口布局规划》、《浙江省沿海港口布局规划》、《浙江省内河航运发展规划》以及项目所在地港口总体规划、国土空间规划的港口码头项目。</w:t>
                  </w:r>
                </w:p>
              </w:tc>
              <w:tc>
                <w:tcPr>
                  <w:tcW w:w="3915" w:type="dxa"/>
                  <w:tcBorders>
                    <w:top w:val="single" w:color="auto" w:sz="4" w:space="0"/>
                    <w:left w:val="single" w:color="auto" w:sz="4" w:space="0"/>
                    <w:bottom w:val="single" w:color="auto" w:sz="4" w:space="0"/>
                    <w:right w:val="single" w:color="auto" w:sz="4" w:space="0"/>
                  </w:tcBorders>
                  <w:vAlign w:val="center"/>
                </w:tcPr>
                <w:p w14:paraId="59940A3C">
                  <w:pPr>
                    <w:jc w:val="left"/>
                    <w:rPr>
                      <w:color w:val="auto"/>
                      <w:kern w:val="0"/>
                      <w:szCs w:val="21"/>
                    </w:rPr>
                  </w:pPr>
                  <w:r>
                    <w:rPr>
                      <w:color w:val="auto"/>
                      <w:kern w:val="0"/>
                      <w:szCs w:val="21"/>
                    </w:rPr>
                    <w:t>符合，本项目为</w:t>
                  </w:r>
                  <w:r>
                    <w:rPr>
                      <w:rFonts w:hint="eastAsia"/>
                      <w:color w:val="auto"/>
                      <w:kern w:val="0"/>
                      <w:szCs w:val="21"/>
                      <w:lang w:eastAsia="zh-CN"/>
                    </w:rPr>
                    <w:t>塑料制品业和金属制品业</w:t>
                  </w:r>
                  <w:r>
                    <w:rPr>
                      <w:color w:val="auto"/>
                      <w:kern w:val="0"/>
                      <w:szCs w:val="21"/>
                    </w:rPr>
                    <w:t>，非港口码头建设项目。</w:t>
                  </w:r>
                </w:p>
              </w:tc>
            </w:tr>
            <w:tr w14:paraId="43FE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963" w:type="dxa"/>
                  <w:tcBorders>
                    <w:top w:val="single" w:color="auto" w:sz="4" w:space="0"/>
                    <w:left w:val="single" w:color="auto" w:sz="4" w:space="0"/>
                    <w:bottom w:val="single" w:color="auto" w:sz="4" w:space="0"/>
                    <w:right w:val="single" w:color="auto" w:sz="4" w:space="0"/>
                  </w:tcBorders>
                  <w:vAlign w:val="center"/>
                </w:tcPr>
                <w:p w14:paraId="541188AA">
                  <w:pPr>
                    <w:jc w:val="center"/>
                    <w:rPr>
                      <w:color w:val="auto"/>
                      <w:szCs w:val="21"/>
                    </w:rPr>
                  </w:pPr>
                  <w:r>
                    <w:rPr>
                      <w:color w:val="auto"/>
                      <w:szCs w:val="21"/>
                    </w:rPr>
                    <w:t>2</w:t>
                  </w:r>
                </w:p>
              </w:tc>
              <w:tc>
                <w:tcPr>
                  <w:tcW w:w="7596" w:type="dxa"/>
                  <w:tcBorders>
                    <w:top w:val="single" w:color="auto" w:sz="4" w:space="0"/>
                    <w:left w:val="single" w:color="auto" w:sz="4" w:space="0"/>
                    <w:bottom w:val="single" w:color="auto" w:sz="4" w:space="0"/>
                    <w:right w:val="single" w:color="auto" w:sz="4" w:space="0"/>
                  </w:tcBorders>
                  <w:vAlign w:val="center"/>
                </w:tcPr>
                <w:p w14:paraId="1910F132">
                  <w:pPr>
                    <w:autoSpaceDE w:val="0"/>
                    <w:autoSpaceDN w:val="0"/>
                    <w:adjustRightInd w:val="0"/>
                    <w:jc w:val="left"/>
                    <w:rPr>
                      <w:color w:val="auto"/>
                      <w:szCs w:val="21"/>
                    </w:rPr>
                  </w:pPr>
                  <w:r>
                    <w:rPr>
                      <w:rFonts w:ascii="宋体" w:hAnsi="宋体" w:cs="宋体"/>
                      <w:color w:val="auto"/>
                      <w:szCs w:val="21"/>
                    </w:rPr>
                    <w:t>禁止在自然保护地的岸线和河段范围内投资建设不符合《浙江省自然保护地建设项目准入负面清单（试行）》的项目。禁止在自然保护地的岸线和河段范围内采石、采砂、采土、砍伐及其他严重改变地形地貌、破坏自然生态、影响自然景观的开发利用行为。禁止在I级林地、一级国家级公益林内建设项目。自然保护地由省林业局会同相关管理机构界定。</w:t>
                  </w:r>
                </w:p>
              </w:tc>
              <w:tc>
                <w:tcPr>
                  <w:tcW w:w="3915" w:type="dxa"/>
                  <w:tcBorders>
                    <w:top w:val="single" w:color="auto" w:sz="4" w:space="0"/>
                    <w:left w:val="single" w:color="auto" w:sz="4" w:space="0"/>
                    <w:bottom w:val="single" w:color="auto" w:sz="4" w:space="0"/>
                    <w:right w:val="single" w:color="auto" w:sz="4" w:space="0"/>
                  </w:tcBorders>
                  <w:vAlign w:val="center"/>
                </w:tcPr>
                <w:p w14:paraId="32084CD5">
                  <w:pPr>
                    <w:jc w:val="left"/>
                    <w:rPr>
                      <w:color w:val="auto"/>
                      <w:kern w:val="0"/>
                      <w:szCs w:val="21"/>
                    </w:rPr>
                  </w:pPr>
                  <w:r>
                    <w:rPr>
                      <w:color w:val="auto"/>
                      <w:kern w:val="0"/>
                      <w:szCs w:val="21"/>
                    </w:rPr>
                    <w:t>符合，本项目</w:t>
                  </w:r>
                  <w:r>
                    <w:rPr>
                      <w:rFonts w:hint="eastAsia"/>
                      <w:color w:val="auto"/>
                      <w:kern w:val="0"/>
                      <w:szCs w:val="21"/>
                    </w:rPr>
                    <w:t>位于白水湾工业园，</w:t>
                  </w:r>
                  <w:r>
                    <w:rPr>
                      <w:color w:val="auto"/>
                      <w:kern w:val="0"/>
                      <w:szCs w:val="21"/>
                    </w:rPr>
                    <w:t>不涉及</w:t>
                  </w:r>
                  <w:r>
                    <w:rPr>
                      <w:color w:val="auto"/>
                      <w:szCs w:val="21"/>
                    </w:rPr>
                    <w:t>自然保护地的岸线和河段范围不涉及I级林地、一级国家级公益林</w:t>
                  </w:r>
                  <w:r>
                    <w:rPr>
                      <w:color w:val="auto"/>
                      <w:kern w:val="0"/>
                      <w:szCs w:val="21"/>
                    </w:rPr>
                    <w:t>。</w:t>
                  </w:r>
                </w:p>
              </w:tc>
            </w:tr>
            <w:tr w14:paraId="76D2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963" w:type="dxa"/>
                  <w:tcBorders>
                    <w:top w:val="single" w:color="auto" w:sz="4" w:space="0"/>
                    <w:left w:val="single" w:color="auto" w:sz="4" w:space="0"/>
                    <w:bottom w:val="single" w:color="auto" w:sz="4" w:space="0"/>
                    <w:right w:val="single" w:color="auto" w:sz="4" w:space="0"/>
                  </w:tcBorders>
                  <w:vAlign w:val="center"/>
                </w:tcPr>
                <w:p w14:paraId="02CE8929">
                  <w:pPr>
                    <w:jc w:val="center"/>
                    <w:rPr>
                      <w:color w:val="auto"/>
                      <w:szCs w:val="21"/>
                    </w:rPr>
                  </w:pPr>
                  <w:r>
                    <w:rPr>
                      <w:color w:val="auto"/>
                      <w:szCs w:val="21"/>
                    </w:rPr>
                    <w:t>3</w:t>
                  </w:r>
                </w:p>
              </w:tc>
              <w:tc>
                <w:tcPr>
                  <w:tcW w:w="7596" w:type="dxa"/>
                  <w:tcBorders>
                    <w:top w:val="single" w:color="auto" w:sz="4" w:space="0"/>
                    <w:left w:val="single" w:color="auto" w:sz="4" w:space="0"/>
                    <w:bottom w:val="single" w:color="auto" w:sz="4" w:space="0"/>
                    <w:right w:val="single" w:color="auto" w:sz="4" w:space="0"/>
                  </w:tcBorders>
                  <w:vAlign w:val="center"/>
                </w:tcPr>
                <w:p w14:paraId="24CD616C">
                  <w:pPr>
                    <w:autoSpaceDE w:val="0"/>
                    <w:autoSpaceDN w:val="0"/>
                    <w:adjustRightInd w:val="0"/>
                    <w:jc w:val="left"/>
                    <w:rPr>
                      <w:rFonts w:ascii="宋体" w:hAnsi="宋体" w:cs="宋体"/>
                      <w:color w:val="auto"/>
                      <w:szCs w:val="21"/>
                    </w:rPr>
                  </w:pPr>
                  <w:r>
                    <w:rPr>
                      <w:rFonts w:ascii="宋体" w:hAnsi="宋体" w:cs="宋体"/>
                      <w:color w:val="auto"/>
                      <w:szCs w:val="21"/>
                    </w:rPr>
                    <w:t>禁止在饮用水水源一级保护区、二级保护区、准保护区的岸线和河段范围内投资建设不符合《浙江省饮用水源保护条 例》的项目。饮用水水源一级保护区、二级保护区、准保护区由省生态环境厅会同相关管理机构界定。</w:t>
                  </w:r>
                </w:p>
              </w:tc>
              <w:tc>
                <w:tcPr>
                  <w:tcW w:w="3915" w:type="dxa"/>
                  <w:tcBorders>
                    <w:top w:val="single" w:color="auto" w:sz="4" w:space="0"/>
                    <w:left w:val="single" w:color="auto" w:sz="4" w:space="0"/>
                    <w:bottom w:val="single" w:color="auto" w:sz="4" w:space="0"/>
                    <w:right w:val="single" w:color="auto" w:sz="4" w:space="0"/>
                  </w:tcBorders>
                  <w:vAlign w:val="center"/>
                </w:tcPr>
                <w:p w14:paraId="28C91CE5">
                  <w:pPr>
                    <w:autoSpaceDE w:val="0"/>
                    <w:autoSpaceDN w:val="0"/>
                    <w:adjustRightInd w:val="0"/>
                    <w:jc w:val="left"/>
                    <w:rPr>
                      <w:rFonts w:ascii="宋体" w:hAnsi="宋体" w:cs="宋体"/>
                      <w:color w:val="auto"/>
                      <w:szCs w:val="21"/>
                    </w:rPr>
                  </w:pPr>
                  <w:r>
                    <w:rPr>
                      <w:rFonts w:ascii="宋体" w:hAnsi="宋体" w:cs="宋体"/>
                      <w:color w:val="auto"/>
                      <w:szCs w:val="21"/>
                    </w:rPr>
                    <w:t>符合</w:t>
                  </w:r>
                  <w:r>
                    <w:rPr>
                      <w:rFonts w:hint="eastAsia" w:ascii="宋体" w:hAnsi="宋体" w:cs="宋体"/>
                      <w:color w:val="auto"/>
                      <w:szCs w:val="21"/>
                    </w:rPr>
                    <w:t>，本</w:t>
                  </w:r>
                  <w:r>
                    <w:rPr>
                      <w:rFonts w:ascii="宋体" w:hAnsi="宋体" w:cs="宋体"/>
                      <w:color w:val="auto"/>
                      <w:szCs w:val="21"/>
                    </w:rPr>
                    <w:t>项目</w:t>
                  </w:r>
                  <w:r>
                    <w:rPr>
                      <w:rFonts w:hint="eastAsia"/>
                      <w:color w:val="auto"/>
                      <w:kern w:val="0"/>
                      <w:szCs w:val="21"/>
                    </w:rPr>
                    <w:t>位于白水湾工业园，</w:t>
                  </w:r>
                  <w:r>
                    <w:rPr>
                      <w:rFonts w:ascii="宋体" w:hAnsi="宋体" w:cs="宋体"/>
                      <w:color w:val="auto"/>
                      <w:szCs w:val="21"/>
                    </w:rPr>
                    <w:t>不涉及在饮用水水源一级保护区、二级保护区、准保护区的岸线和河段范围。</w:t>
                  </w:r>
                </w:p>
              </w:tc>
            </w:tr>
            <w:tr w14:paraId="52BA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63" w:type="dxa"/>
                  <w:tcBorders>
                    <w:top w:val="single" w:color="auto" w:sz="4" w:space="0"/>
                    <w:left w:val="single" w:color="auto" w:sz="4" w:space="0"/>
                    <w:bottom w:val="single" w:color="auto" w:sz="4" w:space="0"/>
                    <w:right w:val="single" w:color="auto" w:sz="4" w:space="0"/>
                  </w:tcBorders>
                  <w:vAlign w:val="center"/>
                </w:tcPr>
                <w:p w14:paraId="3D22BCBD">
                  <w:pPr>
                    <w:jc w:val="center"/>
                    <w:rPr>
                      <w:color w:val="auto"/>
                      <w:szCs w:val="21"/>
                    </w:rPr>
                  </w:pPr>
                  <w:r>
                    <w:rPr>
                      <w:color w:val="auto"/>
                      <w:szCs w:val="21"/>
                    </w:rPr>
                    <w:t>4</w:t>
                  </w:r>
                </w:p>
              </w:tc>
              <w:tc>
                <w:tcPr>
                  <w:tcW w:w="7596" w:type="dxa"/>
                  <w:tcBorders>
                    <w:top w:val="single" w:color="auto" w:sz="4" w:space="0"/>
                    <w:left w:val="single" w:color="auto" w:sz="4" w:space="0"/>
                    <w:bottom w:val="single" w:color="auto" w:sz="4" w:space="0"/>
                    <w:right w:val="single" w:color="auto" w:sz="4" w:space="0"/>
                  </w:tcBorders>
                  <w:vAlign w:val="center"/>
                </w:tcPr>
                <w:p w14:paraId="765CCA23">
                  <w:pPr>
                    <w:autoSpaceDE w:val="0"/>
                    <w:autoSpaceDN w:val="0"/>
                    <w:adjustRightInd w:val="0"/>
                    <w:jc w:val="left"/>
                    <w:rPr>
                      <w:rFonts w:ascii="宋体" w:hAnsi="宋体" w:cs="宋体"/>
                      <w:color w:val="auto"/>
                      <w:szCs w:val="21"/>
                    </w:rPr>
                  </w:pPr>
                  <w:r>
                    <w:rPr>
                      <w:rFonts w:ascii="宋体" w:hAnsi="宋体" w:cs="宋体"/>
                      <w:color w:val="auto"/>
                      <w:szCs w:val="21"/>
                    </w:rPr>
                    <w:t>禁止在水产种质资源保护区的岸线和河段范围内新建围湖造田、围海造地或围填海等投资建设项目。水产种质资源保护区由省农业农村厅会同相关管理机构界定。</w:t>
                  </w:r>
                </w:p>
              </w:tc>
              <w:tc>
                <w:tcPr>
                  <w:tcW w:w="3915" w:type="dxa"/>
                  <w:tcBorders>
                    <w:top w:val="single" w:color="auto" w:sz="4" w:space="0"/>
                    <w:left w:val="single" w:color="auto" w:sz="4" w:space="0"/>
                    <w:bottom w:val="single" w:color="auto" w:sz="4" w:space="0"/>
                    <w:right w:val="single" w:color="auto" w:sz="4" w:space="0"/>
                  </w:tcBorders>
                  <w:vAlign w:val="center"/>
                </w:tcPr>
                <w:p w14:paraId="23DA7FF7">
                  <w:pPr>
                    <w:autoSpaceDE w:val="0"/>
                    <w:autoSpaceDN w:val="0"/>
                    <w:adjustRightInd w:val="0"/>
                    <w:jc w:val="left"/>
                    <w:rPr>
                      <w:rFonts w:ascii="宋体" w:hAnsi="宋体" w:cs="宋体"/>
                      <w:color w:val="auto"/>
                      <w:szCs w:val="21"/>
                    </w:rPr>
                  </w:pPr>
                  <w:r>
                    <w:rPr>
                      <w:rFonts w:ascii="宋体" w:hAnsi="宋体" w:cs="宋体"/>
                      <w:color w:val="auto"/>
                      <w:szCs w:val="21"/>
                    </w:rPr>
                    <w:t>符合</w:t>
                  </w:r>
                  <w:r>
                    <w:rPr>
                      <w:rFonts w:hint="eastAsia" w:ascii="宋体" w:hAnsi="宋体" w:cs="宋体"/>
                      <w:color w:val="auto"/>
                      <w:szCs w:val="21"/>
                    </w:rPr>
                    <w:t>，本</w:t>
                  </w:r>
                  <w:r>
                    <w:rPr>
                      <w:rFonts w:ascii="宋体" w:hAnsi="宋体" w:cs="宋体"/>
                      <w:color w:val="auto"/>
                      <w:szCs w:val="21"/>
                    </w:rPr>
                    <w:t>项目</w:t>
                  </w:r>
                  <w:r>
                    <w:rPr>
                      <w:rFonts w:hint="eastAsia"/>
                      <w:color w:val="auto"/>
                      <w:kern w:val="0"/>
                      <w:szCs w:val="21"/>
                    </w:rPr>
                    <w:t>位于白水湾工业园，</w:t>
                  </w:r>
                  <w:r>
                    <w:rPr>
                      <w:rFonts w:ascii="宋体" w:hAnsi="宋体" w:cs="宋体"/>
                      <w:color w:val="auto"/>
                      <w:szCs w:val="21"/>
                    </w:rPr>
                    <w:t>不涉及水产种质资源保护区的岸线和河段范围。</w:t>
                  </w:r>
                </w:p>
              </w:tc>
            </w:tr>
            <w:tr w14:paraId="50F0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963" w:type="dxa"/>
                  <w:tcBorders>
                    <w:top w:val="single" w:color="auto" w:sz="4" w:space="0"/>
                    <w:left w:val="single" w:color="auto" w:sz="4" w:space="0"/>
                    <w:bottom w:val="single" w:color="auto" w:sz="4" w:space="0"/>
                    <w:right w:val="single" w:color="auto" w:sz="4" w:space="0"/>
                  </w:tcBorders>
                  <w:vAlign w:val="center"/>
                </w:tcPr>
                <w:p w14:paraId="05C3530D">
                  <w:pPr>
                    <w:autoSpaceDE w:val="0"/>
                    <w:autoSpaceDN w:val="0"/>
                    <w:adjustRightInd w:val="0"/>
                    <w:jc w:val="center"/>
                    <w:rPr>
                      <w:rFonts w:ascii="宋体" w:hAnsi="宋体" w:cs="宋体"/>
                      <w:color w:val="auto"/>
                      <w:szCs w:val="21"/>
                    </w:rPr>
                  </w:pPr>
                  <w:r>
                    <w:rPr>
                      <w:color w:val="auto"/>
                      <w:szCs w:val="21"/>
                    </w:rPr>
                    <w:t>5</w:t>
                  </w:r>
                </w:p>
              </w:tc>
              <w:tc>
                <w:tcPr>
                  <w:tcW w:w="7596" w:type="dxa"/>
                  <w:tcBorders>
                    <w:top w:val="single" w:color="auto" w:sz="4" w:space="0"/>
                    <w:left w:val="single" w:color="auto" w:sz="4" w:space="0"/>
                    <w:bottom w:val="single" w:color="auto" w:sz="4" w:space="0"/>
                    <w:right w:val="single" w:color="auto" w:sz="4" w:space="0"/>
                  </w:tcBorders>
                  <w:vAlign w:val="center"/>
                </w:tcPr>
                <w:p w14:paraId="4D69E36B">
                  <w:pPr>
                    <w:autoSpaceDE w:val="0"/>
                    <w:autoSpaceDN w:val="0"/>
                    <w:adjustRightInd w:val="0"/>
                    <w:jc w:val="left"/>
                    <w:rPr>
                      <w:rFonts w:ascii="宋体" w:hAnsi="宋体" w:cs="宋体"/>
                      <w:color w:val="auto"/>
                      <w:szCs w:val="21"/>
                    </w:rPr>
                  </w:pPr>
                  <w:r>
                    <w:rPr>
                      <w:rFonts w:ascii="宋体" w:hAnsi="宋体" w:cs="宋体"/>
                      <w:color w:val="auto"/>
                      <w:szCs w:val="21"/>
                    </w:rPr>
                    <w:t>在国家湿地公园的岸线和河段范围内：（一）禁止挖沙、采矿；（二）禁止任 何不符合主体功能定位的投资建设项 目；（三）禁止开（围）垦、填埋或者 排干湿地；（四）禁止截断湿地水源；（五）禁止倾倒有毒有害物质、废弃物、垃圾；（六）禁止破坏野生动物栖息地 和迁徙通道、鱼类洄游通道，禁止滥采 滥捕野生动植物；（七）禁止引入外来 物种；（八）禁止擅自放牧、捕捞、取土、取水、排污、放生；（九）禁止其他破坏湿地及其生态功能的活动。</w:t>
                  </w:r>
                </w:p>
              </w:tc>
              <w:tc>
                <w:tcPr>
                  <w:tcW w:w="3915" w:type="dxa"/>
                  <w:tcBorders>
                    <w:top w:val="single" w:color="auto" w:sz="4" w:space="0"/>
                    <w:left w:val="single" w:color="auto" w:sz="4" w:space="0"/>
                    <w:bottom w:val="single" w:color="auto" w:sz="4" w:space="0"/>
                    <w:right w:val="single" w:color="auto" w:sz="4" w:space="0"/>
                  </w:tcBorders>
                  <w:vAlign w:val="center"/>
                </w:tcPr>
                <w:p w14:paraId="1DCBA0DA">
                  <w:pPr>
                    <w:autoSpaceDE w:val="0"/>
                    <w:autoSpaceDN w:val="0"/>
                    <w:adjustRightInd w:val="0"/>
                    <w:jc w:val="left"/>
                    <w:rPr>
                      <w:rFonts w:ascii="宋体" w:hAnsi="宋体" w:cs="宋体"/>
                      <w:color w:val="auto"/>
                      <w:szCs w:val="21"/>
                    </w:rPr>
                  </w:pPr>
                  <w:r>
                    <w:rPr>
                      <w:rFonts w:ascii="宋体" w:hAnsi="宋体" w:cs="宋体"/>
                      <w:color w:val="auto"/>
                      <w:szCs w:val="21"/>
                    </w:rPr>
                    <w:t>符合</w:t>
                  </w:r>
                  <w:r>
                    <w:rPr>
                      <w:rFonts w:hint="eastAsia" w:ascii="宋体" w:hAnsi="宋体" w:cs="宋体"/>
                      <w:color w:val="auto"/>
                      <w:szCs w:val="21"/>
                    </w:rPr>
                    <w:t>，本</w:t>
                  </w:r>
                  <w:r>
                    <w:rPr>
                      <w:rFonts w:ascii="宋体" w:hAnsi="宋体" w:cs="宋体"/>
                      <w:color w:val="auto"/>
                      <w:szCs w:val="21"/>
                    </w:rPr>
                    <w:t>项目</w:t>
                  </w:r>
                  <w:r>
                    <w:rPr>
                      <w:rFonts w:hint="eastAsia"/>
                      <w:color w:val="auto"/>
                      <w:kern w:val="0"/>
                      <w:szCs w:val="21"/>
                    </w:rPr>
                    <w:t>位于白水湾工业园，</w:t>
                  </w:r>
                  <w:r>
                    <w:rPr>
                      <w:rFonts w:ascii="宋体" w:hAnsi="宋体" w:cs="宋体"/>
                      <w:color w:val="auto"/>
                      <w:szCs w:val="21"/>
                    </w:rPr>
                    <w:t>不涉及国家湿地公园的岸线和河段范围。</w:t>
                  </w:r>
                </w:p>
              </w:tc>
            </w:tr>
            <w:tr w14:paraId="0A76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63" w:type="dxa"/>
                  <w:tcBorders>
                    <w:top w:val="single" w:color="auto" w:sz="4" w:space="0"/>
                    <w:left w:val="single" w:color="auto" w:sz="4" w:space="0"/>
                    <w:bottom w:val="single" w:color="auto" w:sz="4" w:space="0"/>
                    <w:right w:val="single" w:color="auto" w:sz="4" w:space="0"/>
                  </w:tcBorders>
                  <w:vAlign w:val="center"/>
                </w:tcPr>
                <w:p w14:paraId="7A38E23A">
                  <w:pPr>
                    <w:autoSpaceDE w:val="0"/>
                    <w:autoSpaceDN w:val="0"/>
                    <w:adjustRightInd w:val="0"/>
                    <w:jc w:val="center"/>
                    <w:rPr>
                      <w:rFonts w:ascii="宋体" w:hAnsi="宋体" w:cs="宋体"/>
                      <w:color w:val="auto"/>
                      <w:szCs w:val="21"/>
                    </w:rPr>
                  </w:pPr>
                  <w:r>
                    <w:rPr>
                      <w:color w:val="auto"/>
                      <w:szCs w:val="21"/>
                    </w:rPr>
                    <w:t>6</w:t>
                  </w:r>
                </w:p>
              </w:tc>
              <w:tc>
                <w:tcPr>
                  <w:tcW w:w="7596" w:type="dxa"/>
                  <w:tcBorders>
                    <w:top w:val="single" w:color="auto" w:sz="4" w:space="0"/>
                    <w:left w:val="single" w:color="auto" w:sz="4" w:space="0"/>
                    <w:bottom w:val="single" w:color="auto" w:sz="4" w:space="0"/>
                    <w:right w:val="single" w:color="auto" w:sz="4" w:space="0"/>
                  </w:tcBorders>
                  <w:vAlign w:val="center"/>
                </w:tcPr>
                <w:p w14:paraId="1175F5C1">
                  <w:pPr>
                    <w:autoSpaceDE w:val="0"/>
                    <w:autoSpaceDN w:val="0"/>
                    <w:adjustRightInd w:val="0"/>
                    <w:jc w:val="left"/>
                    <w:rPr>
                      <w:rFonts w:ascii="宋体" w:hAnsi="宋体" w:cs="宋体"/>
                      <w:color w:val="auto"/>
                      <w:szCs w:val="21"/>
                    </w:rPr>
                  </w:pPr>
                  <w:r>
                    <w:rPr>
                      <w:rFonts w:ascii="宋体" w:hAnsi="宋体" w:cs="宋体"/>
                      <w:color w:val="auto"/>
                      <w:szCs w:val="21"/>
                    </w:rPr>
                    <w:t>禁止违法利用、占用长江流域河湖岸线。</w:t>
                  </w:r>
                </w:p>
              </w:tc>
              <w:tc>
                <w:tcPr>
                  <w:tcW w:w="3915" w:type="dxa"/>
                  <w:tcBorders>
                    <w:top w:val="single" w:color="auto" w:sz="4" w:space="0"/>
                    <w:left w:val="single" w:color="auto" w:sz="4" w:space="0"/>
                    <w:bottom w:val="single" w:color="auto" w:sz="4" w:space="0"/>
                    <w:right w:val="single" w:color="auto" w:sz="4" w:space="0"/>
                  </w:tcBorders>
                  <w:vAlign w:val="center"/>
                </w:tcPr>
                <w:p w14:paraId="091984A2">
                  <w:pPr>
                    <w:autoSpaceDE w:val="0"/>
                    <w:autoSpaceDN w:val="0"/>
                    <w:adjustRightInd w:val="0"/>
                    <w:jc w:val="left"/>
                    <w:rPr>
                      <w:rFonts w:ascii="宋体" w:hAnsi="宋体" w:cs="宋体"/>
                      <w:color w:val="auto"/>
                      <w:szCs w:val="21"/>
                    </w:rPr>
                  </w:pPr>
                  <w:r>
                    <w:rPr>
                      <w:rFonts w:ascii="宋体" w:hAnsi="宋体" w:cs="宋体"/>
                      <w:color w:val="auto"/>
                      <w:szCs w:val="21"/>
                    </w:rPr>
                    <w:t>符合</w:t>
                  </w:r>
                  <w:r>
                    <w:rPr>
                      <w:rFonts w:hint="eastAsia" w:ascii="宋体" w:hAnsi="宋体" w:cs="宋体"/>
                      <w:color w:val="auto"/>
                      <w:szCs w:val="21"/>
                    </w:rPr>
                    <w:t>，本</w:t>
                  </w:r>
                  <w:r>
                    <w:rPr>
                      <w:rFonts w:ascii="宋体" w:hAnsi="宋体" w:cs="宋体"/>
                      <w:color w:val="auto"/>
                      <w:szCs w:val="21"/>
                    </w:rPr>
                    <w:t>项目不涉及违法利用、占用长江流域河湖岸线。</w:t>
                  </w:r>
                </w:p>
              </w:tc>
            </w:tr>
            <w:tr w14:paraId="4122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63" w:type="dxa"/>
                  <w:tcBorders>
                    <w:top w:val="single" w:color="auto" w:sz="4" w:space="0"/>
                    <w:left w:val="single" w:color="auto" w:sz="4" w:space="0"/>
                    <w:bottom w:val="single" w:color="auto" w:sz="4" w:space="0"/>
                    <w:right w:val="single" w:color="auto" w:sz="4" w:space="0"/>
                  </w:tcBorders>
                  <w:vAlign w:val="center"/>
                </w:tcPr>
                <w:p w14:paraId="7D25F01D">
                  <w:pPr>
                    <w:jc w:val="center"/>
                    <w:rPr>
                      <w:color w:val="auto"/>
                      <w:szCs w:val="21"/>
                    </w:rPr>
                  </w:pPr>
                  <w:r>
                    <w:rPr>
                      <w:color w:val="auto"/>
                      <w:szCs w:val="21"/>
                    </w:rPr>
                    <w:t>7</w:t>
                  </w:r>
                </w:p>
              </w:tc>
              <w:tc>
                <w:tcPr>
                  <w:tcW w:w="7596" w:type="dxa"/>
                  <w:tcBorders>
                    <w:top w:val="single" w:color="auto" w:sz="4" w:space="0"/>
                    <w:left w:val="single" w:color="auto" w:sz="4" w:space="0"/>
                    <w:bottom w:val="single" w:color="auto" w:sz="4" w:space="0"/>
                    <w:right w:val="single" w:color="auto" w:sz="4" w:space="0"/>
                  </w:tcBorders>
                  <w:vAlign w:val="center"/>
                </w:tcPr>
                <w:p w14:paraId="00A4A56D">
                  <w:pPr>
                    <w:autoSpaceDE w:val="0"/>
                    <w:autoSpaceDN w:val="0"/>
                    <w:adjustRightInd w:val="0"/>
                    <w:jc w:val="left"/>
                    <w:rPr>
                      <w:rFonts w:ascii="宋体" w:hAnsi="宋体" w:cs="宋体"/>
                      <w:color w:val="auto"/>
                      <w:szCs w:val="21"/>
                    </w:rPr>
                  </w:pPr>
                  <w:r>
                    <w:rPr>
                      <w:rFonts w:ascii="宋体" w:hAnsi="宋体" w:cs="宋体"/>
                      <w:color w:val="auto"/>
                      <w:szCs w:val="21"/>
                    </w:rPr>
                    <w:t>禁止在《长江岸线保护和开发利用总体规划》划定的岸线保护区和保留区内投资建设除事关公共安全及公众利益的防洪护岸、河道治理、供水、生态环境保护、国家重要基础设施以外的项目。</w:t>
                  </w:r>
                </w:p>
              </w:tc>
              <w:tc>
                <w:tcPr>
                  <w:tcW w:w="3915" w:type="dxa"/>
                  <w:tcBorders>
                    <w:top w:val="single" w:color="auto" w:sz="4" w:space="0"/>
                    <w:left w:val="single" w:color="auto" w:sz="4" w:space="0"/>
                    <w:bottom w:val="single" w:color="auto" w:sz="4" w:space="0"/>
                    <w:right w:val="single" w:color="auto" w:sz="4" w:space="0"/>
                  </w:tcBorders>
                  <w:vAlign w:val="center"/>
                </w:tcPr>
                <w:p w14:paraId="452E1360">
                  <w:pPr>
                    <w:autoSpaceDE w:val="0"/>
                    <w:autoSpaceDN w:val="0"/>
                    <w:adjustRightInd w:val="0"/>
                    <w:jc w:val="left"/>
                    <w:rPr>
                      <w:rFonts w:ascii="宋体" w:hAnsi="宋体" w:cs="宋体"/>
                      <w:color w:val="auto"/>
                      <w:szCs w:val="21"/>
                    </w:rPr>
                  </w:pPr>
                  <w:r>
                    <w:rPr>
                      <w:rFonts w:ascii="宋体" w:hAnsi="宋体" w:cs="宋体"/>
                      <w:color w:val="auto"/>
                      <w:szCs w:val="21"/>
                    </w:rPr>
                    <w:t>符合</w:t>
                  </w:r>
                  <w:r>
                    <w:rPr>
                      <w:rFonts w:hint="eastAsia" w:ascii="宋体" w:hAnsi="宋体" w:cs="宋体"/>
                      <w:color w:val="auto"/>
                      <w:szCs w:val="21"/>
                    </w:rPr>
                    <w:t>，本项目不涉及</w:t>
                  </w:r>
                  <w:r>
                    <w:rPr>
                      <w:rFonts w:ascii="宋体" w:hAnsi="宋体" w:cs="宋体"/>
                      <w:color w:val="auto"/>
                      <w:szCs w:val="21"/>
                    </w:rPr>
                    <w:t>《长江岸线保护和开发利用总体规划》划定的岸线保护区和保留区。</w:t>
                  </w:r>
                </w:p>
              </w:tc>
            </w:tr>
            <w:tr w14:paraId="5D83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63" w:type="dxa"/>
                  <w:tcBorders>
                    <w:top w:val="single" w:color="auto" w:sz="4" w:space="0"/>
                    <w:left w:val="single" w:color="auto" w:sz="4" w:space="0"/>
                    <w:bottom w:val="single" w:color="auto" w:sz="4" w:space="0"/>
                    <w:right w:val="single" w:color="auto" w:sz="4" w:space="0"/>
                  </w:tcBorders>
                  <w:vAlign w:val="center"/>
                </w:tcPr>
                <w:p w14:paraId="1460F841">
                  <w:pPr>
                    <w:jc w:val="center"/>
                    <w:rPr>
                      <w:color w:val="auto"/>
                      <w:szCs w:val="21"/>
                    </w:rPr>
                  </w:pPr>
                  <w:r>
                    <w:rPr>
                      <w:color w:val="auto"/>
                      <w:szCs w:val="21"/>
                    </w:rPr>
                    <w:t>8</w:t>
                  </w:r>
                </w:p>
              </w:tc>
              <w:tc>
                <w:tcPr>
                  <w:tcW w:w="7596" w:type="dxa"/>
                  <w:tcBorders>
                    <w:top w:val="single" w:color="auto" w:sz="4" w:space="0"/>
                    <w:left w:val="single" w:color="auto" w:sz="4" w:space="0"/>
                    <w:bottom w:val="single" w:color="auto" w:sz="4" w:space="0"/>
                    <w:right w:val="single" w:color="auto" w:sz="4" w:space="0"/>
                  </w:tcBorders>
                  <w:vAlign w:val="center"/>
                </w:tcPr>
                <w:p w14:paraId="44C17FED">
                  <w:pPr>
                    <w:autoSpaceDE w:val="0"/>
                    <w:autoSpaceDN w:val="0"/>
                    <w:adjustRightInd w:val="0"/>
                    <w:jc w:val="left"/>
                    <w:rPr>
                      <w:rFonts w:ascii="宋体" w:hAnsi="宋体" w:cs="宋体"/>
                      <w:color w:val="auto"/>
                      <w:szCs w:val="21"/>
                    </w:rPr>
                  </w:pPr>
                  <w:r>
                    <w:rPr>
                      <w:rFonts w:ascii="宋体" w:hAnsi="宋体" w:cs="宋体"/>
                      <w:color w:val="auto"/>
                      <w:szCs w:val="21"/>
                    </w:rPr>
                    <w:t>禁止在《全国重要江河湖泊水功能区划》划定的河段及湖泊保护区、</w:t>
                  </w:r>
                  <w:r>
                    <w:rPr>
                      <w:rFonts w:hint="eastAsia" w:ascii="宋体" w:hAnsi="宋体" w:cs="宋体"/>
                      <w:color w:val="auto"/>
                      <w:szCs w:val="21"/>
                    </w:rPr>
                    <w:t>保</w:t>
                  </w:r>
                  <w:r>
                    <w:rPr>
                      <w:rFonts w:ascii="宋体" w:hAnsi="宋体" w:cs="宋体"/>
                      <w:color w:val="auto"/>
                      <w:szCs w:val="21"/>
                    </w:rPr>
                    <w:t>留区内投资建设不利于水资源及自然生态保护的项目。</w:t>
                  </w:r>
                </w:p>
              </w:tc>
              <w:tc>
                <w:tcPr>
                  <w:tcW w:w="3915" w:type="dxa"/>
                  <w:tcBorders>
                    <w:top w:val="single" w:color="auto" w:sz="4" w:space="0"/>
                    <w:left w:val="single" w:color="auto" w:sz="4" w:space="0"/>
                    <w:bottom w:val="single" w:color="auto" w:sz="4" w:space="0"/>
                    <w:right w:val="single" w:color="auto" w:sz="4" w:space="0"/>
                  </w:tcBorders>
                  <w:vAlign w:val="center"/>
                </w:tcPr>
                <w:p w14:paraId="23405BC2">
                  <w:pPr>
                    <w:autoSpaceDE w:val="0"/>
                    <w:autoSpaceDN w:val="0"/>
                    <w:adjustRightInd w:val="0"/>
                    <w:jc w:val="left"/>
                    <w:rPr>
                      <w:rFonts w:ascii="宋体" w:hAnsi="宋体" w:cs="宋体"/>
                      <w:color w:val="auto"/>
                      <w:szCs w:val="21"/>
                    </w:rPr>
                  </w:pPr>
                  <w:r>
                    <w:rPr>
                      <w:rFonts w:ascii="宋体" w:hAnsi="宋体" w:cs="宋体"/>
                      <w:color w:val="auto"/>
                      <w:szCs w:val="21"/>
                    </w:rPr>
                    <w:t>符合</w:t>
                  </w:r>
                  <w:r>
                    <w:rPr>
                      <w:rFonts w:hint="eastAsia" w:ascii="宋体" w:hAnsi="宋体" w:cs="宋体"/>
                      <w:color w:val="auto"/>
                      <w:szCs w:val="21"/>
                    </w:rPr>
                    <w:t>，本</w:t>
                  </w:r>
                  <w:r>
                    <w:rPr>
                      <w:rFonts w:ascii="宋体" w:hAnsi="宋体" w:cs="宋体"/>
                      <w:color w:val="auto"/>
                      <w:szCs w:val="21"/>
                    </w:rPr>
                    <w:t>项目不涉及《全国重要江河湖泊水功能区划》划定的河段及湖泊保护区、</w:t>
                  </w:r>
                  <w:r>
                    <w:rPr>
                      <w:rFonts w:hint="eastAsia" w:ascii="宋体" w:hAnsi="宋体" w:cs="宋体"/>
                      <w:color w:val="auto"/>
                      <w:szCs w:val="21"/>
                    </w:rPr>
                    <w:t>保</w:t>
                  </w:r>
                  <w:r>
                    <w:rPr>
                      <w:rFonts w:ascii="宋体" w:hAnsi="宋体" w:cs="宋体"/>
                      <w:color w:val="auto"/>
                      <w:szCs w:val="21"/>
                    </w:rPr>
                    <w:t>留区。</w:t>
                  </w:r>
                </w:p>
              </w:tc>
            </w:tr>
            <w:tr w14:paraId="015A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63" w:type="dxa"/>
                  <w:tcBorders>
                    <w:top w:val="single" w:color="auto" w:sz="4" w:space="0"/>
                    <w:left w:val="single" w:color="auto" w:sz="4" w:space="0"/>
                    <w:bottom w:val="single" w:color="auto" w:sz="4" w:space="0"/>
                    <w:right w:val="single" w:color="auto" w:sz="4" w:space="0"/>
                  </w:tcBorders>
                  <w:vAlign w:val="center"/>
                </w:tcPr>
                <w:p w14:paraId="3C8A5400">
                  <w:pPr>
                    <w:jc w:val="center"/>
                    <w:rPr>
                      <w:color w:val="auto"/>
                      <w:szCs w:val="21"/>
                    </w:rPr>
                  </w:pPr>
                  <w:r>
                    <w:rPr>
                      <w:color w:val="auto"/>
                      <w:szCs w:val="21"/>
                    </w:rPr>
                    <w:t>9</w:t>
                  </w:r>
                </w:p>
              </w:tc>
              <w:tc>
                <w:tcPr>
                  <w:tcW w:w="7596" w:type="dxa"/>
                  <w:tcBorders>
                    <w:top w:val="single" w:color="auto" w:sz="4" w:space="0"/>
                    <w:left w:val="single" w:color="auto" w:sz="4" w:space="0"/>
                    <w:bottom w:val="single" w:color="auto" w:sz="4" w:space="0"/>
                    <w:right w:val="single" w:color="auto" w:sz="4" w:space="0"/>
                  </w:tcBorders>
                  <w:vAlign w:val="center"/>
                </w:tcPr>
                <w:p w14:paraId="4FF9D7AA">
                  <w:pPr>
                    <w:autoSpaceDE w:val="0"/>
                    <w:autoSpaceDN w:val="0"/>
                    <w:adjustRightInd w:val="0"/>
                    <w:jc w:val="left"/>
                    <w:rPr>
                      <w:rFonts w:ascii="宋体" w:hAnsi="宋体" w:cs="宋体"/>
                      <w:color w:val="auto"/>
                      <w:szCs w:val="21"/>
                    </w:rPr>
                  </w:pPr>
                  <w:r>
                    <w:rPr>
                      <w:rFonts w:ascii="宋体" w:hAnsi="宋体" w:cs="宋体"/>
                      <w:color w:val="auto"/>
                      <w:szCs w:val="21"/>
                    </w:rPr>
                    <w:t>禁止未经许可在长江支流及湖泊新设、改设或扩大排污口。</w:t>
                  </w:r>
                </w:p>
              </w:tc>
              <w:tc>
                <w:tcPr>
                  <w:tcW w:w="3915" w:type="dxa"/>
                  <w:tcBorders>
                    <w:top w:val="single" w:color="auto" w:sz="4" w:space="0"/>
                    <w:left w:val="single" w:color="auto" w:sz="4" w:space="0"/>
                    <w:bottom w:val="single" w:color="auto" w:sz="4" w:space="0"/>
                    <w:right w:val="single" w:color="auto" w:sz="4" w:space="0"/>
                  </w:tcBorders>
                  <w:vAlign w:val="center"/>
                </w:tcPr>
                <w:p w14:paraId="3FC38763">
                  <w:pPr>
                    <w:autoSpaceDE w:val="0"/>
                    <w:autoSpaceDN w:val="0"/>
                    <w:adjustRightInd w:val="0"/>
                    <w:jc w:val="left"/>
                    <w:rPr>
                      <w:rFonts w:ascii="宋体" w:hAnsi="宋体" w:cs="宋体"/>
                      <w:color w:val="auto"/>
                      <w:szCs w:val="21"/>
                    </w:rPr>
                  </w:pPr>
                  <w:r>
                    <w:rPr>
                      <w:rFonts w:ascii="宋体" w:hAnsi="宋体" w:cs="宋体"/>
                      <w:color w:val="auto"/>
                      <w:szCs w:val="21"/>
                    </w:rPr>
                    <w:t>符合，</w:t>
                  </w:r>
                  <w:r>
                    <w:rPr>
                      <w:rFonts w:hint="eastAsia" w:ascii="宋体" w:hAnsi="宋体" w:cs="宋体"/>
                      <w:color w:val="auto"/>
                      <w:szCs w:val="21"/>
                    </w:rPr>
                    <w:t>本项目不涉及新设、改设或扩大排污口</w:t>
                  </w:r>
                  <w:r>
                    <w:rPr>
                      <w:rFonts w:ascii="宋体" w:hAnsi="宋体" w:cs="宋体"/>
                      <w:color w:val="auto"/>
                      <w:szCs w:val="21"/>
                    </w:rPr>
                    <w:t>。</w:t>
                  </w:r>
                </w:p>
              </w:tc>
            </w:tr>
            <w:tr w14:paraId="44FB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3" w:type="dxa"/>
                  <w:tcBorders>
                    <w:top w:val="single" w:color="auto" w:sz="4" w:space="0"/>
                    <w:left w:val="single" w:color="auto" w:sz="4" w:space="0"/>
                    <w:bottom w:val="single" w:color="auto" w:sz="4" w:space="0"/>
                    <w:right w:val="single" w:color="auto" w:sz="4" w:space="0"/>
                  </w:tcBorders>
                  <w:vAlign w:val="center"/>
                </w:tcPr>
                <w:p w14:paraId="318FDC39">
                  <w:pPr>
                    <w:jc w:val="center"/>
                    <w:rPr>
                      <w:color w:val="auto"/>
                      <w:szCs w:val="21"/>
                    </w:rPr>
                  </w:pPr>
                  <w:r>
                    <w:rPr>
                      <w:color w:val="auto"/>
                      <w:szCs w:val="21"/>
                    </w:rPr>
                    <w:t>10</w:t>
                  </w:r>
                </w:p>
              </w:tc>
              <w:tc>
                <w:tcPr>
                  <w:tcW w:w="7596" w:type="dxa"/>
                  <w:tcBorders>
                    <w:top w:val="single" w:color="auto" w:sz="4" w:space="0"/>
                    <w:left w:val="single" w:color="auto" w:sz="4" w:space="0"/>
                    <w:bottom w:val="single" w:color="auto" w:sz="4" w:space="0"/>
                    <w:right w:val="single" w:color="auto" w:sz="4" w:space="0"/>
                  </w:tcBorders>
                  <w:vAlign w:val="center"/>
                </w:tcPr>
                <w:p w14:paraId="51CF04CB">
                  <w:pPr>
                    <w:autoSpaceDE w:val="0"/>
                    <w:autoSpaceDN w:val="0"/>
                    <w:adjustRightInd w:val="0"/>
                    <w:jc w:val="left"/>
                    <w:rPr>
                      <w:rFonts w:ascii="宋体" w:hAnsi="宋体" w:cs="宋体"/>
                      <w:color w:val="auto"/>
                      <w:szCs w:val="21"/>
                    </w:rPr>
                  </w:pPr>
                  <w:r>
                    <w:rPr>
                      <w:rFonts w:ascii="宋体" w:hAnsi="宋体" w:cs="宋体"/>
                      <w:color w:val="auto"/>
                      <w:szCs w:val="21"/>
                    </w:rPr>
                    <w:t>禁止在长江支流、太湖等重要岸线一公里范围内新建、扩建化工园区和化工项目。</w:t>
                  </w:r>
                </w:p>
              </w:tc>
              <w:tc>
                <w:tcPr>
                  <w:tcW w:w="3915" w:type="dxa"/>
                  <w:tcBorders>
                    <w:top w:val="single" w:color="auto" w:sz="4" w:space="0"/>
                    <w:left w:val="single" w:color="auto" w:sz="4" w:space="0"/>
                    <w:bottom w:val="single" w:color="auto" w:sz="4" w:space="0"/>
                    <w:right w:val="single" w:color="auto" w:sz="4" w:space="0"/>
                  </w:tcBorders>
                  <w:vAlign w:val="center"/>
                </w:tcPr>
                <w:p w14:paraId="3FCB10B9">
                  <w:pPr>
                    <w:autoSpaceDE w:val="0"/>
                    <w:autoSpaceDN w:val="0"/>
                    <w:adjustRightInd w:val="0"/>
                    <w:jc w:val="left"/>
                    <w:rPr>
                      <w:rFonts w:ascii="宋体" w:hAnsi="宋体" w:cs="宋体"/>
                      <w:color w:val="auto"/>
                      <w:szCs w:val="21"/>
                    </w:rPr>
                  </w:pPr>
                  <w:r>
                    <w:rPr>
                      <w:rFonts w:ascii="宋体" w:hAnsi="宋体" w:cs="宋体"/>
                      <w:color w:val="auto"/>
                      <w:szCs w:val="21"/>
                    </w:rPr>
                    <w:t>符合，</w:t>
                  </w:r>
                  <w:r>
                    <w:rPr>
                      <w:rFonts w:hint="eastAsia" w:ascii="宋体" w:hAnsi="宋体" w:cs="宋体"/>
                      <w:color w:val="auto"/>
                      <w:szCs w:val="21"/>
                    </w:rPr>
                    <w:t>本项目不属于化工项目。</w:t>
                  </w:r>
                </w:p>
              </w:tc>
            </w:tr>
            <w:tr w14:paraId="6990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3" w:type="dxa"/>
                  <w:tcBorders>
                    <w:top w:val="single" w:color="auto" w:sz="4" w:space="0"/>
                    <w:left w:val="single" w:color="auto" w:sz="4" w:space="0"/>
                    <w:bottom w:val="single" w:color="auto" w:sz="4" w:space="0"/>
                    <w:right w:val="single" w:color="auto" w:sz="4" w:space="0"/>
                  </w:tcBorders>
                  <w:vAlign w:val="center"/>
                </w:tcPr>
                <w:p w14:paraId="73E723AD">
                  <w:pPr>
                    <w:jc w:val="center"/>
                    <w:rPr>
                      <w:color w:val="auto"/>
                      <w:szCs w:val="21"/>
                    </w:rPr>
                  </w:pPr>
                  <w:r>
                    <w:rPr>
                      <w:color w:val="auto"/>
                      <w:szCs w:val="21"/>
                    </w:rPr>
                    <w:t>11</w:t>
                  </w:r>
                </w:p>
              </w:tc>
              <w:tc>
                <w:tcPr>
                  <w:tcW w:w="7596" w:type="dxa"/>
                  <w:tcBorders>
                    <w:top w:val="single" w:color="auto" w:sz="4" w:space="0"/>
                    <w:left w:val="single" w:color="auto" w:sz="4" w:space="0"/>
                    <w:bottom w:val="single" w:color="auto" w:sz="4" w:space="0"/>
                    <w:right w:val="single" w:color="auto" w:sz="4" w:space="0"/>
                  </w:tcBorders>
                  <w:vAlign w:val="center"/>
                </w:tcPr>
                <w:p w14:paraId="02268A9E">
                  <w:pPr>
                    <w:autoSpaceDE w:val="0"/>
                    <w:autoSpaceDN w:val="0"/>
                    <w:adjustRightInd w:val="0"/>
                    <w:jc w:val="left"/>
                    <w:rPr>
                      <w:rFonts w:ascii="宋体" w:hAnsi="宋体" w:cs="宋体"/>
                      <w:color w:val="auto"/>
                      <w:szCs w:val="21"/>
                    </w:rPr>
                  </w:pPr>
                  <w:r>
                    <w:rPr>
                      <w:rFonts w:hint="eastAsia" w:ascii="宋体" w:hAnsi="宋体" w:cs="宋体"/>
                      <w:color w:val="auto"/>
                      <w:szCs w:val="21"/>
                    </w:rPr>
                    <w:t>禁止在长江重要支流岸线一公里范围内新建、改建、扩建尾矿库、冶炼渣库和磷石膏库，以提升安全、生态环境保护水平为目的的改扩建除外。</w:t>
                  </w:r>
                </w:p>
              </w:tc>
              <w:tc>
                <w:tcPr>
                  <w:tcW w:w="3915" w:type="dxa"/>
                  <w:tcBorders>
                    <w:top w:val="single" w:color="auto" w:sz="4" w:space="0"/>
                    <w:left w:val="single" w:color="auto" w:sz="4" w:space="0"/>
                    <w:bottom w:val="single" w:color="auto" w:sz="4" w:space="0"/>
                    <w:right w:val="single" w:color="auto" w:sz="4" w:space="0"/>
                  </w:tcBorders>
                  <w:vAlign w:val="center"/>
                </w:tcPr>
                <w:p w14:paraId="4A017F56">
                  <w:pPr>
                    <w:autoSpaceDE w:val="0"/>
                    <w:autoSpaceDN w:val="0"/>
                    <w:adjustRightInd w:val="0"/>
                    <w:jc w:val="left"/>
                    <w:rPr>
                      <w:rFonts w:ascii="宋体" w:hAnsi="宋体" w:cs="宋体"/>
                      <w:color w:val="auto"/>
                      <w:szCs w:val="21"/>
                    </w:rPr>
                  </w:pPr>
                  <w:r>
                    <w:rPr>
                      <w:rFonts w:hint="eastAsia" w:ascii="宋体" w:hAnsi="宋体" w:cs="宋体"/>
                      <w:color w:val="auto"/>
                      <w:szCs w:val="21"/>
                    </w:rPr>
                    <w:t>符合，本项目不属于尾矿库、冶炼渣库和磷石膏库项目。</w:t>
                  </w:r>
                </w:p>
              </w:tc>
            </w:tr>
            <w:tr w14:paraId="2913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63" w:type="dxa"/>
                  <w:tcBorders>
                    <w:top w:val="single" w:color="auto" w:sz="4" w:space="0"/>
                    <w:left w:val="single" w:color="auto" w:sz="4" w:space="0"/>
                    <w:bottom w:val="single" w:color="auto" w:sz="4" w:space="0"/>
                    <w:right w:val="single" w:color="auto" w:sz="4" w:space="0"/>
                  </w:tcBorders>
                  <w:vAlign w:val="center"/>
                </w:tcPr>
                <w:p w14:paraId="4B2EDE80">
                  <w:pPr>
                    <w:jc w:val="center"/>
                    <w:rPr>
                      <w:color w:val="auto"/>
                      <w:szCs w:val="21"/>
                    </w:rPr>
                  </w:pPr>
                  <w:r>
                    <w:rPr>
                      <w:color w:val="auto"/>
                      <w:szCs w:val="21"/>
                    </w:rPr>
                    <w:t>12</w:t>
                  </w:r>
                </w:p>
              </w:tc>
              <w:tc>
                <w:tcPr>
                  <w:tcW w:w="7596" w:type="dxa"/>
                  <w:tcBorders>
                    <w:top w:val="single" w:color="auto" w:sz="4" w:space="0"/>
                    <w:left w:val="single" w:color="auto" w:sz="4" w:space="0"/>
                    <w:bottom w:val="single" w:color="auto" w:sz="4" w:space="0"/>
                    <w:right w:val="single" w:color="auto" w:sz="4" w:space="0"/>
                  </w:tcBorders>
                  <w:vAlign w:val="center"/>
                </w:tcPr>
                <w:p w14:paraId="6441B581">
                  <w:pPr>
                    <w:autoSpaceDE w:val="0"/>
                    <w:autoSpaceDN w:val="0"/>
                    <w:adjustRightInd w:val="0"/>
                    <w:jc w:val="left"/>
                    <w:rPr>
                      <w:rFonts w:ascii="宋体" w:hAnsi="宋体" w:cs="宋体"/>
                      <w:color w:val="auto"/>
                      <w:szCs w:val="21"/>
                    </w:rPr>
                  </w:pPr>
                  <w:r>
                    <w:rPr>
                      <w:rFonts w:hint="eastAsia" w:ascii="宋体" w:hAnsi="宋体" w:cs="宋体"/>
                      <w:color w:val="auto"/>
                      <w:szCs w:val="21"/>
                    </w:rPr>
                    <w:t>禁止在合规园区外新建、扩建钢铁、石化、化工、焦化、建材、有色、制浆造纸等高污染项目。高污染项目清单参照生态环境部《环境保护综合目录》中的高污染产品目录执行。</w:t>
                  </w:r>
                </w:p>
              </w:tc>
              <w:tc>
                <w:tcPr>
                  <w:tcW w:w="3915" w:type="dxa"/>
                  <w:tcBorders>
                    <w:top w:val="single" w:color="auto" w:sz="4" w:space="0"/>
                    <w:left w:val="single" w:color="auto" w:sz="4" w:space="0"/>
                    <w:bottom w:val="single" w:color="auto" w:sz="4" w:space="0"/>
                    <w:right w:val="single" w:color="auto" w:sz="4" w:space="0"/>
                  </w:tcBorders>
                  <w:vAlign w:val="center"/>
                </w:tcPr>
                <w:p w14:paraId="20EE4C32">
                  <w:pPr>
                    <w:autoSpaceDE w:val="0"/>
                    <w:autoSpaceDN w:val="0"/>
                    <w:adjustRightInd w:val="0"/>
                    <w:jc w:val="left"/>
                    <w:rPr>
                      <w:rFonts w:ascii="宋体" w:hAnsi="宋体" w:cs="宋体"/>
                      <w:color w:val="auto"/>
                      <w:szCs w:val="21"/>
                    </w:rPr>
                  </w:pPr>
                  <w:r>
                    <w:rPr>
                      <w:rFonts w:hint="eastAsia" w:ascii="宋体" w:hAnsi="宋体" w:cs="宋体"/>
                      <w:color w:val="auto"/>
                      <w:szCs w:val="21"/>
                    </w:rPr>
                    <w:t>符合，本项目位于安吉县天荒坪镇白水湾工业园，属于合规园区，且不属于钢铁、石化、化工、焦化、建材、有色、制浆造纸等高污染项目。</w:t>
                  </w:r>
                </w:p>
              </w:tc>
            </w:tr>
            <w:tr w14:paraId="7457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3" w:type="dxa"/>
                  <w:tcBorders>
                    <w:top w:val="single" w:color="auto" w:sz="4" w:space="0"/>
                    <w:left w:val="single" w:color="auto" w:sz="4" w:space="0"/>
                    <w:bottom w:val="single" w:color="auto" w:sz="4" w:space="0"/>
                    <w:right w:val="single" w:color="auto" w:sz="4" w:space="0"/>
                  </w:tcBorders>
                  <w:vAlign w:val="center"/>
                </w:tcPr>
                <w:p w14:paraId="11A2E5F0">
                  <w:pPr>
                    <w:autoSpaceDE w:val="0"/>
                    <w:autoSpaceDN w:val="0"/>
                    <w:adjustRightInd w:val="0"/>
                    <w:jc w:val="center"/>
                    <w:rPr>
                      <w:rFonts w:ascii="宋体" w:hAnsi="宋体" w:cs="宋体"/>
                      <w:color w:val="auto"/>
                      <w:szCs w:val="21"/>
                    </w:rPr>
                  </w:pPr>
                  <w:r>
                    <w:rPr>
                      <w:color w:val="auto"/>
                      <w:szCs w:val="21"/>
                    </w:rPr>
                    <w:t>13</w:t>
                  </w:r>
                </w:p>
              </w:tc>
              <w:tc>
                <w:tcPr>
                  <w:tcW w:w="7596" w:type="dxa"/>
                  <w:tcBorders>
                    <w:top w:val="single" w:color="auto" w:sz="4" w:space="0"/>
                    <w:left w:val="single" w:color="auto" w:sz="4" w:space="0"/>
                    <w:bottom w:val="single" w:color="auto" w:sz="4" w:space="0"/>
                    <w:right w:val="single" w:color="auto" w:sz="4" w:space="0"/>
                  </w:tcBorders>
                  <w:vAlign w:val="center"/>
                </w:tcPr>
                <w:p w14:paraId="5DB9A46D">
                  <w:pPr>
                    <w:autoSpaceDE w:val="0"/>
                    <w:autoSpaceDN w:val="0"/>
                    <w:adjustRightInd w:val="0"/>
                    <w:jc w:val="left"/>
                    <w:rPr>
                      <w:rFonts w:ascii="宋体" w:hAnsi="宋体" w:cs="宋体"/>
                      <w:color w:val="auto"/>
                      <w:szCs w:val="21"/>
                    </w:rPr>
                  </w:pPr>
                  <w:r>
                    <w:rPr>
                      <w:rFonts w:hint="eastAsia" w:ascii="宋体" w:hAnsi="宋体" w:cs="宋体"/>
                      <w:color w:val="auto"/>
                      <w:szCs w:val="21"/>
                    </w:rPr>
                    <w:t>禁止新建、扩建不符合国家石化、现代煤化工等产业布局规划的项目。</w:t>
                  </w:r>
                </w:p>
              </w:tc>
              <w:tc>
                <w:tcPr>
                  <w:tcW w:w="3915" w:type="dxa"/>
                  <w:tcBorders>
                    <w:top w:val="single" w:color="auto" w:sz="4" w:space="0"/>
                    <w:left w:val="single" w:color="auto" w:sz="4" w:space="0"/>
                    <w:bottom w:val="single" w:color="auto" w:sz="4" w:space="0"/>
                    <w:right w:val="single" w:color="auto" w:sz="4" w:space="0"/>
                  </w:tcBorders>
                  <w:vAlign w:val="center"/>
                </w:tcPr>
                <w:p w14:paraId="4F3A4650">
                  <w:pPr>
                    <w:autoSpaceDE w:val="0"/>
                    <w:autoSpaceDN w:val="0"/>
                    <w:adjustRightInd w:val="0"/>
                    <w:jc w:val="left"/>
                    <w:rPr>
                      <w:rFonts w:ascii="宋体" w:hAnsi="宋体" w:cs="宋体"/>
                      <w:color w:val="auto"/>
                      <w:szCs w:val="21"/>
                    </w:rPr>
                  </w:pPr>
                  <w:r>
                    <w:rPr>
                      <w:rFonts w:hint="eastAsia" w:ascii="宋体" w:hAnsi="宋体" w:cs="宋体"/>
                      <w:color w:val="auto"/>
                      <w:szCs w:val="21"/>
                    </w:rPr>
                    <w:t>符合，本项目不属于石化、煤化工等项目。</w:t>
                  </w:r>
                </w:p>
              </w:tc>
            </w:tr>
            <w:tr w14:paraId="1EC6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63" w:type="dxa"/>
                  <w:tcBorders>
                    <w:top w:val="single" w:color="auto" w:sz="4" w:space="0"/>
                    <w:left w:val="single" w:color="auto" w:sz="4" w:space="0"/>
                    <w:bottom w:val="single" w:color="auto" w:sz="4" w:space="0"/>
                    <w:right w:val="single" w:color="auto" w:sz="4" w:space="0"/>
                  </w:tcBorders>
                  <w:vAlign w:val="center"/>
                </w:tcPr>
                <w:p w14:paraId="42921148">
                  <w:pPr>
                    <w:jc w:val="center"/>
                    <w:rPr>
                      <w:color w:val="auto"/>
                      <w:szCs w:val="21"/>
                    </w:rPr>
                  </w:pPr>
                  <w:r>
                    <w:rPr>
                      <w:color w:val="auto"/>
                      <w:szCs w:val="21"/>
                    </w:rPr>
                    <w:t>14</w:t>
                  </w:r>
                </w:p>
              </w:tc>
              <w:tc>
                <w:tcPr>
                  <w:tcW w:w="7596" w:type="dxa"/>
                  <w:tcBorders>
                    <w:top w:val="single" w:color="auto" w:sz="4" w:space="0"/>
                    <w:left w:val="single" w:color="auto" w:sz="4" w:space="0"/>
                    <w:bottom w:val="single" w:color="auto" w:sz="4" w:space="0"/>
                    <w:right w:val="single" w:color="auto" w:sz="4" w:space="0"/>
                  </w:tcBorders>
                  <w:vAlign w:val="center"/>
                </w:tcPr>
                <w:p w14:paraId="43744042">
                  <w:pPr>
                    <w:autoSpaceDE w:val="0"/>
                    <w:autoSpaceDN w:val="0"/>
                    <w:adjustRightInd w:val="0"/>
                    <w:jc w:val="left"/>
                    <w:rPr>
                      <w:rFonts w:ascii="宋体" w:hAnsi="宋体" w:cs="宋体"/>
                      <w:color w:val="auto"/>
                      <w:szCs w:val="21"/>
                    </w:rPr>
                  </w:pPr>
                  <w:r>
                    <w:rPr>
                      <w:rFonts w:hint="eastAsia" w:ascii="宋体" w:hAnsi="宋体" w:cs="宋体"/>
                      <w:color w:val="auto"/>
                      <w:szCs w:val="21"/>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 禁止向落后产能项目和严重过剩产能行业项目供应土地。</w:t>
                  </w:r>
                </w:p>
              </w:tc>
              <w:tc>
                <w:tcPr>
                  <w:tcW w:w="3915" w:type="dxa"/>
                  <w:tcBorders>
                    <w:top w:val="single" w:color="auto" w:sz="4" w:space="0"/>
                    <w:left w:val="single" w:color="auto" w:sz="4" w:space="0"/>
                    <w:bottom w:val="single" w:color="auto" w:sz="4" w:space="0"/>
                    <w:right w:val="single" w:color="auto" w:sz="4" w:space="0"/>
                  </w:tcBorders>
                  <w:vAlign w:val="center"/>
                </w:tcPr>
                <w:p w14:paraId="2A88FDAD">
                  <w:pPr>
                    <w:autoSpaceDE w:val="0"/>
                    <w:autoSpaceDN w:val="0"/>
                    <w:adjustRightInd w:val="0"/>
                    <w:jc w:val="left"/>
                    <w:rPr>
                      <w:rFonts w:ascii="宋体" w:hAnsi="宋体" w:cs="宋体"/>
                      <w:color w:val="auto"/>
                      <w:szCs w:val="21"/>
                    </w:rPr>
                  </w:pPr>
                  <w:r>
                    <w:rPr>
                      <w:rFonts w:hint="eastAsia" w:ascii="宋体" w:hAnsi="宋体" w:cs="宋体"/>
                      <w:color w:val="auto"/>
                      <w:szCs w:val="21"/>
                    </w:rPr>
                    <w:t>符合，本项目不属于禁止新建、扩建法律法规和相关政策明令禁止的落后产能项目。</w:t>
                  </w:r>
                </w:p>
              </w:tc>
            </w:tr>
            <w:tr w14:paraId="6DB5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63" w:type="dxa"/>
                  <w:tcBorders>
                    <w:top w:val="single" w:color="auto" w:sz="4" w:space="0"/>
                    <w:left w:val="single" w:color="auto" w:sz="4" w:space="0"/>
                    <w:bottom w:val="single" w:color="auto" w:sz="4" w:space="0"/>
                    <w:right w:val="single" w:color="auto" w:sz="4" w:space="0"/>
                  </w:tcBorders>
                  <w:vAlign w:val="center"/>
                </w:tcPr>
                <w:p w14:paraId="166BD5E7">
                  <w:pPr>
                    <w:jc w:val="center"/>
                    <w:rPr>
                      <w:color w:val="auto"/>
                      <w:szCs w:val="21"/>
                    </w:rPr>
                  </w:pPr>
                  <w:r>
                    <w:rPr>
                      <w:color w:val="auto"/>
                      <w:szCs w:val="21"/>
                    </w:rPr>
                    <w:t>15</w:t>
                  </w:r>
                </w:p>
              </w:tc>
              <w:tc>
                <w:tcPr>
                  <w:tcW w:w="7596" w:type="dxa"/>
                  <w:tcBorders>
                    <w:top w:val="single" w:color="auto" w:sz="4" w:space="0"/>
                    <w:left w:val="single" w:color="auto" w:sz="4" w:space="0"/>
                    <w:bottom w:val="single" w:color="auto" w:sz="4" w:space="0"/>
                    <w:right w:val="single" w:color="auto" w:sz="4" w:space="0"/>
                  </w:tcBorders>
                  <w:vAlign w:val="center"/>
                </w:tcPr>
                <w:p w14:paraId="36777DA6">
                  <w:pPr>
                    <w:autoSpaceDE w:val="0"/>
                    <w:autoSpaceDN w:val="0"/>
                    <w:adjustRightInd w:val="0"/>
                    <w:jc w:val="left"/>
                    <w:rPr>
                      <w:rFonts w:ascii="宋体" w:hAnsi="宋体" w:cs="宋体"/>
                      <w:color w:val="auto"/>
                      <w:szCs w:val="21"/>
                    </w:rPr>
                  </w:pPr>
                  <w:r>
                    <w:rPr>
                      <w:rFonts w:hint="eastAsia" w:ascii="宋体" w:hAnsi="宋体" w:cs="宋体"/>
                      <w:color w:val="auto"/>
                      <w:szCs w:val="21"/>
                    </w:rPr>
                    <w:t>禁止新建、扩建不符合国家产能置换要求的严重过剩产能行业的项目。部门、机构禁止办理相关的土地（海域）供应、能评、环评审批和新增授信支持等业务。</w:t>
                  </w:r>
                </w:p>
              </w:tc>
              <w:tc>
                <w:tcPr>
                  <w:tcW w:w="3915" w:type="dxa"/>
                  <w:tcBorders>
                    <w:top w:val="single" w:color="auto" w:sz="4" w:space="0"/>
                    <w:left w:val="single" w:color="auto" w:sz="4" w:space="0"/>
                    <w:bottom w:val="single" w:color="auto" w:sz="4" w:space="0"/>
                    <w:right w:val="single" w:color="auto" w:sz="4" w:space="0"/>
                  </w:tcBorders>
                  <w:vAlign w:val="center"/>
                </w:tcPr>
                <w:p w14:paraId="68E1ED0E">
                  <w:pPr>
                    <w:autoSpaceDE w:val="0"/>
                    <w:autoSpaceDN w:val="0"/>
                    <w:adjustRightInd w:val="0"/>
                    <w:jc w:val="left"/>
                    <w:rPr>
                      <w:rFonts w:ascii="宋体" w:hAnsi="宋体" w:cs="宋体"/>
                      <w:color w:val="auto"/>
                      <w:szCs w:val="21"/>
                    </w:rPr>
                  </w:pPr>
                  <w:r>
                    <w:rPr>
                      <w:rFonts w:hint="eastAsia" w:ascii="宋体" w:hAnsi="宋体" w:cs="宋体"/>
                      <w:color w:val="auto"/>
                      <w:szCs w:val="21"/>
                    </w:rPr>
                    <w:t>符合，本项目不属于禁止核准、备案严重过剩产能行业新增产能项目。</w:t>
                  </w:r>
                </w:p>
              </w:tc>
            </w:tr>
            <w:tr w14:paraId="5AB0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963" w:type="dxa"/>
                  <w:tcBorders>
                    <w:top w:val="single" w:color="auto" w:sz="4" w:space="0"/>
                    <w:left w:val="single" w:color="auto" w:sz="4" w:space="0"/>
                    <w:bottom w:val="single" w:color="auto" w:sz="4" w:space="0"/>
                    <w:right w:val="single" w:color="auto" w:sz="4" w:space="0"/>
                  </w:tcBorders>
                  <w:vAlign w:val="center"/>
                </w:tcPr>
                <w:p w14:paraId="25E44043">
                  <w:pPr>
                    <w:jc w:val="center"/>
                    <w:rPr>
                      <w:color w:val="auto"/>
                      <w:szCs w:val="21"/>
                    </w:rPr>
                  </w:pPr>
                  <w:r>
                    <w:rPr>
                      <w:color w:val="auto"/>
                      <w:szCs w:val="21"/>
                    </w:rPr>
                    <w:t>16</w:t>
                  </w:r>
                </w:p>
              </w:tc>
              <w:tc>
                <w:tcPr>
                  <w:tcW w:w="7596" w:type="dxa"/>
                  <w:tcBorders>
                    <w:top w:val="single" w:color="auto" w:sz="4" w:space="0"/>
                    <w:left w:val="single" w:color="auto" w:sz="4" w:space="0"/>
                    <w:bottom w:val="single" w:color="auto" w:sz="4" w:space="0"/>
                    <w:right w:val="single" w:color="auto" w:sz="4" w:space="0"/>
                  </w:tcBorders>
                  <w:vAlign w:val="center"/>
                </w:tcPr>
                <w:p w14:paraId="4F81EC85">
                  <w:pPr>
                    <w:autoSpaceDE w:val="0"/>
                    <w:autoSpaceDN w:val="0"/>
                    <w:adjustRightInd w:val="0"/>
                    <w:jc w:val="left"/>
                    <w:rPr>
                      <w:rFonts w:ascii="宋体" w:hAnsi="宋体" w:cs="宋体"/>
                      <w:color w:val="auto"/>
                      <w:szCs w:val="21"/>
                    </w:rPr>
                  </w:pPr>
                  <w:r>
                    <w:rPr>
                      <w:rFonts w:hint="eastAsia" w:ascii="宋体" w:hAnsi="宋体" w:cs="宋体"/>
                      <w:color w:val="auto"/>
                      <w:szCs w:val="21"/>
                    </w:rPr>
                    <w:t>禁止新建、扩建不符合要求的高耗能高排放项目。</w:t>
                  </w:r>
                </w:p>
              </w:tc>
              <w:tc>
                <w:tcPr>
                  <w:tcW w:w="3915" w:type="dxa"/>
                  <w:tcBorders>
                    <w:top w:val="single" w:color="auto" w:sz="4" w:space="0"/>
                    <w:left w:val="single" w:color="auto" w:sz="4" w:space="0"/>
                    <w:bottom w:val="single" w:color="auto" w:sz="4" w:space="0"/>
                    <w:right w:val="single" w:color="auto" w:sz="4" w:space="0"/>
                  </w:tcBorders>
                  <w:vAlign w:val="center"/>
                </w:tcPr>
                <w:p w14:paraId="65E7A8FF">
                  <w:pPr>
                    <w:autoSpaceDE w:val="0"/>
                    <w:autoSpaceDN w:val="0"/>
                    <w:adjustRightInd w:val="0"/>
                    <w:jc w:val="left"/>
                    <w:rPr>
                      <w:rFonts w:ascii="宋体" w:hAnsi="宋体" w:cs="宋体"/>
                      <w:color w:val="auto"/>
                      <w:szCs w:val="21"/>
                    </w:rPr>
                  </w:pPr>
                  <w:r>
                    <w:rPr>
                      <w:rFonts w:hint="eastAsia" w:ascii="宋体" w:hAnsi="宋体" w:cs="宋体"/>
                      <w:color w:val="auto"/>
                      <w:szCs w:val="21"/>
                    </w:rPr>
                    <w:t>符合，本项目不属于不符合要求的高耗能高排放项目。</w:t>
                  </w:r>
                </w:p>
              </w:tc>
            </w:tr>
            <w:tr w14:paraId="4DA5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963" w:type="dxa"/>
                  <w:tcBorders>
                    <w:top w:val="single" w:color="auto" w:sz="4" w:space="0"/>
                    <w:left w:val="single" w:color="auto" w:sz="4" w:space="0"/>
                    <w:bottom w:val="single" w:color="auto" w:sz="4" w:space="0"/>
                    <w:right w:val="single" w:color="auto" w:sz="4" w:space="0"/>
                  </w:tcBorders>
                  <w:vAlign w:val="center"/>
                </w:tcPr>
                <w:p w14:paraId="7548AB13">
                  <w:pPr>
                    <w:jc w:val="center"/>
                    <w:rPr>
                      <w:color w:val="auto"/>
                      <w:szCs w:val="21"/>
                    </w:rPr>
                  </w:pPr>
                  <w:r>
                    <w:rPr>
                      <w:rFonts w:hint="eastAsia"/>
                      <w:color w:val="auto"/>
                      <w:szCs w:val="21"/>
                    </w:rPr>
                    <w:t>17</w:t>
                  </w:r>
                </w:p>
              </w:tc>
              <w:tc>
                <w:tcPr>
                  <w:tcW w:w="7596" w:type="dxa"/>
                  <w:tcBorders>
                    <w:top w:val="single" w:color="auto" w:sz="4" w:space="0"/>
                    <w:left w:val="single" w:color="auto" w:sz="4" w:space="0"/>
                    <w:bottom w:val="single" w:color="auto" w:sz="4" w:space="0"/>
                    <w:right w:val="single" w:color="auto" w:sz="4" w:space="0"/>
                  </w:tcBorders>
                  <w:vAlign w:val="center"/>
                </w:tcPr>
                <w:p w14:paraId="3E01743E">
                  <w:pPr>
                    <w:autoSpaceDE w:val="0"/>
                    <w:autoSpaceDN w:val="0"/>
                    <w:adjustRightInd w:val="0"/>
                    <w:jc w:val="left"/>
                    <w:rPr>
                      <w:rFonts w:ascii="宋体" w:hAnsi="宋体" w:cs="宋体"/>
                      <w:color w:val="auto"/>
                      <w:szCs w:val="21"/>
                    </w:rPr>
                  </w:pPr>
                  <w:r>
                    <w:rPr>
                      <w:rFonts w:hint="eastAsia" w:ascii="宋体" w:hAnsi="宋体" w:cs="宋体"/>
                      <w:color w:val="auto"/>
                      <w:szCs w:val="21"/>
                    </w:rPr>
                    <w:t>禁止在水库和河湖等水利工程管理范围内堆放物料，倾倒土、石、矿渣、垃圾等物质。</w:t>
                  </w:r>
                </w:p>
              </w:tc>
              <w:tc>
                <w:tcPr>
                  <w:tcW w:w="3915" w:type="dxa"/>
                  <w:tcBorders>
                    <w:top w:val="single" w:color="auto" w:sz="4" w:space="0"/>
                    <w:left w:val="single" w:color="auto" w:sz="4" w:space="0"/>
                    <w:bottom w:val="single" w:color="auto" w:sz="4" w:space="0"/>
                    <w:right w:val="single" w:color="auto" w:sz="4" w:space="0"/>
                  </w:tcBorders>
                  <w:vAlign w:val="center"/>
                </w:tcPr>
                <w:p w14:paraId="6BCAAAA4">
                  <w:pPr>
                    <w:autoSpaceDE w:val="0"/>
                    <w:autoSpaceDN w:val="0"/>
                    <w:adjustRightInd w:val="0"/>
                    <w:jc w:val="left"/>
                    <w:rPr>
                      <w:rFonts w:ascii="宋体" w:hAnsi="宋体" w:cs="宋体"/>
                      <w:color w:val="auto"/>
                      <w:szCs w:val="21"/>
                    </w:rPr>
                  </w:pPr>
                  <w:r>
                    <w:rPr>
                      <w:rFonts w:hint="eastAsia" w:ascii="宋体" w:hAnsi="宋体" w:cs="宋体"/>
                      <w:color w:val="auto"/>
                      <w:szCs w:val="21"/>
                    </w:rPr>
                    <w:t>符合，本项目不在水库和河湖等水利工程管理范围内。</w:t>
                  </w:r>
                </w:p>
              </w:tc>
            </w:tr>
            <w:tr w14:paraId="732B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963" w:type="dxa"/>
                  <w:tcBorders>
                    <w:top w:val="single" w:color="auto" w:sz="4" w:space="0"/>
                    <w:left w:val="single" w:color="auto" w:sz="4" w:space="0"/>
                    <w:bottom w:val="single" w:color="auto" w:sz="4" w:space="0"/>
                    <w:right w:val="single" w:color="auto" w:sz="4" w:space="0"/>
                  </w:tcBorders>
                  <w:vAlign w:val="center"/>
                </w:tcPr>
                <w:p w14:paraId="5E82A9B7">
                  <w:pPr>
                    <w:jc w:val="center"/>
                    <w:rPr>
                      <w:color w:val="auto"/>
                      <w:szCs w:val="21"/>
                    </w:rPr>
                  </w:pPr>
                  <w:r>
                    <w:rPr>
                      <w:rFonts w:hint="eastAsia"/>
                      <w:color w:val="auto"/>
                      <w:szCs w:val="21"/>
                    </w:rPr>
                    <w:t>18</w:t>
                  </w:r>
                </w:p>
              </w:tc>
              <w:tc>
                <w:tcPr>
                  <w:tcW w:w="7596" w:type="dxa"/>
                  <w:tcBorders>
                    <w:top w:val="single" w:color="auto" w:sz="4" w:space="0"/>
                    <w:left w:val="single" w:color="auto" w:sz="4" w:space="0"/>
                    <w:bottom w:val="single" w:color="auto" w:sz="4" w:space="0"/>
                    <w:right w:val="single" w:color="auto" w:sz="4" w:space="0"/>
                  </w:tcBorders>
                  <w:vAlign w:val="center"/>
                </w:tcPr>
                <w:p w14:paraId="3EA2F65E">
                  <w:pPr>
                    <w:autoSpaceDE w:val="0"/>
                    <w:autoSpaceDN w:val="0"/>
                    <w:adjustRightInd w:val="0"/>
                    <w:jc w:val="left"/>
                    <w:rPr>
                      <w:rFonts w:ascii="宋体" w:hAnsi="宋体" w:cs="宋体"/>
                      <w:color w:val="auto"/>
                      <w:szCs w:val="21"/>
                    </w:rPr>
                  </w:pPr>
                  <w:r>
                    <w:rPr>
                      <w:rFonts w:hint="eastAsia" w:ascii="宋体" w:hAnsi="宋体" w:cs="宋体"/>
                      <w:color w:val="auto"/>
                      <w:szCs w:val="21"/>
                    </w:rPr>
                    <w:t>法律法规及相关政策文件有更加严格规定的从其规定</w:t>
                  </w:r>
                </w:p>
              </w:tc>
              <w:tc>
                <w:tcPr>
                  <w:tcW w:w="3915" w:type="dxa"/>
                  <w:tcBorders>
                    <w:top w:val="single" w:color="auto" w:sz="4" w:space="0"/>
                    <w:left w:val="single" w:color="auto" w:sz="4" w:space="0"/>
                    <w:bottom w:val="single" w:color="auto" w:sz="4" w:space="0"/>
                    <w:right w:val="single" w:color="auto" w:sz="4" w:space="0"/>
                  </w:tcBorders>
                  <w:vAlign w:val="center"/>
                </w:tcPr>
                <w:p w14:paraId="62E627A9">
                  <w:pPr>
                    <w:autoSpaceDE w:val="0"/>
                    <w:autoSpaceDN w:val="0"/>
                    <w:adjustRightInd w:val="0"/>
                    <w:jc w:val="left"/>
                    <w:rPr>
                      <w:rFonts w:ascii="宋体" w:hAnsi="宋体" w:cs="宋体"/>
                      <w:color w:val="auto"/>
                      <w:szCs w:val="21"/>
                    </w:rPr>
                  </w:pPr>
                  <w:r>
                    <w:rPr>
                      <w:rFonts w:hint="eastAsia" w:ascii="宋体" w:hAnsi="宋体" w:cs="宋体"/>
                      <w:color w:val="auto"/>
                      <w:szCs w:val="21"/>
                    </w:rPr>
                    <w:t>符合，本项目符合相关法律法规及相关政策文件。</w:t>
                  </w:r>
                </w:p>
              </w:tc>
            </w:tr>
          </w:tbl>
          <w:p w14:paraId="56EF4EA1">
            <w:pPr>
              <w:pStyle w:val="96"/>
              <w:ind w:firstLine="0" w:firstLineChars="0"/>
              <w:rPr>
                <w:rFonts w:hAnsi="宋体" w:eastAsia="宋体"/>
                <w:b/>
                <w:color w:val="auto"/>
                <w:szCs w:val="22"/>
              </w:rPr>
            </w:pPr>
            <w:r>
              <w:rPr>
                <w:rFonts w:hint="eastAsia" w:hAnsi="宋体" w:eastAsia="宋体"/>
                <w:b/>
                <w:color w:val="auto"/>
                <w:szCs w:val="22"/>
              </w:rPr>
              <w:t>1.3.6行业VOC</w:t>
            </w:r>
            <w:r>
              <w:rPr>
                <w:rFonts w:hint="eastAsia" w:hAnsi="宋体" w:eastAsia="宋体"/>
                <w:b/>
                <w:color w:val="auto"/>
                <w:szCs w:val="22"/>
                <w:vertAlign w:val="subscript"/>
              </w:rPr>
              <w:t>S</w:t>
            </w:r>
            <w:r>
              <w:rPr>
                <w:rFonts w:hint="eastAsia" w:hAnsi="宋体" w:eastAsia="宋体"/>
                <w:b/>
                <w:color w:val="auto"/>
                <w:szCs w:val="22"/>
              </w:rPr>
              <w:t>污染整治规范符合性分析</w:t>
            </w:r>
          </w:p>
          <w:p w14:paraId="72AD27DD">
            <w:pPr>
              <w:pStyle w:val="3"/>
              <w:spacing w:line="440" w:lineRule="exact"/>
              <w:rPr>
                <w:rFonts w:hAnsi="宋体" w:eastAsia="宋体"/>
                <w:bCs/>
                <w:color w:val="auto"/>
                <w:kern w:val="44"/>
                <w:szCs w:val="44"/>
              </w:rPr>
            </w:pPr>
            <w:r>
              <w:rPr>
                <w:rFonts w:hAnsi="宋体" w:eastAsia="宋体"/>
                <w:color w:val="auto"/>
              </w:rPr>
              <w:t>本项目涉及挥发性有机物产生环节主要为</w:t>
            </w:r>
            <w:r>
              <w:rPr>
                <w:rFonts w:hint="eastAsia" w:hAnsi="宋体" w:eastAsia="宋体"/>
                <w:color w:val="auto"/>
                <w:lang w:eastAsia="zh-CN"/>
              </w:rPr>
              <w:t>注塑</w:t>
            </w:r>
            <w:r>
              <w:rPr>
                <w:rFonts w:hint="eastAsia" w:hAnsi="宋体" w:eastAsia="宋体"/>
                <w:color w:val="auto"/>
              </w:rPr>
              <w:t>等</w:t>
            </w:r>
            <w:r>
              <w:rPr>
                <w:rFonts w:hAnsi="宋体" w:eastAsia="宋体"/>
                <w:color w:val="auto"/>
              </w:rPr>
              <w:t>过程，</w:t>
            </w:r>
            <w:r>
              <w:rPr>
                <w:rFonts w:hAnsi="宋体" w:eastAsia="宋体"/>
                <w:bCs/>
                <w:color w:val="auto"/>
                <w:kern w:val="0"/>
              </w:rPr>
              <w:t>根据《浙江省挥发性有机物污染整治方案》（浙环发</w:t>
            </w:r>
            <w:r>
              <w:rPr>
                <w:rFonts w:eastAsia="宋体"/>
                <w:bCs/>
                <w:color w:val="auto"/>
                <w:kern w:val="0"/>
              </w:rPr>
              <w:t>[2013]54</w:t>
            </w:r>
            <w:r>
              <w:rPr>
                <w:rFonts w:hAnsi="宋体" w:eastAsia="宋体"/>
                <w:bCs/>
                <w:color w:val="auto"/>
                <w:kern w:val="0"/>
              </w:rPr>
              <w:t>号、</w:t>
            </w:r>
            <w:r>
              <w:rPr>
                <w:rFonts w:eastAsia="宋体"/>
                <w:bCs/>
                <w:color w:val="auto"/>
                <w:kern w:val="0"/>
              </w:rPr>
              <w:t>2013</w:t>
            </w:r>
            <w:r>
              <w:rPr>
                <w:rFonts w:hAnsi="宋体" w:eastAsia="宋体"/>
                <w:bCs/>
                <w:color w:val="auto"/>
                <w:kern w:val="0"/>
              </w:rPr>
              <w:t>年</w:t>
            </w:r>
            <w:r>
              <w:rPr>
                <w:rFonts w:eastAsia="宋体"/>
                <w:bCs/>
                <w:color w:val="auto"/>
                <w:kern w:val="0"/>
              </w:rPr>
              <w:t>11</w:t>
            </w:r>
            <w:r>
              <w:rPr>
                <w:rFonts w:hAnsi="宋体" w:eastAsia="宋体"/>
                <w:bCs/>
                <w:color w:val="auto"/>
                <w:kern w:val="0"/>
              </w:rPr>
              <w:t>月</w:t>
            </w:r>
            <w:r>
              <w:rPr>
                <w:rFonts w:eastAsia="宋体"/>
                <w:bCs/>
                <w:color w:val="auto"/>
                <w:kern w:val="0"/>
              </w:rPr>
              <w:t>4</w:t>
            </w:r>
            <w:r>
              <w:rPr>
                <w:rFonts w:hAnsi="宋体" w:eastAsia="宋体"/>
                <w:bCs/>
                <w:color w:val="auto"/>
                <w:kern w:val="0"/>
              </w:rPr>
              <w:t>日），企业在建设过程中要严格参照重点行业</w:t>
            </w:r>
            <w:r>
              <w:rPr>
                <w:rFonts w:eastAsia="宋体"/>
                <w:bCs/>
                <w:color w:val="auto"/>
                <w:kern w:val="0"/>
              </w:rPr>
              <w:t>VOCs</w:t>
            </w:r>
            <w:r>
              <w:rPr>
                <w:rFonts w:hAnsi="宋体" w:eastAsia="宋体"/>
                <w:bCs/>
                <w:color w:val="auto"/>
                <w:kern w:val="0"/>
              </w:rPr>
              <w:t>污染整治验收基本标准，加强源头控制和污染治理，落实</w:t>
            </w:r>
            <w:r>
              <w:rPr>
                <w:rFonts w:eastAsia="宋体"/>
                <w:bCs/>
                <w:color w:val="auto"/>
                <w:kern w:val="0"/>
              </w:rPr>
              <w:t>VOCs</w:t>
            </w:r>
            <w:r>
              <w:rPr>
                <w:rFonts w:hAnsi="宋体" w:eastAsia="宋体"/>
                <w:bCs/>
                <w:color w:val="auto"/>
                <w:kern w:val="0"/>
              </w:rPr>
              <w:t>污染防治设施和措施，本评价根据《浙江省挥发性有机物污染整治方案》与企业实际情况对比，符合性分析见表</w:t>
            </w:r>
            <w:r>
              <w:rPr>
                <w:rFonts w:hint="eastAsia" w:eastAsia="宋体"/>
                <w:bCs/>
                <w:color w:val="auto"/>
                <w:kern w:val="0"/>
              </w:rPr>
              <w:t>1</w:t>
            </w:r>
            <w:r>
              <w:rPr>
                <w:rFonts w:eastAsia="宋体"/>
                <w:bCs/>
                <w:color w:val="auto"/>
                <w:kern w:val="0"/>
              </w:rPr>
              <w:t>-</w:t>
            </w:r>
            <w:r>
              <w:rPr>
                <w:rFonts w:hint="eastAsia" w:eastAsia="宋体"/>
                <w:bCs/>
                <w:color w:val="auto"/>
                <w:kern w:val="0"/>
              </w:rPr>
              <w:t>7</w:t>
            </w:r>
            <w:r>
              <w:rPr>
                <w:rFonts w:hAnsi="宋体" w:eastAsia="宋体"/>
                <w:bCs/>
                <w:color w:val="auto"/>
                <w:kern w:val="0"/>
              </w:rPr>
              <w:t>。</w:t>
            </w:r>
          </w:p>
          <w:p w14:paraId="239419D0">
            <w:pPr>
              <w:tabs>
                <w:tab w:val="left" w:pos="677"/>
              </w:tabs>
              <w:spacing w:beforeLines="50"/>
              <w:jc w:val="center"/>
              <w:rPr>
                <w:b/>
                <w:color w:val="auto"/>
                <w:szCs w:val="21"/>
              </w:rPr>
            </w:pPr>
            <w:r>
              <w:rPr>
                <w:b/>
                <w:color w:val="auto"/>
                <w:szCs w:val="21"/>
              </w:rPr>
              <w:t>表</w:t>
            </w:r>
            <w:r>
              <w:rPr>
                <w:rFonts w:hint="eastAsia"/>
                <w:b/>
                <w:color w:val="auto"/>
                <w:szCs w:val="21"/>
              </w:rPr>
              <w:t>1</w:t>
            </w:r>
            <w:r>
              <w:rPr>
                <w:b/>
                <w:color w:val="auto"/>
                <w:szCs w:val="21"/>
              </w:rPr>
              <w:t>-</w:t>
            </w:r>
            <w:r>
              <w:rPr>
                <w:rFonts w:hint="eastAsia"/>
                <w:b/>
                <w:color w:val="auto"/>
                <w:szCs w:val="21"/>
              </w:rPr>
              <w:t xml:space="preserve">7 </w:t>
            </w:r>
            <w:r>
              <w:rPr>
                <w:b/>
                <w:color w:val="auto"/>
                <w:szCs w:val="21"/>
              </w:rPr>
              <w:t>《浙江省挥发性有机物污染整治方案》对照分析</w:t>
            </w:r>
          </w:p>
          <w:tbl>
            <w:tblPr>
              <w:tblStyle w:val="3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7"/>
              <w:gridCol w:w="1866"/>
            </w:tblGrid>
            <w:tr w14:paraId="1CE0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7" w:type="dxa"/>
                  <w:vAlign w:val="center"/>
                </w:tcPr>
                <w:p w14:paraId="35344D3B">
                  <w:pPr>
                    <w:jc w:val="center"/>
                    <w:rPr>
                      <w:b/>
                      <w:color w:val="auto"/>
                      <w:szCs w:val="21"/>
                    </w:rPr>
                  </w:pPr>
                  <w:r>
                    <w:rPr>
                      <w:b/>
                      <w:color w:val="auto"/>
                      <w:szCs w:val="21"/>
                    </w:rPr>
                    <w:t>整治规范要求</w:t>
                  </w:r>
                </w:p>
              </w:tc>
              <w:tc>
                <w:tcPr>
                  <w:tcW w:w="1866" w:type="dxa"/>
                  <w:vAlign w:val="center"/>
                </w:tcPr>
                <w:p w14:paraId="598CEAB4">
                  <w:pPr>
                    <w:jc w:val="center"/>
                    <w:rPr>
                      <w:b/>
                      <w:color w:val="auto"/>
                      <w:szCs w:val="21"/>
                    </w:rPr>
                  </w:pPr>
                  <w:r>
                    <w:rPr>
                      <w:b/>
                      <w:color w:val="auto"/>
                      <w:szCs w:val="21"/>
                    </w:rPr>
                    <w:t>本项目对照分析</w:t>
                  </w:r>
                </w:p>
              </w:tc>
            </w:tr>
            <w:tr w14:paraId="1863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7" w:type="dxa"/>
                  <w:vAlign w:val="center"/>
                </w:tcPr>
                <w:p w14:paraId="4B8B11F5">
                  <w:pPr>
                    <w:rPr>
                      <w:color w:val="auto"/>
                      <w:szCs w:val="21"/>
                    </w:rPr>
                  </w:pPr>
                  <w:r>
                    <w:rPr>
                      <w:color w:val="auto"/>
                    </w:rPr>
                    <w:t>鼓励回收利用VOCs废气，并优先在生产系统内回用。宜对浓度和性状差异大的废气分类收集，采用适宜的方式进行有效处理，确保VOCs总去除率满足管理要求，其中有机化工、医药化工、橡胶和塑料制品（有溶剂浸胶工艺）、溶剂型涂料表面涂装、包装印刷业的VOCs总净化处理率不低于90%，其他行业总净化处理率原则上不低于75%。废气处理的工艺路线应根据废气产生量、污染物组分和性质、温度、压力等因素，综合分析后合理选择</w:t>
                  </w:r>
                </w:p>
              </w:tc>
              <w:tc>
                <w:tcPr>
                  <w:tcW w:w="1866" w:type="dxa"/>
                  <w:vAlign w:val="center"/>
                </w:tcPr>
                <w:p w14:paraId="2A6C12B5">
                  <w:pPr>
                    <w:rPr>
                      <w:color w:val="auto"/>
                      <w:szCs w:val="21"/>
                    </w:rPr>
                  </w:pPr>
                  <w:r>
                    <w:rPr>
                      <w:color w:val="auto"/>
                      <w:szCs w:val="21"/>
                    </w:rPr>
                    <w:t>本项目</w:t>
                  </w:r>
                  <w:r>
                    <w:rPr>
                      <w:rFonts w:hint="eastAsia"/>
                      <w:color w:val="auto"/>
                      <w:szCs w:val="21"/>
                    </w:rPr>
                    <w:t>对有机废气进行收集，采用活性炭吸附装置，去除效率不低于80%（本项目无溶剂浸胶工艺、未使用溶剂型涂料）。</w:t>
                  </w:r>
                </w:p>
              </w:tc>
            </w:tr>
            <w:tr w14:paraId="6854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7" w:type="dxa"/>
                  <w:vAlign w:val="center"/>
                </w:tcPr>
                <w:p w14:paraId="54FC0D81">
                  <w:pPr>
                    <w:rPr>
                      <w:color w:val="auto"/>
                    </w:rPr>
                  </w:pPr>
                  <w:r>
                    <w:rPr>
                      <w:color w:val="auto"/>
                    </w:rPr>
                    <w:t>含高浓度挥发性有机物的母液和废水宜采用密闭管道收集，存在VOCs和恶臭污染的污水处理单元应予以封闭，废气经有效处理后达标排放。更换产生的废吸附剂应按照相关管理要求规范处置，防范二次污染</w:t>
                  </w:r>
                  <w:r>
                    <w:rPr>
                      <w:rFonts w:hint="eastAsia"/>
                      <w:color w:val="auto"/>
                    </w:rPr>
                    <w:t>。</w:t>
                  </w:r>
                </w:p>
              </w:tc>
              <w:tc>
                <w:tcPr>
                  <w:tcW w:w="1866" w:type="dxa"/>
                  <w:vAlign w:val="center"/>
                </w:tcPr>
                <w:p w14:paraId="275DBFAF">
                  <w:pPr>
                    <w:rPr>
                      <w:color w:val="auto"/>
                    </w:rPr>
                  </w:pPr>
                  <w:r>
                    <w:rPr>
                      <w:rFonts w:hint="eastAsia"/>
                      <w:color w:val="auto"/>
                    </w:rPr>
                    <w:t>本项目</w:t>
                  </w:r>
                  <w:r>
                    <w:rPr>
                      <w:color w:val="auto"/>
                    </w:rPr>
                    <w:t>更换产生的废吸附剂应按照相关管理要求规范处置，防范二次污染</w:t>
                  </w:r>
                  <w:r>
                    <w:rPr>
                      <w:rFonts w:hint="eastAsia"/>
                      <w:color w:val="auto"/>
                    </w:rPr>
                    <w:t>。</w:t>
                  </w:r>
                </w:p>
              </w:tc>
            </w:tr>
            <w:tr w14:paraId="28E4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7" w:type="dxa"/>
                  <w:vAlign w:val="center"/>
                </w:tcPr>
                <w:p w14:paraId="3915880F">
                  <w:pPr>
                    <w:rPr>
                      <w:color w:val="auto"/>
                    </w:rPr>
                  </w:pPr>
                  <w:r>
                    <w:rPr>
                      <w:color w:val="auto"/>
                    </w:rPr>
                    <w:t>企业废气处理方案应明确确保处理装置长期有效运行的管理方案和监控方案，经审核备案后作为环境监察的依据。</w:t>
                  </w:r>
                </w:p>
              </w:tc>
              <w:tc>
                <w:tcPr>
                  <w:tcW w:w="1866" w:type="dxa"/>
                  <w:vAlign w:val="center"/>
                </w:tcPr>
                <w:p w14:paraId="7ABFDE68">
                  <w:pPr>
                    <w:rPr>
                      <w:color w:val="auto"/>
                    </w:rPr>
                  </w:pPr>
                  <w:r>
                    <w:rPr>
                      <w:rFonts w:hint="eastAsia"/>
                      <w:color w:val="auto"/>
                    </w:rPr>
                    <w:t>符合，企业制定了长期 有效的管理方案和监控方案</w:t>
                  </w:r>
                </w:p>
              </w:tc>
            </w:tr>
            <w:tr w14:paraId="78F1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7" w:type="dxa"/>
                  <w:vAlign w:val="center"/>
                </w:tcPr>
                <w:p w14:paraId="2CF097FC">
                  <w:pPr>
                    <w:rPr>
                      <w:color w:val="auto"/>
                    </w:rPr>
                  </w:pPr>
                  <w:r>
                    <w:rPr>
                      <w:color w:val="auto"/>
                    </w:rPr>
                    <w:t>企业在VOCs污染防治设施验收时应监测TVOCs净化效率，并记录在线连续检测装置或其他检测方法获取的TVOCs排放浓度，以作为设施日常稳定运行情况的考核依据。环境监察部门应不定期对净化效率、TVOCs排放浓度或其他替代性监控指标进行监察，其结果作为减排量核定的重要依据</w:t>
                  </w:r>
                </w:p>
              </w:tc>
              <w:tc>
                <w:tcPr>
                  <w:tcW w:w="1866" w:type="dxa"/>
                  <w:vAlign w:val="center"/>
                </w:tcPr>
                <w:p w14:paraId="4C40035B">
                  <w:pPr>
                    <w:rPr>
                      <w:color w:val="auto"/>
                    </w:rPr>
                  </w:pPr>
                  <w:r>
                    <w:rPr>
                      <w:rFonts w:hint="eastAsia"/>
                      <w:color w:val="auto"/>
                    </w:rPr>
                    <w:t>符合，企业在项目实施 后将做好相关台账记录</w:t>
                  </w:r>
                </w:p>
              </w:tc>
            </w:tr>
            <w:tr w14:paraId="7B04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7" w:type="dxa"/>
                  <w:vAlign w:val="center"/>
                </w:tcPr>
                <w:p w14:paraId="07A23A8B">
                  <w:pPr>
                    <w:rPr>
                      <w:color w:val="auto"/>
                    </w:rPr>
                  </w:pPr>
                  <w:r>
                    <w:rPr>
                      <w:color w:val="auto"/>
                    </w:rPr>
                    <w:t>需定期更换吸附剂、催化剂或吸收液的，应有详细的购买及更换台账，提供采购发票复印件，每月报</w:t>
                  </w:r>
                  <w:r>
                    <w:rPr>
                      <w:rFonts w:hint="eastAsia"/>
                      <w:color w:val="auto"/>
                    </w:rPr>
                    <w:t>生态环境部门</w:t>
                  </w:r>
                  <w:r>
                    <w:rPr>
                      <w:color w:val="auto"/>
                    </w:rPr>
                    <w:t>备案，台账至少保存3年。</w:t>
                  </w:r>
                </w:p>
              </w:tc>
              <w:tc>
                <w:tcPr>
                  <w:tcW w:w="1866" w:type="dxa"/>
                  <w:vAlign w:val="center"/>
                </w:tcPr>
                <w:p w14:paraId="171D6E7B">
                  <w:pPr>
                    <w:rPr>
                      <w:color w:val="auto"/>
                    </w:rPr>
                  </w:pPr>
                  <w:r>
                    <w:rPr>
                      <w:rFonts w:hint="eastAsia"/>
                      <w:color w:val="auto"/>
                    </w:rPr>
                    <w:t>符合，企业在项目实施 后将做好相关台账记录，并至少保存5年</w:t>
                  </w:r>
                </w:p>
              </w:tc>
            </w:tr>
            <w:tr w14:paraId="1254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37" w:type="dxa"/>
                  <w:vAlign w:val="center"/>
                </w:tcPr>
                <w:p w14:paraId="346B9CC2">
                  <w:pPr>
                    <w:rPr>
                      <w:color w:val="auto"/>
                      <w:szCs w:val="21"/>
                    </w:rPr>
                  </w:pPr>
                  <w:r>
                    <w:rPr>
                      <w:color w:val="auto"/>
                    </w:rPr>
                    <w:t>鼓励回收利用VOCs废气，并优先在生产系统内回用。宜对浓度和性状差异大的废气分类收集，采用适宜的方式进行有效处理，确保VOCs总去除率满足管理要求，其中有机化工、医药化工、橡胶和塑料制品（有溶剂浸胶工艺）、溶剂型涂料表面涂装、包装印刷业的VOCs总净化处理率不低于90%，其他行业总净化处理率原则上不低于75%。废气处理的工艺路线应根据废气产生量、污染物组分和性质、温度、压力等因素，综合分析后合理选择</w:t>
                  </w:r>
                </w:p>
              </w:tc>
              <w:tc>
                <w:tcPr>
                  <w:tcW w:w="1866" w:type="dxa"/>
                  <w:vAlign w:val="center"/>
                </w:tcPr>
                <w:p w14:paraId="299C5112">
                  <w:pPr>
                    <w:rPr>
                      <w:color w:val="auto"/>
                      <w:szCs w:val="21"/>
                    </w:rPr>
                  </w:pPr>
                  <w:r>
                    <w:rPr>
                      <w:rFonts w:hint="eastAsia"/>
                      <w:color w:val="auto"/>
                      <w:szCs w:val="21"/>
                    </w:rPr>
                    <w:t>符合，</w:t>
                  </w:r>
                  <w:r>
                    <w:rPr>
                      <w:color w:val="auto"/>
                      <w:szCs w:val="21"/>
                    </w:rPr>
                    <w:t>本项目</w:t>
                  </w:r>
                  <w:r>
                    <w:rPr>
                      <w:rFonts w:hint="eastAsia"/>
                      <w:color w:val="auto"/>
                      <w:szCs w:val="21"/>
                    </w:rPr>
                    <w:t>对有机废气进行收集，采用活性炭吸附装置，去除效率不低于80%（本项目无溶剂浸胶工艺、未使用溶剂型涂料）。</w:t>
                  </w:r>
                </w:p>
              </w:tc>
            </w:tr>
          </w:tbl>
          <w:p w14:paraId="2FF8AF4F">
            <w:pPr>
              <w:pStyle w:val="3"/>
              <w:spacing w:line="420" w:lineRule="exact"/>
              <w:rPr>
                <w:rFonts w:hAnsi="宋体" w:eastAsia="宋体"/>
                <w:bCs/>
                <w:color w:val="auto"/>
                <w:kern w:val="0"/>
              </w:rPr>
            </w:pPr>
            <w:r>
              <w:rPr>
                <w:rFonts w:hAnsi="宋体" w:eastAsia="宋体"/>
                <w:bCs/>
                <w:color w:val="auto"/>
                <w:kern w:val="0"/>
              </w:rPr>
              <w:t>由上表可知，企业</w:t>
            </w:r>
            <w:r>
              <w:rPr>
                <w:rFonts w:hint="eastAsia" w:hAnsi="宋体" w:eastAsia="宋体"/>
                <w:bCs/>
                <w:color w:val="auto"/>
                <w:kern w:val="0"/>
                <w:lang w:val="en-US" w:eastAsia="zh-CN"/>
              </w:rPr>
              <w:t>项目</w:t>
            </w:r>
            <w:r>
              <w:rPr>
                <w:rFonts w:hAnsi="宋体" w:eastAsia="宋体"/>
                <w:bCs/>
                <w:color w:val="auto"/>
                <w:kern w:val="0"/>
              </w:rPr>
              <w:t>已基本符合《浙江省挥发性有机物污染整治方案》标准要求。</w:t>
            </w:r>
          </w:p>
          <w:p w14:paraId="2BE585C3">
            <w:pPr>
              <w:pStyle w:val="2"/>
              <w:spacing w:line="420" w:lineRule="exact"/>
              <w:ind w:firstLine="0" w:firstLineChars="0"/>
              <w:rPr>
                <w:color w:val="auto"/>
                <w:sz w:val="24"/>
              </w:rPr>
            </w:pPr>
            <w:r>
              <w:rPr>
                <w:rFonts w:hint="eastAsia" w:hAnsi="宋体"/>
                <w:b/>
                <w:color w:val="auto"/>
                <w:sz w:val="24"/>
              </w:rPr>
              <w:t>1.3.7四性五不批符合性分析</w:t>
            </w:r>
          </w:p>
          <w:p w14:paraId="1DFB8AE4">
            <w:pPr>
              <w:pStyle w:val="3"/>
              <w:spacing w:line="420" w:lineRule="exact"/>
              <w:rPr>
                <w:rFonts w:hAnsi="宋体"/>
                <w:b/>
                <w:snapToGrid w:val="0"/>
                <w:color w:val="auto"/>
                <w:kern w:val="0"/>
                <w:szCs w:val="21"/>
              </w:rPr>
            </w:pPr>
            <w:r>
              <w:rPr>
                <w:rFonts w:hint="eastAsia" w:hAnsi="宋体" w:eastAsia="宋体"/>
                <w:bCs/>
                <w:color w:val="auto"/>
                <w:kern w:val="0"/>
              </w:rPr>
              <w:t>建设项目环境保护管理条例重点要求（“四性五不批”）符合性分析详见表1-8。</w:t>
            </w:r>
          </w:p>
          <w:p w14:paraId="2759522B">
            <w:pPr>
              <w:spacing w:line="420" w:lineRule="exact"/>
              <w:jc w:val="center"/>
              <w:rPr>
                <w:b/>
                <w:bCs/>
                <w:color w:val="auto"/>
                <w:szCs w:val="21"/>
              </w:rPr>
            </w:pPr>
            <w:r>
              <w:rPr>
                <w:rFonts w:hint="eastAsia" w:hAnsi="宋体"/>
                <w:b/>
                <w:snapToGrid w:val="0"/>
                <w:color w:val="auto"/>
                <w:kern w:val="0"/>
                <w:szCs w:val="21"/>
              </w:rPr>
              <w:t>表1-8 建设项目环境保护管理条例重点要求（“四性五不批”）符合性分析</w:t>
            </w:r>
          </w:p>
          <w:tbl>
            <w:tblPr>
              <w:tblStyle w:val="37"/>
              <w:tblW w:w="682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2016"/>
              <w:gridCol w:w="3729"/>
              <w:gridCol w:w="639"/>
            </w:tblGrid>
            <w:tr w14:paraId="49D6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0" w:type="dxa"/>
                  <w:gridSpan w:val="2"/>
                  <w:vAlign w:val="center"/>
                </w:tcPr>
                <w:p w14:paraId="319D0794">
                  <w:pPr>
                    <w:pStyle w:val="116"/>
                    <w:spacing w:line="240" w:lineRule="auto"/>
                    <w:ind w:firstLine="0" w:firstLineChars="0"/>
                    <w:jc w:val="center"/>
                    <w:rPr>
                      <w:rFonts w:eastAsia="宋体"/>
                      <w:b/>
                      <w:bCs/>
                      <w:color w:val="auto"/>
                      <w:sz w:val="21"/>
                      <w:szCs w:val="21"/>
                    </w:rPr>
                  </w:pPr>
                  <w:r>
                    <w:rPr>
                      <w:rFonts w:hAnsi="宋体" w:eastAsia="宋体"/>
                      <w:b/>
                      <w:bCs/>
                      <w:color w:val="auto"/>
                      <w:sz w:val="21"/>
                      <w:szCs w:val="21"/>
                    </w:rPr>
                    <w:t>内容</w:t>
                  </w:r>
                </w:p>
              </w:tc>
              <w:tc>
                <w:tcPr>
                  <w:tcW w:w="3729" w:type="dxa"/>
                  <w:vAlign w:val="center"/>
                </w:tcPr>
                <w:p w14:paraId="6EA3DE9F">
                  <w:pPr>
                    <w:pStyle w:val="116"/>
                    <w:spacing w:line="240" w:lineRule="auto"/>
                    <w:ind w:firstLine="0" w:firstLineChars="0"/>
                    <w:jc w:val="center"/>
                    <w:rPr>
                      <w:rFonts w:eastAsia="宋体"/>
                      <w:b/>
                      <w:bCs/>
                      <w:color w:val="auto"/>
                      <w:sz w:val="21"/>
                      <w:szCs w:val="21"/>
                    </w:rPr>
                  </w:pPr>
                  <w:r>
                    <w:rPr>
                      <w:rFonts w:hAnsi="宋体" w:eastAsia="宋体"/>
                      <w:b/>
                      <w:bCs/>
                      <w:color w:val="auto"/>
                      <w:sz w:val="21"/>
                      <w:szCs w:val="21"/>
                    </w:rPr>
                    <w:t>建设项目情况</w:t>
                  </w:r>
                </w:p>
              </w:tc>
              <w:tc>
                <w:tcPr>
                  <w:tcW w:w="639" w:type="dxa"/>
                  <w:vAlign w:val="center"/>
                </w:tcPr>
                <w:p w14:paraId="0408FA81">
                  <w:pPr>
                    <w:pStyle w:val="116"/>
                    <w:spacing w:line="240" w:lineRule="auto"/>
                    <w:ind w:firstLine="0" w:firstLineChars="0"/>
                    <w:jc w:val="center"/>
                    <w:rPr>
                      <w:rFonts w:eastAsia="宋体"/>
                      <w:b/>
                      <w:bCs/>
                      <w:color w:val="auto"/>
                      <w:sz w:val="21"/>
                      <w:szCs w:val="21"/>
                    </w:rPr>
                  </w:pPr>
                  <w:r>
                    <w:rPr>
                      <w:rFonts w:hAnsi="宋体" w:eastAsia="宋体"/>
                      <w:b/>
                      <w:bCs/>
                      <w:color w:val="auto"/>
                      <w:sz w:val="21"/>
                      <w:szCs w:val="21"/>
                    </w:rPr>
                    <w:t>是否符合</w:t>
                  </w:r>
                </w:p>
              </w:tc>
            </w:tr>
            <w:tr w14:paraId="4A96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vMerge w:val="restart"/>
                  <w:vAlign w:val="center"/>
                </w:tcPr>
                <w:p w14:paraId="5B41FDA2">
                  <w:pPr>
                    <w:pStyle w:val="116"/>
                    <w:spacing w:line="240" w:lineRule="auto"/>
                    <w:ind w:firstLine="0" w:firstLineChars="0"/>
                    <w:jc w:val="center"/>
                    <w:rPr>
                      <w:rFonts w:hAnsi="宋体" w:eastAsia="宋体"/>
                      <w:color w:val="auto"/>
                      <w:sz w:val="21"/>
                      <w:szCs w:val="21"/>
                    </w:rPr>
                  </w:pPr>
                  <w:r>
                    <w:rPr>
                      <w:rFonts w:hint="eastAsia" w:hAnsi="宋体" w:eastAsia="宋体"/>
                      <w:color w:val="auto"/>
                      <w:sz w:val="21"/>
                      <w:szCs w:val="21"/>
                    </w:rPr>
                    <w:t>四</w:t>
                  </w:r>
                </w:p>
                <w:p w14:paraId="47567671">
                  <w:pPr>
                    <w:pStyle w:val="116"/>
                    <w:spacing w:line="240" w:lineRule="auto"/>
                    <w:ind w:firstLine="0" w:firstLineChars="0"/>
                    <w:jc w:val="center"/>
                    <w:rPr>
                      <w:color w:val="auto"/>
                      <w:sz w:val="21"/>
                      <w:szCs w:val="21"/>
                    </w:rPr>
                  </w:pPr>
                  <w:r>
                    <w:rPr>
                      <w:rFonts w:hint="eastAsia" w:hAnsi="宋体" w:eastAsia="宋体"/>
                      <w:color w:val="auto"/>
                      <w:sz w:val="21"/>
                      <w:szCs w:val="21"/>
                    </w:rPr>
                    <w:t>性</w:t>
                  </w:r>
                </w:p>
              </w:tc>
              <w:tc>
                <w:tcPr>
                  <w:tcW w:w="2016" w:type="dxa"/>
                  <w:vAlign w:val="center"/>
                </w:tcPr>
                <w:p w14:paraId="30BF9352">
                  <w:pPr>
                    <w:pStyle w:val="116"/>
                    <w:spacing w:line="240" w:lineRule="auto"/>
                    <w:ind w:firstLine="0" w:firstLineChars="0"/>
                    <w:jc w:val="left"/>
                    <w:rPr>
                      <w:rFonts w:eastAsia="宋体"/>
                      <w:b/>
                      <w:bCs/>
                      <w:color w:val="auto"/>
                      <w:sz w:val="21"/>
                      <w:szCs w:val="21"/>
                    </w:rPr>
                  </w:pPr>
                  <w:r>
                    <w:rPr>
                      <w:rFonts w:hAnsi="宋体" w:eastAsia="宋体"/>
                      <w:color w:val="auto"/>
                      <w:sz w:val="21"/>
                      <w:szCs w:val="21"/>
                    </w:rPr>
                    <w:t>建设项目的环境可行性</w:t>
                  </w:r>
                </w:p>
              </w:tc>
              <w:tc>
                <w:tcPr>
                  <w:tcW w:w="3729" w:type="dxa"/>
                  <w:vAlign w:val="center"/>
                </w:tcPr>
                <w:p w14:paraId="7BAA52DC">
                  <w:pPr>
                    <w:widowControl/>
                    <w:jc w:val="left"/>
                    <w:rPr>
                      <w:color w:val="auto"/>
                      <w:szCs w:val="21"/>
                    </w:rPr>
                  </w:pPr>
                  <w:r>
                    <w:rPr>
                      <w:rFonts w:hint="eastAsia" w:hAnsi="宋体"/>
                      <w:color w:val="auto"/>
                      <w:szCs w:val="21"/>
                    </w:rPr>
                    <w:t>项目属于二类工业项目，符合</w:t>
                  </w:r>
                  <w:r>
                    <w:rPr>
                      <w:rFonts w:hAnsi="宋体"/>
                      <w:color w:val="auto"/>
                      <w:szCs w:val="21"/>
                    </w:rPr>
                    <w:t>“</w:t>
                  </w:r>
                  <w:r>
                    <w:rPr>
                      <w:rFonts w:hint="eastAsia" w:hAnsi="宋体"/>
                      <w:color w:val="auto"/>
                      <w:szCs w:val="21"/>
                    </w:rPr>
                    <w:t>三线一单</w:t>
                  </w:r>
                  <w:r>
                    <w:rPr>
                      <w:rFonts w:hAnsi="宋体"/>
                      <w:color w:val="auto"/>
                      <w:szCs w:val="21"/>
                    </w:rPr>
                    <w:t>”</w:t>
                  </w:r>
                  <w:r>
                    <w:rPr>
                      <w:rFonts w:hint="eastAsia" w:hAnsi="宋体"/>
                      <w:color w:val="auto"/>
                      <w:szCs w:val="21"/>
                    </w:rPr>
                    <w:t>、符合土地利用规划要求，对周围环境影响较小，项目的建设满足环境可行性要求。</w:t>
                  </w:r>
                </w:p>
              </w:tc>
              <w:tc>
                <w:tcPr>
                  <w:tcW w:w="639" w:type="dxa"/>
                  <w:vAlign w:val="center"/>
                </w:tcPr>
                <w:p w14:paraId="5ECED0FC">
                  <w:pPr>
                    <w:pStyle w:val="116"/>
                    <w:spacing w:line="240" w:lineRule="auto"/>
                    <w:ind w:firstLine="0" w:firstLineChars="0"/>
                    <w:jc w:val="center"/>
                    <w:rPr>
                      <w:rFonts w:eastAsia="宋体"/>
                      <w:color w:val="auto"/>
                      <w:sz w:val="21"/>
                      <w:szCs w:val="21"/>
                    </w:rPr>
                  </w:pPr>
                  <w:r>
                    <w:rPr>
                      <w:rFonts w:hAnsi="宋体" w:eastAsia="宋体"/>
                      <w:color w:val="auto"/>
                      <w:sz w:val="21"/>
                      <w:szCs w:val="21"/>
                    </w:rPr>
                    <w:t>符合</w:t>
                  </w:r>
                </w:p>
              </w:tc>
            </w:tr>
            <w:tr w14:paraId="72E4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vMerge w:val="continue"/>
                  <w:vAlign w:val="center"/>
                </w:tcPr>
                <w:p w14:paraId="0B46168D">
                  <w:pPr>
                    <w:pStyle w:val="116"/>
                    <w:spacing w:line="240" w:lineRule="auto"/>
                    <w:ind w:firstLine="0" w:firstLineChars="0"/>
                    <w:jc w:val="left"/>
                    <w:rPr>
                      <w:rFonts w:ascii="宋体" w:hAnsi="宋体" w:cs="宋体"/>
                      <w:color w:val="auto"/>
                      <w:sz w:val="21"/>
                      <w:szCs w:val="21"/>
                    </w:rPr>
                  </w:pPr>
                </w:p>
              </w:tc>
              <w:tc>
                <w:tcPr>
                  <w:tcW w:w="2016" w:type="dxa"/>
                  <w:vAlign w:val="center"/>
                </w:tcPr>
                <w:p w14:paraId="22A5645D">
                  <w:pPr>
                    <w:pStyle w:val="116"/>
                    <w:spacing w:line="240" w:lineRule="auto"/>
                    <w:ind w:firstLine="0" w:firstLineChars="0"/>
                    <w:jc w:val="left"/>
                    <w:rPr>
                      <w:rFonts w:eastAsia="宋体"/>
                      <w:color w:val="auto"/>
                      <w:sz w:val="21"/>
                      <w:szCs w:val="21"/>
                    </w:rPr>
                  </w:pPr>
                  <w:r>
                    <w:rPr>
                      <w:rFonts w:hAnsi="宋体" w:eastAsia="宋体"/>
                      <w:color w:val="auto"/>
                      <w:sz w:val="21"/>
                      <w:szCs w:val="21"/>
                    </w:rPr>
                    <w:t>环境影响分析预测评估的可靠性</w:t>
                  </w:r>
                </w:p>
              </w:tc>
              <w:tc>
                <w:tcPr>
                  <w:tcW w:w="3729" w:type="dxa"/>
                  <w:vAlign w:val="center"/>
                </w:tcPr>
                <w:p w14:paraId="63FCCD03">
                  <w:pPr>
                    <w:widowControl/>
                    <w:jc w:val="left"/>
                    <w:rPr>
                      <w:color w:val="auto"/>
                      <w:szCs w:val="21"/>
                    </w:rPr>
                  </w:pPr>
                  <w:r>
                    <w:rPr>
                      <w:rFonts w:hint="eastAsia" w:hAnsi="宋体"/>
                      <w:color w:val="auto"/>
                      <w:szCs w:val="21"/>
                    </w:rPr>
                    <w:t>本环评采用生态环境部颁布的环境影响评价技术导则推荐模式和方法进行环境影响分析，使用技术和方法均较为成熟，环境影响分析预测评估较为可靠。</w:t>
                  </w:r>
                </w:p>
              </w:tc>
              <w:tc>
                <w:tcPr>
                  <w:tcW w:w="639" w:type="dxa"/>
                  <w:vAlign w:val="center"/>
                </w:tcPr>
                <w:p w14:paraId="673BDBAE">
                  <w:pPr>
                    <w:pStyle w:val="116"/>
                    <w:spacing w:line="240" w:lineRule="auto"/>
                    <w:ind w:firstLine="0" w:firstLineChars="0"/>
                    <w:jc w:val="center"/>
                    <w:rPr>
                      <w:rFonts w:eastAsia="宋体"/>
                      <w:color w:val="auto"/>
                      <w:sz w:val="21"/>
                      <w:szCs w:val="21"/>
                    </w:rPr>
                  </w:pPr>
                  <w:r>
                    <w:rPr>
                      <w:rFonts w:hAnsi="宋体" w:eastAsia="宋体"/>
                      <w:color w:val="auto"/>
                      <w:sz w:val="21"/>
                      <w:szCs w:val="21"/>
                    </w:rPr>
                    <w:t>符合</w:t>
                  </w:r>
                </w:p>
              </w:tc>
            </w:tr>
            <w:tr w14:paraId="2C96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vMerge w:val="continue"/>
                  <w:vAlign w:val="center"/>
                </w:tcPr>
                <w:p w14:paraId="383811AA">
                  <w:pPr>
                    <w:pStyle w:val="116"/>
                    <w:spacing w:line="240" w:lineRule="auto"/>
                    <w:ind w:firstLine="0" w:firstLineChars="0"/>
                    <w:jc w:val="left"/>
                    <w:rPr>
                      <w:rFonts w:ascii="宋体" w:hAnsi="宋体" w:cs="宋体"/>
                      <w:color w:val="auto"/>
                      <w:sz w:val="21"/>
                      <w:szCs w:val="21"/>
                    </w:rPr>
                  </w:pPr>
                </w:p>
              </w:tc>
              <w:tc>
                <w:tcPr>
                  <w:tcW w:w="2016" w:type="dxa"/>
                  <w:vAlign w:val="center"/>
                </w:tcPr>
                <w:p w14:paraId="70FFF1C7">
                  <w:pPr>
                    <w:pStyle w:val="116"/>
                    <w:spacing w:line="240" w:lineRule="auto"/>
                    <w:ind w:firstLine="0" w:firstLineChars="0"/>
                    <w:jc w:val="left"/>
                    <w:rPr>
                      <w:rFonts w:eastAsia="宋体"/>
                      <w:color w:val="auto"/>
                      <w:sz w:val="21"/>
                      <w:szCs w:val="21"/>
                    </w:rPr>
                  </w:pPr>
                  <w:r>
                    <w:rPr>
                      <w:rFonts w:hAnsi="宋体" w:eastAsia="宋体"/>
                      <w:color w:val="auto"/>
                      <w:sz w:val="21"/>
                      <w:szCs w:val="21"/>
                    </w:rPr>
                    <w:t>环境保护措施的有效性</w:t>
                  </w:r>
                </w:p>
              </w:tc>
              <w:tc>
                <w:tcPr>
                  <w:tcW w:w="3729" w:type="dxa"/>
                  <w:vAlign w:val="center"/>
                </w:tcPr>
                <w:p w14:paraId="265DE454">
                  <w:pPr>
                    <w:widowControl/>
                    <w:jc w:val="left"/>
                    <w:rPr>
                      <w:color w:val="auto"/>
                      <w:szCs w:val="21"/>
                    </w:rPr>
                  </w:pPr>
                  <w:r>
                    <w:rPr>
                      <w:rFonts w:hAnsi="宋体"/>
                      <w:color w:val="auto"/>
                      <w:szCs w:val="21"/>
                    </w:rPr>
                    <w:t>本项目在营运期产生的各类污染物成分均不复杂，属常规污染物，对于这些污染物的治理技术目前以比较成熟，因此从技术上分析，只要切实落实环评报告提出的各项污染防治措施，各类污染物均可得到有限控制并能做到达标排放或不对外排放，因此环境保护措施是可靠合理的。</w:t>
                  </w:r>
                </w:p>
              </w:tc>
              <w:tc>
                <w:tcPr>
                  <w:tcW w:w="639" w:type="dxa"/>
                  <w:vAlign w:val="center"/>
                </w:tcPr>
                <w:p w14:paraId="2A44E722">
                  <w:pPr>
                    <w:pStyle w:val="116"/>
                    <w:spacing w:line="240" w:lineRule="auto"/>
                    <w:ind w:firstLine="0" w:firstLineChars="0"/>
                    <w:jc w:val="center"/>
                    <w:rPr>
                      <w:rFonts w:eastAsia="宋体"/>
                      <w:color w:val="auto"/>
                      <w:sz w:val="21"/>
                      <w:szCs w:val="21"/>
                    </w:rPr>
                  </w:pPr>
                  <w:r>
                    <w:rPr>
                      <w:rFonts w:hAnsi="宋体" w:eastAsia="宋体"/>
                      <w:color w:val="auto"/>
                      <w:sz w:val="21"/>
                      <w:szCs w:val="21"/>
                    </w:rPr>
                    <w:t>符合</w:t>
                  </w:r>
                </w:p>
              </w:tc>
            </w:tr>
            <w:tr w14:paraId="4857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vMerge w:val="continue"/>
                  <w:vAlign w:val="center"/>
                </w:tcPr>
                <w:p w14:paraId="16F76B48">
                  <w:pPr>
                    <w:pStyle w:val="116"/>
                    <w:spacing w:line="240" w:lineRule="auto"/>
                    <w:ind w:firstLine="0" w:firstLineChars="0"/>
                    <w:jc w:val="left"/>
                    <w:rPr>
                      <w:color w:val="auto"/>
                      <w:sz w:val="21"/>
                      <w:szCs w:val="21"/>
                    </w:rPr>
                  </w:pPr>
                </w:p>
              </w:tc>
              <w:tc>
                <w:tcPr>
                  <w:tcW w:w="2016" w:type="dxa"/>
                  <w:vAlign w:val="center"/>
                </w:tcPr>
                <w:p w14:paraId="58C075B8">
                  <w:pPr>
                    <w:pStyle w:val="116"/>
                    <w:spacing w:line="240" w:lineRule="auto"/>
                    <w:ind w:firstLine="0" w:firstLineChars="0"/>
                    <w:jc w:val="left"/>
                    <w:rPr>
                      <w:rFonts w:eastAsia="宋体"/>
                      <w:color w:val="auto"/>
                      <w:sz w:val="21"/>
                      <w:szCs w:val="21"/>
                    </w:rPr>
                  </w:pPr>
                  <w:r>
                    <w:rPr>
                      <w:rFonts w:hAnsi="宋体" w:eastAsia="宋体"/>
                      <w:color w:val="auto"/>
                      <w:sz w:val="21"/>
                      <w:szCs w:val="21"/>
                    </w:rPr>
                    <w:t>环境影响评价结论的科学性</w:t>
                  </w:r>
                </w:p>
              </w:tc>
              <w:tc>
                <w:tcPr>
                  <w:tcW w:w="3729" w:type="dxa"/>
                  <w:vAlign w:val="center"/>
                </w:tcPr>
                <w:p w14:paraId="77736759">
                  <w:pPr>
                    <w:pStyle w:val="116"/>
                    <w:spacing w:line="240" w:lineRule="auto"/>
                    <w:ind w:firstLine="0" w:firstLineChars="0"/>
                    <w:jc w:val="left"/>
                    <w:rPr>
                      <w:rFonts w:eastAsia="宋体"/>
                      <w:color w:val="auto"/>
                      <w:sz w:val="21"/>
                      <w:szCs w:val="21"/>
                    </w:rPr>
                  </w:pPr>
                  <w:r>
                    <w:rPr>
                      <w:rFonts w:hAnsi="宋体" w:eastAsia="宋体"/>
                      <w:color w:val="auto"/>
                      <w:sz w:val="21"/>
                      <w:szCs w:val="21"/>
                    </w:rPr>
                    <w:t>本项目结论客观、过程公开、评价公开，并综合考虑建设项目实施对各种环境因素可能造成的影响，环评结论是科学的。</w:t>
                  </w:r>
                </w:p>
              </w:tc>
              <w:tc>
                <w:tcPr>
                  <w:tcW w:w="639" w:type="dxa"/>
                  <w:vAlign w:val="center"/>
                </w:tcPr>
                <w:p w14:paraId="5182A754">
                  <w:pPr>
                    <w:pStyle w:val="116"/>
                    <w:spacing w:line="240" w:lineRule="auto"/>
                    <w:ind w:firstLine="0" w:firstLineChars="0"/>
                    <w:jc w:val="center"/>
                    <w:rPr>
                      <w:rFonts w:eastAsia="宋体"/>
                      <w:color w:val="auto"/>
                      <w:sz w:val="21"/>
                      <w:szCs w:val="21"/>
                    </w:rPr>
                  </w:pPr>
                  <w:r>
                    <w:rPr>
                      <w:rFonts w:hAnsi="宋体" w:eastAsia="宋体"/>
                      <w:color w:val="auto"/>
                      <w:sz w:val="21"/>
                      <w:szCs w:val="21"/>
                    </w:rPr>
                    <w:t>符合</w:t>
                  </w:r>
                </w:p>
              </w:tc>
            </w:tr>
            <w:tr w14:paraId="7568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vMerge w:val="restart"/>
                  <w:vAlign w:val="center"/>
                </w:tcPr>
                <w:p w14:paraId="2FDDB9DE">
                  <w:pPr>
                    <w:pStyle w:val="116"/>
                    <w:spacing w:line="240" w:lineRule="auto"/>
                    <w:ind w:firstLine="0" w:firstLineChars="0"/>
                    <w:jc w:val="center"/>
                    <w:rPr>
                      <w:rFonts w:hAnsi="宋体" w:eastAsia="宋体"/>
                      <w:color w:val="auto"/>
                      <w:sz w:val="21"/>
                      <w:szCs w:val="21"/>
                    </w:rPr>
                  </w:pPr>
                  <w:r>
                    <w:rPr>
                      <w:rFonts w:hint="eastAsia" w:hAnsi="宋体" w:eastAsia="宋体"/>
                      <w:color w:val="auto"/>
                      <w:sz w:val="21"/>
                      <w:szCs w:val="21"/>
                    </w:rPr>
                    <w:t>五</w:t>
                  </w:r>
                </w:p>
                <w:p w14:paraId="5D962250">
                  <w:pPr>
                    <w:pStyle w:val="116"/>
                    <w:spacing w:line="240" w:lineRule="auto"/>
                    <w:ind w:firstLine="0" w:firstLineChars="0"/>
                    <w:jc w:val="center"/>
                    <w:rPr>
                      <w:rFonts w:hAnsi="宋体" w:eastAsia="宋体"/>
                      <w:color w:val="auto"/>
                      <w:sz w:val="21"/>
                      <w:szCs w:val="21"/>
                    </w:rPr>
                  </w:pPr>
                  <w:r>
                    <w:rPr>
                      <w:rFonts w:hint="eastAsia" w:hAnsi="宋体" w:eastAsia="宋体"/>
                      <w:color w:val="auto"/>
                      <w:sz w:val="21"/>
                      <w:szCs w:val="21"/>
                    </w:rPr>
                    <w:t>不</w:t>
                  </w:r>
                </w:p>
                <w:p w14:paraId="4DE1417C">
                  <w:pPr>
                    <w:pStyle w:val="116"/>
                    <w:spacing w:line="240" w:lineRule="auto"/>
                    <w:ind w:firstLine="0" w:firstLineChars="0"/>
                    <w:jc w:val="center"/>
                    <w:rPr>
                      <w:color w:val="auto"/>
                      <w:sz w:val="21"/>
                      <w:szCs w:val="21"/>
                    </w:rPr>
                  </w:pPr>
                  <w:r>
                    <w:rPr>
                      <w:rFonts w:hint="eastAsia" w:hAnsi="宋体" w:eastAsia="宋体"/>
                      <w:color w:val="auto"/>
                      <w:sz w:val="21"/>
                      <w:szCs w:val="21"/>
                    </w:rPr>
                    <w:t>批</w:t>
                  </w:r>
                </w:p>
              </w:tc>
              <w:tc>
                <w:tcPr>
                  <w:tcW w:w="2016" w:type="dxa"/>
                  <w:vAlign w:val="center"/>
                </w:tcPr>
                <w:p w14:paraId="2A6CED2B">
                  <w:pPr>
                    <w:pStyle w:val="116"/>
                    <w:spacing w:line="240" w:lineRule="auto"/>
                    <w:ind w:firstLine="0" w:firstLineChars="0"/>
                    <w:jc w:val="left"/>
                    <w:rPr>
                      <w:rFonts w:eastAsia="宋体"/>
                      <w:color w:val="auto"/>
                      <w:sz w:val="21"/>
                      <w:szCs w:val="21"/>
                    </w:rPr>
                  </w:pPr>
                  <w:r>
                    <w:rPr>
                      <w:rFonts w:hAnsi="宋体" w:eastAsia="宋体"/>
                      <w:color w:val="auto"/>
                      <w:sz w:val="21"/>
                      <w:szCs w:val="21"/>
                    </w:rPr>
                    <w:t>建设项目类型及其选址、布局、规模等不符合环境保护法律法规和相关法定规划</w:t>
                  </w:r>
                </w:p>
              </w:tc>
              <w:tc>
                <w:tcPr>
                  <w:tcW w:w="3729" w:type="dxa"/>
                  <w:vAlign w:val="center"/>
                </w:tcPr>
                <w:p w14:paraId="1A948159">
                  <w:pPr>
                    <w:pStyle w:val="116"/>
                    <w:spacing w:line="240" w:lineRule="auto"/>
                    <w:ind w:firstLine="0" w:firstLineChars="0"/>
                    <w:jc w:val="left"/>
                    <w:rPr>
                      <w:rFonts w:eastAsia="宋体"/>
                      <w:color w:val="auto"/>
                      <w:sz w:val="21"/>
                      <w:szCs w:val="21"/>
                    </w:rPr>
                  </w:pPr>
                  <w:r>
                    <w:rPr>
                      <w:rFonts w:hAnsi="宋体" w:eastAsia="宋体"/>
                      <w:color w:val="auto"/>
                      <w:sz w:val="21"/>
                      <w:szCs w:val="21"/>
                    </w:rPr>
                    <w:t>本项目的建设符合当地总体规划，符合国家、地方产业政策，各类污染物均可得到有效控制并能做到达标排放或不对外排放，对环境影响不大，环境风险很小，项目实施不会改变所在地的环境质量水平和环境功能，可实行经济效益、社会效益、环境效益的统一，符合环境保护法规法律和相关法定规划。</w:t>
                  </w:r>
                </w:p>
              </w:tc>
              <w:tc>
                <w:tcPr>
                  <w:tcW w:w="639" w:type="dxa"/>
                  <w:vAlign w:val="center"/>
                </w:tcPr>
                <w:p w14:paraId="1263384F">
                  <w:pPr>
                    <w:pStyle w:val="116"/>
                    <w:spacing w:line="240" w:lineRule="auto"/>
                    <w:ind w:firstLine="0" w:firstLineChars="0"/>
                    <w:jc w:val="left"/>
                    <w:rPr>
                      <w:rFonts w:eastAsia="宋体"/>
                      <w:color w:val="auto"/>
                      <w:sz w:val="21"/>
                      <w:szCs w:val="21"/>
                    </w:rPr>
                  </w:pPr>
                  <w:r>
                    <w:rPr>
                      <w:rFonts w:hAnsi="宋体" w:eastAsia="宋体"/>
                      <w:color w:val="auto"/>
                      <w:sz w:val="21"/>
                      <w:szCs w:val="21"/>
                    </w:rPr>
                    <w:t>不属于不予批准的情形</w:t>
                  </w:r>
                </w:p>
              </w:tc>
            </w:tr>
            <w:tr w14:paraId="295F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vMerge w:val="continue"/>
                  <w:vAlign w:val="center"/>
                </w:tcPr>
                <w:p w14:paraId="294F1B1E">
                  <w:pPr>
                    <w:pStyle w:val="116"/>
                    <w:spacing w:line="240" w:lineRule="auto"/>
                    <w:ind w:firstLine="0" w:firstLineChars="0"/>
                    <w:jc w:val="left"/>
                    <w:rPr>
                      <w:color w:val="auto"/>
                      <w:sz w:val="21"/>
                      <w:szCs w:val="21"/>
                    </w:rPr>
                  </w:pPr>
                </w:p>
              </w:tc>
              <w:tc>
                <w:tcPr>
                  <w:tcW w:w="2016" w:type="dxa"/>
                  <w:vAlign w:val="center"/>
                </w:tcPr>
                <w:p w14:paraId="447E31CA">
                  <w:pPr>
                    <w:pStyle w:val="116"/>
                    <w:spacing w:line="240" w:lineRule="auto"/>
                    <w:ind w:firstLine="0" w:firstLineChars="0"/>
                    <w:jc w:val="left"/>
                    <w:rPr>
                      <w:rFonts w:eastAsia="宋体"/>
                      <w:color w:val="auto"/>
                      <w:sz w:val="21"/>
                      <w:szCs w:val="21"/>
                    </w:rPr>
                  </w:pPr>
                  <w:r>
                    <w:rPr>
                      <w:rFonts w:hAnsi="宋体" w:eastAsia="宋体"/>
                      <w:color w:val="auto"/>
                      <w:sz w:val="21"/>
                      <w:szCs w:val="21"/>
                    </w:rPr>
                    <w:t>所在区域环境质量未达到国家或者地方环境质量标准，且建设项目拟采取的措施不能满足区域环境质量改善目标管理要求</w:t>
                  </w:r>
                </w:p>
              </w:tc>
              <w:tc>
                <w:tcPr>
                  <w:tcW w:w="3729" w:type="dxa"/>
                  <w:vAlign w:val="center"/>
                </w:tcPr>
                <w:p w14:paraId="40AA46BC">
                  <w:pPr>
                    <w:pStyle w:val="116"/>
                    <w:spacing w:line="240" w:lineRule="auto"/>
                    <w:ind w:firstLine="0" w:firstLineChars="0"/>
                    <w:jc w:val="left"/>
                    <w:rPr>
                      <w:rFonts w:eastAsia="宋体"/>
                      <w:color w:val="auto"/>
                      <w:sz w:val="21"/>
                      <w:szCs w:val="21"/>
                    </w:rPr>
                  </w:pPr>
                  <w:r>
                    <w:rPr>
                      <w:rFonts w:hAnsi="宋体" w:eastAsia="宋体"/>
                      <w:color w:val="auto"/>
                      <w:sz w:val="21"/>
                      <w:szCs w:val="21"/>
                    </w:rPr>
                    <w:t>本项目所在区域环境空气质量</w:t>
                  </w:r>
                  <w:r>
                    <w:rPr>
                      <w:rFonts w:hint="eastAsia" w:hAnsi="宋体" w:eastAsia="宋体"/>
                      <w:color w:val="auto"/>
                      <w:sz w:val="21"/>
                      <w:szCs w:val="21"/>
                    </w:rPr>
                    <w:t>、</w:t>
                  </w:r>
                  <w:r>
                    <w:rPr>
                      <w:rFonts w:hAnsi="宋体" w:eastAsia="宋体"/>
                      <w:color w:val="auto"/>
                      <w:sz w:val="21"/>
                      <w:szCs w:val="21"/>
                    </w:rPr>
                    <w:t>地表水环境质量、声环境质量均符合国家标准，只要切实落实环评报告提出的各项污染防治措施，各类污染物均可得到有限控制并能做到达标排放或不对外直接排放，对环境影响不大，环境风险很小，项目实施不会改变所在地的环境质量水平和环境功能。</w:t>
                  </w:r>
                </w:p>
              </w:tc>
              <w:tc>
                <w:tcPr>
                  <w:tcW w:w="639" w:type="dxa"/>
                  <w:vAlign w:val="center"/>
                </w:tcPr>
                <w:p w14:paraId="5C97F349">
                  <w:pPr>
                    <w:pStyle w:val="116"/>
                    <w:spacing w:line="240" w:lineRule="auto"/>
                    <w:ind w:firstLine="0" w:firstLineChars="0"/>
                    <w:jc w:val="left"/>
                    <w:rPr>
                      <w:rFonts w:eastAsia="宋体"/>
                      <w:color w:val="auto"/>
                      <w:sz w:val="21"/>
                      <w:szCs w:val="21"/>
                    </w:rPr>
                  </w:pPr>
                  <w:r>
                    <w:rPr>
                      <w:rFonts w:hAnsi="宋体" w:eastAsia="宋体"/>
                      <w:color w:val="auto"/>
                      <w:sz w:val="21"/>
                      <w:szCs w:val="21"/>
                    </w:rPr>
                    <w:t>不属于不予批准的情形</w:t>
                  </w:r>
                </w:p>
              </w:tc>
            </w:tr>
            <w:tr w14:paraId="7470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vMerge w:val="continue"/>
                  <w:vAlign w:val="center"/>
                </w:tcPr>
                <w:p w14:paraId="5C75DB75">
                  <w:pPr>
                    <w:pStyle w:val="116"/>
                    <w:spacing w:line="240" w:lineRule="auto"/>
                    <w:ind w:firstLine="0" w:firstLineChars="0"/>
                    <w:jc w:val="left"/>
                    <w:rPr>
                      <w:color w:val="auto"/>
                      <w:sz w:val="21"/>
                      <w:szCs w:val="21"/>
                    </w:rPr>
                  </w:pPr>
                </w:p>
              </w:tc>
              <w:tc>
                <w:tcPr>
                  <w:tcW w:w="2016" w:type="dxa"/>
                  <w:vAlign w:val="center"/>
                </w:tcPr>
                <w:p w14:paraId="3D6CC208">
                  <w:pPr>
                    <w:pStyle w:val="116"/>
                    <w:spacing w:line="240" w:lineRule="auto"/>
                    <w:ind w:firstLine="0" w:firstLineChars="0"/>
                    <w:jc w:val="left"/>
                    <w:rPr>
                      <w:rFonts w:eastAsia="宋体"/>
                      <w:color w:val="auto"/>
                      <w:sz w:val="21"/>
                      <w:szCs w:val="21"/>
                    </w:rPr>
                  </w:pPr>
                  <w:r>
                    <w:rPr>
                      <w:rFonts w:hAnsi="宋体" w:eastAsia="宋体"/>
                      <w:color w:val="auto"/>
                      <w:sz w:val="21"/>
                      <w:szCs w:val="21"/>
                    </w:rPr>
                    <w:t>建设项目采取的污染防治措施无法确保污染物排放达到国家和地方排放标准，或者未采取必要措施预防和控制生态破坏；</w:t>
                  </w:r>
                </w:p>
              </w:tc>
              <w:tc>
                <w:tcPr>
                  <w:tcW w:w="3729" w:type="dxa"/>
                  <w:vAlign w:val="center"/>
                </w:tcPr>
                <w:p w14:paraId="38A61D00">
                  <w:pPr>
                    <w:pStyle w:val="116"/>
                    <w:spacing w:line="240" w:lineRule="auto"/>
                    <w:ind w:firstLine="0" w:firstLineChars="0"/>
                    <w:jc w:val="left"/>
                    <w:rPr>
                      <w:rFonts w:eastAsia="宋体"/>
                      <w:color w:val="auto"/>
                      <w:sz w:val="21"/>
                      <w:szCs w:val="21"/>
                    </w:rPr>
                  </w:pPr>
                  <w:r>
                    <w:rPr>
                      <w:rFonts w:hAnsi="宋体" w:eastAsia="宋体"/>
                      <w:color w:val="auto"/>
                      <w:sz w:val="21"/>
                      <w:szCs w:val="21"/>
                    </w:rPr>
                    <w:t>只要切实落实环评报告提出的各项污染防治措施，各类污染物均可得到有限控制并能做到达标排放或不对外直接排放。</w:t>
                  </w:r>
                </w:p>
              </w:tc>
              <w:tc>
                <w:tcPr>
                  <w:tcW w:w="639" w:type="dxa"/>
                  <w:vAlign w:val="center"/>
                </w:tcPr>
                <w:p w14:paraId="5051DE0F">
                  <w:pPr>
                    <w:pStyle w:val="116"/>
                    <w:spacing w:line="240" w:lineRule="auto"/>
                    <w:ind w:firstLine="0" w:firstLineChars="0"/>
                    <w:jc w:val="left"/>
                    <w:rPr>
                      <w:rFonts w:eastAsia="宋体"/>
                      <w:color w:val="auto"/>
                      <w:sz w:val="21"/>
                      <w:szCs w:val="21"/>
                    </w:rPr>
                  </w:pPr>
                  <w:r>
                    <w:rPr>
                      <w:rFonts w:hAnsi="宋体" w:eastAsia="宋体"/>
                      <w:color w:val="auto"/>
                      <w:sz w:val="21"/>
                      <w:szCs w:val="21"/>
                    </w:rPr>
                    <w:t>不属于不予批准的情形</w:t>
                  </w:r>
                </w:p>
              </w:tc>
            </w:tr>
            <w:tr w14:paraId="2468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vMerge w:val="continue"/>
                  <w:vAlign w:val="center"/>
                </w:tcPr>
                <w:p w14:paraId="6D34A02A">
                  <w:pPr>
                    <w:pStyle w:val="116"/>
                    <w:spacing w:line="240" w:lineRule="auto"/>
                    <w:ind w:firstLine="0" w:firstLineChars="0"/>
                    <w:jc w:val="left"/>
                    <w:rPr>
                      <w:color w:val="auto"/>
                      <w:sz w:val="21"/>
                      <w:szCs w:val="21"/>
                    </w:rPr>
                  </w:pPr>
                </w:p>
              </w:tc>
              <w:tc>
                <w:tcPr>
                  <w:tcW w:w="2016" w:type="dxa"/>
                  <w:vAlign w:val="center"/>
                </w:tcPr>
                <w:p w14:paraId="7F2AC52D">
                  <w:pPr>
                    <w:pStyle w:val="116"/>
                    <w:spacing w:line="240" w:lineRule="auto"/>
                    <w:ind w:firstLine="0" w:firstLineChars="0"/>
                    <w:jc w:val="left"/>
                    <w:rPr>
                      <w:rFonts w:eastAsia="宋体"/>
                      <w:color w:val="auto"/>
                      <w:sz w:val="21"/>
                      <w:szCs w:val="21"/>
                    </w:rPr>
                  </w:pPr>
                  <w:r>
                    <w:rPr>
                      <w:rFonts w:hAnsi="宋体" w:eastAsia="宋体"/>
                      <w:color w:val="auto"/>
                      <w:sz w:val="21"/>
                      <w:szCs w:val="21"/>
                    </w:rPr>
                    <w:t>改建、扩建和技术改造项目，未针对项目原有环境污染和生态破坏提出有效防治措施；</w:t>
                  </w:r>
                </w:p>
              </w:tc>
              <w:tc>
                <w:tcPr>
                  <w:tcW w:w="3729" w:type="dxa"/>
                  <w:vAlign w:val="center"/>
                </w:tcPr>
                <w:p w14:paraId="3CAE8F06">
                  <w:pPr>
                    <w:pStyle w:val="116"/>
                    <w:spacing w:line="240" w:lineRule="auto"/>
                    <w:ind w:firstLine="420"/>
                    <w:jc w:val="left"/>
                    <w:rPr>
                      <w:rFonts w:eastAsia="宋体"/>
                      <w:color w:val="auto"/>
                      <w:sz w:val="21"/>
                      <w:szCs w:val="21"/>
                    </w:rPr>
                  </w:pPr>
                  <w:r>
                    <w:rPr>
                      <w:rFonts w:hAnsi="宋体" w:eastAsia="宋体"/>
                      <w:sz w:val="21"/>
                      <w:szCs w:val="21"/>
                    </w:rPr>
                    <w:t>本项目</w:t>
                  </w:r>
                  <w:r>
                    <w:rPr>
                      <w:rFonts w:hint="eastAsia" w:hAnsi="宋体" w:eastAsia="宋体"/>
                      <w:sz w:val="21"/>
                      <w:szCs w:val="21"/>
                    </w:rPr>
                    <w:t>已对现有项目提出有效的防治措施</w:t>
                  </w:r>
                </w:p>
              </w:tc>
              <w:tc>
                <w:tcPr>
                  <w:tcW w:w="639" w:type="dxa"/>
                  <w:vAlign w:val="center"/>
                </w:tcPr>
                <w:p w14:paraId="25F6CEA8">
                  <w:pPr>
                    <w:pStyle w:val="116"/>
                    <w:spacing w:line="240" w:lineRule="auto"/>
                    <w:ind w:firstLine="0" w:firstLineChars="0"/>
                    <w:jc w:val="left"/>
                    <w:rPr>
                      <w:rFonts w:eastAsia="宋体"/>
                      <w:color w:val="auto"/>
                      <w:sz w:val="21"/>
                      <w:szCs w:val="21"/>
                    </w:rPr>
                  </w:pPr>
                  <w:r>
                    <w:rPr>
                      <w:rFonts w:hAnsi="宋体" w:eastAsia="宋体"/>
                      <w:color w:val="auto"/>
                      <w:sz w:val="21"/>
                      <w:szCs w:val="21"/>
                    </w:rPr>
                    <w:t>不属于不予批准的情形</w:t>
                  </w:r>
                </w:p>
              </w:tc>
            </w:tr>
            <w:tr w14:paraId="7E83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vMerge w:val="continue"/>
                  <w:vAlign w:val="center"/>
                </w:tcPr>
                <w:p w14:paraId="3E6CA78D">
                  <w:pPr>
                    <w:pStyle w:val="116"/>
                    <w:spacing w:line="240" w:lineRule="auto"/>
                    <w:ind w:firstLine="0" w:firstLineChars="0"/>
                    <w:jc w:val="left"/>
                    <w:rPr>
                      <w:color w:val="auto"/>
                      <w:sz w:val="21"/>
                      <w:szCs w:val="21"/>
                    </w:rPr>
                  </w:pPr>
                </w:p>
              </w:tc>
              <w:tc>
                <w:tcPr>
                  <w:tcW w:w="2016" w:type="dxa"/>
                  <w:vAlign w:val="center"/>
                </w:tcPr>
                <w:p w14:paraId="1B6051BF">
                  <w:pPr>
                    <w:pStyle w:val="116"/>
                    <w:spacing w:line="240" w:lineRule="auto"/>
                    <w:ind w:firstLine="0" w:firstLineChars="0"/>
                    <w:jc w:val="left"/>
                    <w:rPr>
                      <w:rFonts w:eastAsia="宋体"/>
                      <w:color w:val="auto"/>
                      <w:sz w:val="21"/>
                      <w:szCs w:val="21"/>
                    </w:rPr>
                  </w:pPr>
                  <w:r>
                    <w:rPr>
                      <w:rFonts w:hAnsi="宋体" w:eastAsia="宋体"/>
                      <w:color w:val="auto"/>
                      <w:sz w:val="21"/>
                      <w:szCs w:val="21"/>
                    </w:rPr>
                    <w:t>建设项目的环境影响报告书、环境影响报告表的基础资料数据明显不实，内容存在重大缺陷、遗漏，或者环境影响评价结论不明确、不合理。</w:t>
                  </w:r>
                </w:p>
              </w:tc>
              <w:tc>
                <w:tcPr>
                  <w:tcW w:w="3729" w:type="dxa"/>
                  <w:vAlign w:val="center"/>
                </w:tcPr>
                <w:p w14:paraId="28A30690">
                  <w:pPr>
                    <w:pStyle w:val="116"/>
                    <w:spacing w:line="240" w:lineRule="auto"/>
                    <w:ind w:firstLine="0" w:firstLineChars="0"/>
                    <w:jc w:val="left"/>
                    <w:rPr>
                      <w:rFonts w:eastAsia="宋体"/>
                      <w:color w:val="auto"/>
                      <w:sz w:val="21"/>
                      <w:szCs w:val="21"/>
                    </w:rPr>
                  </w:pPr>
                  <w:r>
                    <w:rPr>
                      <w:rFonts w:hAnsi="宋体" w:eastAsia="宋体"/>
                      <w:color w:val="auto"/>
                      <w:sz w:val="21"/>
                      <w:szCs w:val="21"/>
                    </w:rPr>
                    <w:t>本项目在编制过程中数据真实，内容精简，条例有序，未存在重大缺陷、遗漏。且本项目结论客观、过程公开、评价公开，并综合考虑建设项目实施对各种环境因素可能造成的影响。</w:t>
                  </w:r>
                </w:p>
              </w:tc>
              <w:tc>
                <w:tcPr>
                  <w:tcW w:w="639" w:type="dxa"/>
                  <w:vAlign w:val="center"/>
                </w:tcPr>
                <w:p w14:paraId="70FC47C2">
                  <w:pPr>
                    <w:pStyle w:val="116"/>
                    <w:spacing w:line="240" w:lineRule="auto"/>
                    <w:ind w:firstLine="0" w:firstLineChars="0"/>
                    <w:jc w:val="left"/>
                    <w:rPr>
                      <w:rFonts w:eastAsia="宋体"/>
                      <w:color w:val="auto"/>
                      <w:sz w:val="21"/>
                      <w:szCs w:val="21"/>
                    </w:rPr>
                  </w:pPr>
                  <w:r>
                    <w:rPr>
                      <w:rFonts w:hAnsi="宋体" w:eastAsia="宋体"/>
                      <w:color w:val="auto"/>
                      <w:sz w:val="21"/>
                      <w:szCs w:val="21"/>
                    </w:rPr>
                    <w:t>不属于不予批准的情形</w:t>
                  </w:r>
                </w:p>
              </w:tc>
            </w:tr>
          </w:tbl>
          <w:p w14:paraId="5B2D857F">
            <w:pPr>
              <w:pStyle w:val="3"/>
              <w:spacing w:line="440" w:lineRule="exact"/>
              <w:ind w:firstLine="0" w:firstLineChars="0"/>
              <w:jc w:val="left"/>
              <w:rPr>
                <w:rFonts w:hAnsi="宋体" w:eastAsia="宋体"/>
                <w:b/>
                <w:color w:val="auto"/>
              </w:rPr>
            </w:pPr>
            <w:r>
              <w:rPr>
                <w:rFonts w:hint="eastAsia" w:hAnsi="宋体" w:eastAsia="宋体"/>
                <w:b/>
                <w:color w:val="auto"/>
              </w:rPr>
              <w:t>1.3.8《建设项目环境影响报告书（表）编制监督管理办法》符合性分析</w:t>
            </w:r>
          </w:p>
          <w:p w14:paraId="3D314E31">
            <w:pPr>
              <w:pStyle w:val="3"/>
              <w:spacing w:line="440" w:lineRule="exact"/>
              <w:rPr>
                <w:rFonts w:hAnsi="宋体" w:eastAsia="宋体"/>
                <w:bCs/>
                <w:color w:val="auto"/>
                <w:kern w:val="0"/>
              </w:rPr>
            </w:pPr>
            <w:r>
              <w:rPr>
                <w:rFonts w:hint="eastAsia" w:hAnsi="宋体" w:eastAsia="宋体"/>
                <w:bCs/>
                <w:color w:val="auto"/>
                <w:kern w:val="0"/>
              </w:rPr>
              <w:t>根据《建设项目环境影响报告书（表）编制监督管理办法》，本项目相关符合性分析见表1-9。</w:t>
            </w:r>
          </w:p>
          <w:p w14:paraId="3F29802C">
            <w:pPr>
              <w:autoSpaceDE w:val="0"/>
              <w:autoSpaceDN w:val="0"/>
              <w:adjustRightInd w:val="0"/>
              <w:snapToGrid w:val="0"/>
              <w:spacing w:beforeLines="50"/>
              <w:jc w:val="center"/>
              <w:rPr>
                <w:b/>
                <w:bCs/>
                <w:color w:val="auto"/>
                <w:kern w:val="0"/>
                <w:szCs w:val="21"/>
              </w:rPr>
            </w:pPr>
            <w:r>
              <w:rPr>
                <w:b/>
                <w:color w:val="auto"/>
                <w:szCs w:val="21"/>
              </w:rPr>
              <w:t>表</w:t>
            </w:r>
            <w:r>
              <w:rPr>
                <w:rFonts w:eastAsia="Times New Roman"/>
                <w:b/>
                <w:color w:val="auto"/>
                <w:szCs w:val="21"/>
              </w:rPr>
              <w:t>1-</w:t>
            </w:r>
            <w:r>
              <w:rPr>
                <w:rFonts w:hint="eastAsia"/>
                <w:b/>
                <w:color w:val="auto"/>
                <w:szCs w:val="21"/>
              </w:rPr>
              <w:t>9</w:t>
            </w:r>
            <w:r>
              <w:rPr>
                <w:b/>
                <w:color w:val="auto"/>
                <w:szCs w:val="21"/>
              </w:rPr>
              <w:t>《建设项目环境影响报告书（表）编制监督管理办法》相关符合性分析</w:t>
            </w:r>
          </w:p>
          <w:tbl>
            <w:tblPr>
              <w:tblStyle w:val="37"/>
              <w:tblW w:w="6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3"/>
              <w:gridCol w:w="2688"/>
              <w:gridCol w:w="2741"/>
              <w:gridCol w:w="491"/>
            </w:tblGrid>
            <w:tr w14:paraId="065B0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71" w:type="dxa"/>
                  <w:gridSpan w:val="2"/>
                  <w:tcBorders>
                    <w:tl2br w:val="nil"/>
                    <w:tr2bl w:val="nil"/>
                  </w:tcBorders>
                  <w:vAlign w:val="center"/>
                </w:tcPr>
                <w:p w14:paraId="453477C2">
                  <w:pPr>
                    <w:pStyle w:val="109"/>
                    <w:spacing w:before="0"/>
                    <w:rPr>
                      <w:b/>
                      <w:bCs/>
                      <w:color w:val="auto"/>
                      <w:sz w:val="21"/>
                      <w:szCs w:val="21"/>
                    </w:rPr>
                  </w:pPr>
                  <w:r>
                    <w:rPr>
                      <w:rFonts w:hAnsi="宋体"/>
                      <w:b/>
                      <w:bCs/>
                      <w:color w:val="auto"/>
                      <w:sz w:val="21"/>
                      <w:szCs w:val="21"/>
                    </w:rPr>
                    <w:t>《建设项目环境影响报告书（表）编制监督管理办法》</w:t>
                  </w:r>
                </w:p>
              </w:tc>
              <w:tc>
                <w:tcPr>
                  <w:tcW w:w="2741" w:type="dxa"/>
                  <w:tcBorders>
                    <w:tl2br w:val="nil"/>
                    <w:tr2bl w:val="nil"/>
                  </w:tcBorders>
                  <w:vAlign w:val="center"/>
                </w:tcPr>
                <w:p w14:paraId="1A1679C3">
                  <w:pPr>
                    <w:pStyle w:val="109"/>
                    <w:spacing w:before="0"/>
                    <w:rPr>
                      <w:b/>
                      <w:bCs/>
                      <w:color w:val="auto"/>
                      <w:sz w:val="21"/>
                      <w:szCs w:val="21"/>
                    </w:rPr>
                  </w:pPr>
                  <w:r>
                    <w:rPr>
                      <w:rFonts w:hAnsi="宋体"/>
                      <w:b/>
                      <w:bCs/>
                      <w:color w:val="auto"/>
                      <w:sz w:val="21"/>
                      <w:szCs w:val="21"/>
                    </w:rPr>
                    <w:t>本项目情况</w:t>
                  </w:r>
                </w:p>
              </w:tc>
              <w:tc>
                <w:tcPr>
                  <w:tcW w:w="491" w:type="dxa"/>
                  <w:tcBorders>
                    <w:tl2br w:val="nil"/>
                    <w:tr2bl w:val="nil"/>
                  </w:tcBorders>
                </w:tcPr>
                <w:p w14:paraId="0EE70795">
                  <w:pPr>
                    <w:pStyle w:val="109"/>
                    <w:spacing w:before="0"/>
                    <w:rPr>
                      <w:b/>
                      <w:bCs/>
                      <w:color w:val="auto"/>
                      <w:sz w:val="21"/>
                      <w:szCs w:val="21"/>
                    </w:rPr>
                  </w:pPr>
                  <w:r>
                    <w:rPr>
                      <w:rFonts w:hAnsi="宋体"/>
                      <w:b/>
                      <w:bCs/>
                      <w:color w:val="auto"/>
                      <w:sz w:val="21"/>
                      <w:szCs w:val="21"/>
                    </w:rPr>
                    <w:t>是否</w:t>
                  </w:r>
                </w:p>
                <w:p w14:paraId="48A0BCBC">
                  <w:pPr>
                    <w:pStyle w:val="109"/>
                    <w:spacing w:before="0"/>
                    <w:rPr>
                      <w:b/>
                      <w:bCs/>
                      <w:color w:val="auto"/>
                      <w:sz w:val="21"/>
                      <w:szCs w:val="21"/>
                    </w:rPr>
                  </w:pPr>
                  <w:r>
                    <w:rPr>
                      <w:rFonts w:hAnsi="宋体"/>
                      <w:b/>
                      <w:bCs/>
                      <w:color w:val="auto"/>
                      <w:sz w:val="21"/>
                      <w:szCs w:val="21"/>
                    </w:rPr>
                    <w:t>符合</w:t>
                  </w:r>
                </w:p>
              </w:tc>
            </w:tr>
            <w:tr w14:paraId="6B683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restart"/>
                  <w:tcBorders>
                    <w:tl2br w:val="nil"/>
                    <w:tr2bl w:val="nil"/>
                  </w:tcBorders>
                  <w:vAlign w:val="center"/>
                </w:tcPr>
                <w:p w14:paraId="791A97E0">
                  <w:pPr>
                    <w:pStyle w:val="109"/>
                    <w:spacing w:before="0"/>
                    <w:ind w:left="105" w:leftChars="50" w:right="105" w:rightChars="50"/>
                    <w:jc w:val="left"/>
                    <w:rPr>
                      <w:color w:val="auto"/>
                      <w:sz w:val="21"/>
                      <w:szCs w:val="21"/>
                    </w:rPr>
                  </w:pPr>
                  <w:r>
                    <w:rPr>
                      <w:rFonts w:hAnsi="宋体"/>
                      <w:color w:val="auto"/>
                      <w:sz w:val="21"/>
                      <w:szCs w:val="21"/>
                    </w:rPr>
                    <w:t>第二十六条、在监督检查过程中发现环境影响报告书（表）不符合有关环境影响评价法律法规、标准和技术</w:t>
                  </w:r>
                  <w:r>
                    <w:rPr>
                      <w:color w:val="auto"/>
                      <w:spacing w:val="-4"/>
                      <w:sz w:val="21"/>
                      <w:szCs w:val="21"/>
                    </w:rPr>
                    <w:t>规范等规</w:t>
                  </w:r>
                  <w:r>
                    <w:rPr>
                      <w:rFonts w:hAnsi="宋体"/>
                      <w:color w:val="auto"/>
                      <w:sz w:val="21"/>
                      <w:szCs w:val="21"/>
                    </w:rPr>
                    <w:t>定存在下列质量问题之一的，由市级以上生态环境主管部门对建设单位、技术单位和编制人员给予通报批评</w:t>
                  </w:r>
                </w:p>
              </w:tc>
              <w:tc>
                <w:tcPr>
                  <w:tcW w:w="2688" w:type="dxa"/>
                  <w:tcBorders>
                    <w:tl2br w:val="nil"/>
                    <w:tr2bl w:val="nil"/>
                  </w:tcBorders>
                  <w:vAlign w:val="center"/>
                </w:tcPr>
                <w:p w14:paraId="4517A305">
                  <w:pPr>
                    <w:pStyle w:val="109"/>
                    <w:spacing w:before="0"/>
                    <w:ind w:left="105" w:leftChars="50" w:right="105" w:rightChars="50"/>
                    <w:jc w:val="left"/>
                    <w:rPr>
                      <w:color w:val="auto"/>
                      <w:sz w:val="21"/>
                      <w:szCs w:val="21"/>
                    </w:rPr>
                  </w:pPr>
                  <w:r>
                    <w:rPr>
                      <w:color w:val="auto"/>
                      <w:sz w:val="21"/>
                      <w:szCs w:val="21"/>
                    </w:rPr>
                    <w:t>1</w:t>
                  </w:r>
                  <w:r>
                    <w:rPr>
                      <w:rFonts w:hAnsi="宋体"/>
                      <w:color w:val="auto"/>
                      <w:sz w:val="21"/>
                      <w:szCs w:val="21"/>
                    </w:rPr>
                    <w:t>、评价因子中遗漏建设项目相关行业污染源源强核算或者污染物排放标准规定的相关污染物的；</w:t>
                  </w:r>
                </w:p>
              </w:tc>
              <w:tc>
                <w:tcPr>
                  <w:tcW w:w="2741" w:type="dxa"/>
                  <w:tcBorders>
                    <w:tl2br w:val="nil"/>
                    <w:tr2bl w:val="nil"/>
                  </w:tcBorders>
                  <w:vAlign w:val="center"/>
                </w:tcPr>
                <w:p w14:paraId="6429334B">
                  <w:pPr>
                    <w:pStyle w:val="109"/>
                    <w:spacing w:before="0"/>
                    <w:ind w:left="105" w:leftChars="50" w:right="105" w:rightChars="50"/>
                    <w:jc w:val="left"/>
                    <w:rPr>
                      <w:color w:val="auto"/>
                      <w:sz w:val="21"/>
                      <w:szCs w:val="21"/>
                    </w:rPr>
                  </w:pPr>
                  <w:r>
                    <w:rPr>
                      <w:rFonts w:hAnsi="宋体"/>
                      <w:color w:val="auto"/>
                      <w:sz w:val="21"/>
                      <w:szCs w:val="21"/>
                    </w:rPr>
                    <w:t>本项目未遗漏建设项目相关行业污染源源强核算和污染物排放标准规定的相关污染物。</w:t>
                  </w:r>
                </w:p>
              </w:tc>
              <w:tc>
                <w:tcPr>
                  <w:tcW w:w="491" w:type="dxa"/>
                  <w:tcBorders>
                    <w:tl2br w:val="nil"/>
                    <w:tr2bl w:val="nil"/>
                  </w:tcBorders>
                  <w:vAlign w:val="center"/>
                </w:tcPr>
                <w:p w14:paraId="31AECC26">
                  <w:pPr>
                    <w:pStyle w:val="109"/>
                    <w:spacing w:before="0"/>
                    <w:rPr>
                      <w:color w:val="auto"/>
                      <w:sz w:val="21"/>
                      <w:szCs w:val="21"/>
                    </w:rPr>
                  </w:pPr>
                  <w:r>
                    <w:rPr>
                      <w:rFonts w:hAnsi="宋体"/>
                      <w:color w:val="auto"/>
                      <w:sz w:val="21"/>
                      <w:szCs w:val="21"/>
                    </w:rPr>
                    <w:t>符合</w:t>
                  </w:r>
                </w:p>
              </w:tc>
            </w:tr>
            <w:tr w14:paraId="48D57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1E4447D2">
                  <w:pPr>
                    <w:ind w:left="105" w:leftChars="50" w:right="105" w:rightChars="50"/>
                    <w:jc w:val="left"/>
                    <w:rPr>
                      <w:color w:val="auto"/>
                      <w:szCs w:val="21"/>
                    </w:rPr>
                  </w:pPr>
                </w:p>
              </w:tc>
              <w:tc>
                <w:tcPr>
                  <w:tcW w:w="2688" w:type="dxa"/>
                  <w:tcBorders>
                    <w:tl2br w:val="nil"/>
                    <w:tr2bl w:val="nil"/>
                  </w:tcBorders>
                  <w:vAlign w:val="center"/>
                </w:tcPr>
                <w:p w14:paraId="77537ACD">
                  <w:pPr>
                    <w:pStyle w:val="109"/>
                    <w:spacing w:before="0"/>
                    <w:ind w:left="105" w:leftChars="50" w:right="105" w:rightChars="50"/>
                    <w:jc w:val="left"/>
                    <w:rPr>
                      <w:color w:val="auto"/>
                      <w:sz w:val="21"/>
                      <w:szCs w:val="21"/>
                    </w:rPr>
                  </w:pPr>
                  <w:r>
                    <w:rPr>
                      <w:color w:val="auto"/>
                      <w:sz w:val="21"/>
                      <w:szCs w:val="21"/>
                    </w:rPr>
                    <w:t>2</w:t>
                  </w:r>
                  <w:r>
                    <w:rPr>
                      <w:rFonts w:hAnsi="宋体"/>
                      <w:color w:val="auto"/>
                      <w:spacing w:val="-6"/>
                      <w:sz w:val="21"/>
                      <w:szCs w:val="21"/>
                    </w:rPr>
                    <w:t>、降低环境影响评价工作等级，降低环境影响评价标准，或者缩小环境影响评价范围</w:t>
                  </w:r>
                  <w:r>
                    <w:rPr>
                      <w:rFonts w:hAnsi="宋体"/>
                      <w:color w:val="auto"/>
                      <w:sz w:val="21"/>
                      <w:szCs w:val="21"/>
                    </w:rPr>
                    <w:t>的；</w:t>
                  </w:r>
                </w:p>
              </w:tc>
              <w:tc>
                <w:tcPr>
                  <w:tcW w:w="2741" w:type="dxa"/>
                  <w:tcBorders>
                    <w:tl2br w:val="nil"/>
                    <w:tr2bl w:val="nil"/>
                  </w:tcBorders>
                  <w:vAlign w:val="center"/>
                </w:tcPr>
                <w:p w14:paraId="791040B4">
                  <w:pPr>
                    <w:pStyle w:val="109"/>
                    <w:spacing w:before="0"/>
                    <w:ind w:left="105" w:leftChars="50" w:right="105" w:rightChars="50"/>
                    <w:jc w:val="left"/>
                    <w:rPr>
                      <w:color w:val="auto"/>
                      <w:sz w:val="21"/>
                      <w:szCs w:val="21"/>
                    </w:rPr>
                  </w:pPr>
                  <w:r>
                    <w:rPr>
                      <w:rFonts w:hAnsi="宋体"/>
                      <w:color w:val="auto"/>
                      <w:sz w:val="21"/>
                      <w:szCs w:val="21"/>
                    </w:rPr>
                    <w:t>本项目环境影响评价相关内容严格按照相关技术规范要求进行。</w:t>
                  </w:r>
                </w:p>
              </w:tc>
              <w:tc>
                <w:tcPr>
                  <w:tcW w:w="491" w:type="dxa"/>
                  <w:tcBorders>
                    <w:tl2br w:val="nil"/>
                    <w:tr2bl w:val="nil"/>
                  </w:tcBorders>
                  <w:vAlign w:val="center"/>
                </w:tcPr>
                <w:p w14:paraId="51276C44">
                  <w:pPr>
                    <w:pStyle w:val="109"/>
                    <w:spacing w:before="0"/>
                    <w:rPr>
                      <w:color w:val="auto"/>
                      <w:sz w:val="21"/>
                      <w:szCs w:val="21"/>
                    </w:rPr>
                  </w:pPr>
                  <w:r>
                    <w:rPr>
                      <w:rFonts w:hAnsi="宋体"/>
                      <w:color w:val="auto"/>
                      <w:sz w:val="21"/>
                      <w:szCs w:val="21"/>
                    </w:rPr>
                    <w:t>符合</w:t>
                  </w:r>
                </w:p>
              </w:tc>
            </w:tr>
            <w:tr w14:paraId="3F7BA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38CAAA77">
                  <w:pPr>
                    <w:ind w:left="105" w:leftChars="50" w:right="105" w:rightChars="50"/>
                    <w:jc w:val="left"/>
                    <w:rPr>
                      <w:color w:val="auto"/>
                      <w:szCs w:val="21"/>
                    </w:rPr>
                  </w:pPr>
                </w:p>
              </w:tc>
              <w:tc>
                <w:tcPr>
                  <w:tcW w:w="2688" w:type="dxa"/>
                  <w:tcBorders>
                    <w:tl2br w:val="nil"/>
                    <w:tr2bl w:val="nil"/>
                  </w:tcBorders>
                </w:tcPr>
                <w:p w14:paraId="707391EC">
                  <w:pPr>
                    <w:pStyle w:val="109"/>
                    <w:spacing w:before="0"/>
                    <w:ind w:left="105" w:leftChars="50" w:right="105" w:rightChars="50"/>
                    <w:jc w:val="left"/>
                    <w:rPr>
                      <w:color w:val="auto"/>
                      <w:sz w:val="21"/>
                      <w:szCs w:val="21"/>
                    </w:rPr>
                  </w:pPr>
                  <w:r>
                    <w:rPr>
                      <w:color w:val="auto"/>
                      <w:sz w:val="21"/>
                      <w:szCs w:val="21"/>
                    </w:rPr>
                    <w:t>3</w:t>
                  </w:r>
                  <w:r>
                    <w:rPr>
                      <w:rFonts w:hAnsi="宋体"/>
                      <w:color w:val="auto"/>
                      <w:sz w:val="21"/>
                      <w:szCs w:val="21"/>
                    </w:rPr>
                    <w:t>、建设项目概况描述不全或者错误的；</w:t>
                  </w:r>
                </w:p>
              </w:tc>
              <w:tc>
                <w:tcPr>
                  <w:tcW w:w="2741" w:type="dxa"/>
                  <w:tcBorders>
                    <w:tl2br w:val="nil"/>
                    <w:tr2bl w:val="nil"/>
                  </w:tcBorders>
                  <w:vAlign w:val="center"/>
                </w:tcPr>
                <w:p w14:paraId="33422D94">
                  <w:pPr>
                    <w:pStyle w:val="109"/>
                    <w:spacing w:before="0"/>
                    <w:ind w:left="105" w:leftChars="50" w:right="105" w:rightChars="50"/>
                    <w:jc w:val="left"/>
                    <w:rPr>
                      <w:color w:val="auto"/>
                      <w:sz w:val="21"/>
                      <w:szCs w:val="21"/>
                    </w:rPr>
                  </w:pPr>
                  <w:r>
                    <w:rPr>
                      <w:rFonts w:hAnsi="宋体"/>
                      <w:color w:val="auto"/>
                      <w:sz w:val="21"/>
                      <w:szCs w:val="21"/>
                    </w:rPr>
                    <w:t>本项目概况描述全面、正确。</w:t>
                  </w:r>
                </w:p>
              </w:tc>
              <w:tc>
                <w:tcPr>
                  <w:tcW w:w="491" w:type="dxa"/>
                  <w:tcBorders>
                    <w:tl2br w:val="nil"/>
                    <w:tr2bl w:val="nil"/>
                  </w:tcBorders>
                  <w:vAlign w:val="center"/>
                </w:tcPr>
                <w:p w14:paraId="4E8564C3">
                  <w:pPr>
                    <w:pStyle w:val="109"/>
                    <w:spacing w:before="0"/>
                    <w:rPr>
                      <w:color w:val="auto"/>
                      <w:sz w:val="21"/>
                      <w:szCs w:val="21"/>
                    </w:rPr>
                  </w:pPr>
                  <w:r>
                    <w:rPr>
                      <w:rFonts w:hAnsi="宋体"/>
                      <w:color w:val="auto"/>
                      <w:sz w:val="21"/>
                      <w:szCs w:val="21"/>
                    </w:rPr>
                    <w:t>符合</w:t>
                  </w:r>
                </w:p>
              </w:tc>
            </w:tr>
            <w:tr w14:paraId="750BA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656928D9">
                  <w:pPr>
                    <w:ind w:left="105" w:leftChars="50" w:right="105" w:rightChars="50"/>
                    <w:jc w:val="left"/>
                    <w:rPr>
                      <w:color w:val="auto"/>
                      <w:szCs w:val="21"/>
                    </w:rPr>
                  </w:pPr>
                </w:p>
              </w:tc>
              <w:tc>
                <w:tcPr>
                  <w:tcW w:w="2688" w:type="dxa"/>
                  <w:tcBorders>
                    <w:tl2br w:val="nil"/>
                    <w:tr2bl w:val="nil"/>
                  </w:tcBorders>
                </w:tcPr>
                <w:p w14:paraId="6A03C179">
                  <w:pPr>
                    <w:pStyle w:val="109"/>
                    <w:spacing w:before="0"/>
                    <w:ind w:left="105" w:leftChars="50" w:right="105" w:rightChars="50"/>
                    <w:jc w:val="left"/>
                    <w:rPr>
                      <w:color w:val="auto"/>
                      <w:sz w:val="21"/>
                      <w:szCs w:val="21"/>
                    </w:rPr>
                  </w:pPr>
                  <w:r>
                    <w:rPr>
                      <w:color w:val="auto"/>
                      <w:sz w:val="21"/>
                      <w:szCs w:val="21"/>
                    </w:rPr>
                    <w:t>4</w:t>
                  </w:r>
                  <w:r>
                    <w:rPr>
                      <w:rFonts w:hAnsi="宋体"/>
                      <w:color w:val="auto"/>
                      <w:sz w:val="21"/>
                      <w:szCs w:val="21"/>
                    </w:rPr>
                    <w:t>、环境影响因素分析不全或者错误的；</w:t>
                  </w:r>
                </w:p>
              </w:tc>
              <w:tc>
                <w:tcPr>
                  <w:tcW w:w="2741" w:type="dxa"/>
                  <w:tcBorders>
                    <w:tl2br w:val="nil"/>
                    <w:tr2bl w:val="nil"/>
                  </w:tcBorders>
                  <w:vAlign w:val="center"/>
                </w:tcPr>
                <w:p w14:paraId="0C5DB457">
                  <w:pPr>
                    <w:pStyle w:val="109"/>
                    <w:spacing w:before="0"/>
                    <w:ind w:left="105" w:leftChars="50" w:right="105" w:rightChars="50"/>
                    <w:jc w:val="left"/>
                    <w:rPr>
                      <w:color w:val="auto"/>
                      <w:sz w:val="21"/>
                      <w:szCs w:val="21"/>
                    </w:rPr>
                  </w:pPr>
                  <w:r>
                    <w:rPr>
                      <w:rFonts w:hAnsi="宋体"/>
                      <w:color w:val="auto"/>
                      <w:sz w:val="21"/>
                      <w:szCs w:val="21"/>
                    </w:rPr>
                    <w:t>本项目环境影响因素分析全面、正确。</w:t>
                  </w:r>
                </w:p>
              </w:tc>
              <w:tc>
                <w:tcPr>
                  <w:tcW w:w="491" w:type="dxa"/>
                  <w:tcBorders>
                    <w:tl2br w:val="nil"/>
                    <w:tr2bl w:val="nil"/>
                  </w:tcBorders>
                  <w:vAlign w:val="center"/>
                </w:tcPr>
                <w:p w14:paraId="443EBF59">
                  <w:pPr>
                    <w:pStyle w:val="109"/>
                    <w:spacing w:before="0"/>
                    <w:rPr>
                      <w:color w:val="auto"/>
                      <w:sz w:val="21"/>
                      <w:szCs w:val="21"/>
                    </w:rPr>
                  </w:pPr>
                  <w:r>
                    <w:rPr>
                      <w:rFonts w:hAnsi="宋体"/>
                      <w:color w:val="auto"/>
                      <w:sz w:val="21"/>
                      <w:szCs w:val="21"/>
                    </w:rPr>
                    <w:t>符合</w:t>
                  </w:r>
                </w:p>
              </w:tc>
            </w:tr>
            <w:tr w14:paraId="1E633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3023B0DB">
                  <w:pPr>
                    <w:pStyle w:val="109"/>
                    <w:spacing w:before="0"/>
                    <w:ind w:left="105" w:leftChars="50" w:right="105" w:rightChars="50"/>
                    <w:jc w:val="left"/>
                    <w:rPr>
                      <w:color w:val="auto"/>
                      <w:sz w:val="21"/>
                      <w:szCs w:val="21"/>
                    </w:rPr>
                  </w:pPr>
                </w:p>
              </w:tc>
              <w:tc>
                <w:tcPr>
                  <w:tcW w:w="2688" w:type="dxa"/>
                  <w:tcBorders>
                    <w:tl2br w:val="nil"/>
                    <w:tr2bl w:val="nil"/>
                  </w:tcBorders>
                </w:tcPr>
                <w:p w14:paraId="406D6F99">
                  <w:pPr>
                    <w:pStyle w:val="109"/>
                    <w:spacing w:before="0"/>
                    <w:ind w:left="105" w:leftChars="50" w:right="105" w:rightChars="50"/>
                    <w:jc w:val="left"/>
                    <w:rPr>
                      <w:color w:val="auto"/>
                      <w:sz w:val="21"/>
                      <w:szCs w:val="21"/>
                    </w:rPr>
                  </w:pPr>
                  <w:r>
                    <w:rPr>
                      <w:color w:val="auto"/>
                      <w:sz w:val="21"/>
                      <w:szCs w:val="21"/>
                    </w:rPr>
                    <w:t>5</w:t>
                  </w:r>
                  <w:r>
                    <w:rPr>
                      <w:rFonts w:hAnsi="宋体"/>
                      <w:color w:val="auto"/>
                      <w:sz w:val="21"/>
                      <w:szCs w:val="21"/>
                    </w:rPr>
                    <w:t>、污染源源强核算内容不全，核算方法或者结果错误的；</w:t>
                  </w:r>
                </w:p>
              </w:tc>
              <w:tc>
                <w:tcPr>
                  <w:tcW w:w="2741" w:type="dxa"/>
                  <w:tcBorders>
                    <w:tl2br w:val="nil"/>
                    <w:tr2bl w:val="nil"/>
                  </w:tcBorders>
                  <w:vAlign w:val="center"/>
                </w:tcPr>
                <w:p w14:paraId="7EDD1A73">
                  <w:pPr>
                    <w:pStyle w:val="109"/>
                    <w:spacing w:before="0"/>
                    <w:ind w:left="105" w:leftChars="50" w:right="105" w:rightChars="50"/>
                    <w:jc w:val="left"/>
                    <w:rPr>
                      <w:color w:val="auto"/>
                      <w:sz w:val="21"/>
                      <w:szCs w:val="21"/>
                    </w:rPr>
                  </w:pPr>
                  <w:r>
                    <w:rPr>
                      <w:rFonts w:hAnsi="宋体"/>
                      <w:color w:val="auto"/>
                      <w:sz w:val="21"/>
                      <w:szCs w:val="21"/>
                    </w:rPr>
                    <w:t>本项目污染源强核算内容全面，核算方法正确。</w:t>
                  </w:r>
                </w:p>
              </w:tc>
              <w:tc>
                <w:tcPr>
                  <w:tcW w:w="491" w:type="dxa"/>
                  <w:tcBorders>
                    <w:tl2br w:val="nil"/>
                    <w:tr2bl w:val="nil"/>
                  </w:tcBorders>
                  <w:vAlign w:val="center"/>
                </w:tcPr>
                <w:p w14:paraId="6A86BEC3">
                  <w:pPr>
                    <w:pStyle w:val="109"/>
                    <w:spacing w:before="0"/>
                    <w:rPr>
                      <w:color w:val="auto"/>
                      <w:sz w:val="21"/>
                      <w:szCs w:val="21"/>
                    </w:rPr>
                  </w:pPr>
                  <w:r>
                    <w:rPr>
                      <w:rFonts w:hAnsi="宋体"/>
                      <w:color w:val="auto"/>
                      <w:sz w:val="21"/>
                      <w:szCs w:val="21"/>
                    </w:rPr>
                    <w:t>符合</w:t>
                  </w:r>
                </w:p>
              </w:tc>
            </w:tr>
            <w:tr w14:paraId="0554E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0695C773">
                  <w:pPr>
                    <w:pStyle w:val="109"/>
                    <w:spacing w:before="0"/>
                    <w:ind w:left="105" w:leftChars="50" w:right="105" w:rightChars="50"/>
                    <w:jc w:val="left"/>
                    <w:rPr>
                      <w:color w:val="auto"/>
                      <w:sz w:val="21"/>
                      <w:szCs w:val="21"/>
                    </w:rPr>
                  </w:pPr>
                </w:p>
              </w:tc>
              <w:tc>
                <w:tcPr>
                  <w:tcW w:w="2688" w:type="dxa"/>
                  <w:tcBorders>
                    <w:tl2br w:val="nil"/>
                    <w:tr2bl w:val="nil"/>
                  </w:tcBorders>
                  <w:vAlign w:val="center"/>
                </w:tcPr>
                <w:p w14:paraId="571C9CBD">
                  <w:pPr>
                    <w:pStyle w:val="109"/>
                    <w:spacing w:before="0"/>
                    <w:ind w:left="105" w:leftChars="50" w:right="105" w:rightChars="50"/>
                    <w:jc w:val="left"/>
                    <w:rPr>
                      <w:color w:val="auto"/>
                      <w:sz w:val="21"/>
                      <w:szCs w:val="21"/>
                    </w:rPr>
                  </w:pPr>
                  <w:r>
                    <w:rPr>
                      <w:color w:val="auto"/>
                      <w:sz w:val="21"/>
                      <w:szCs w:val="21"/>
                    </w:rPr>
                    <w:t>6</w:t>
                  </w:r>
                  <w:r>
                    <w:rPr>
                      <w:rFonts w:hAnsi="宋体"/>
                      <w:color w:val="auto"/>
                      <w:sz w:val="21"/>
                      <w:szCs w:val="21"/>
                    </w:rPr>
                    <w:t>、环境质量现状数据来源、监测因子、监测频次或者布点等不符合相关规定，或者所引用数据无效的；</w:t>
                  </w:r>
                </w:p>
              </w:tc>
              <w:tc>
                <w:tcPr>
                  <w:tcW w:w="2741" w:type="dxa"/>
                  <w:tcBorders>
                    <w:tl2br w:val="nil"/>
                    <w:tr2bl w:val="nil"/>
                  </w:tcBorders>
                  <w:vAlign w:val="center"/>
                </w:tcPr>
                <w:p w14:paraId="65AD1907">
                  <w:pPr>
                    <w:pStyle w:val="109"/>
                    <w:spacing w:before="0"/>
                    <w:ind w:left="105" w:leftChars="50" w:right="105" w:rightChars="50"/>
                    <w:jc w:val="left"/>
                    <w:rPr>
                      <w:color w:val="auto"/>
                      <w:sz w:val="21"/>
                      <w:szCs w:val="21"/>
                    </w:rPr>
                  </w:pPr>
                  <w:r>
                    <w:rPr>
                      <w:rFonts w:hAnsi="宋体"/>
                      <w:color w:val="auto"/>
                      <w:sz w:val="21"/>
                      <w:szCs w:val="21"/>
                    </w:rPr>
                    <w:t>本项目环境质量现状数据来源、监测因子、监测频次和布点均符合相关规定，引用的数据有效。</w:t>
                  </w:r>
                </w:p>
              </w:tc>
              <w:tc>
                <w:tcPr>
                  <w:tcW w:w="491" w:type="dxa"/>
                  <w:tcBorders>
                    <w:tl2br w:val="nil"/>
                    <w:tr2bl w:val="nil"/>
                  </w:tcBorders>
                  <w:vAlign w:val="center"/>
                </w:tcPr>
                <w:p w14:paraId="2E578561">
                  <w:pPr>
                    <w:pStyle w:val="109"/>
                    <w:spacing w:before="0"/>
                    <w:rPr>
                      <w:color w:val="auto"/>
                      <w:sz w:val="21"/>
                      <w:szCs w:val="21"/>
                    </w:rPr>
                  </w:pPr>
                  <w:r>
                    <w:rPr>
                      <w:rFonts w:hAnsi="宋体"/>
                      <w:color w:val="auto"/>
                      <w:sz w:val="21"/>
                      <w:szCs w:val="21"/>
                    </w:rPr>
                    <w:t>符合</w:t>
                  </w:r>
                </w:p>
              </w:tc>
            </w:tr>
            <w:tr w14:paraId="5F33B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18C4273B">
                  <w:pPr>
                    <w:pStyle w:val="109"/>
                    <w:spacing w:before="0"/>
                    <w:ind w:left="105" w:leftChars="50" w:right="105" w:rightChars="50"/>
                    <w:jc w:val="left"/>
                    <w:rPr>
                      <w:color w:val="auto"/>
                      <w:sz w:val="21"/>
                      <w:szCs w:val="21"/>
                    </w:rPr>
                  </w:pPr>
                </w:p>
              </w:tc>
              <w:tc>
                <w:tcPr>
                  <w:tcW w:w="2688" w:type="dxa"/>
                  <w:tcBorders>
                    <w:tl2br w:val="nil"/>
                    <w:tr2bl w:val="nil"/>
                  </w:tcBorders>
                  <w:vAlign w:val="center"/>
                </w:tcPr>
                <w:p w14:paraId="4FE0DFE3">
                  <w:pPr>
                    <w:pStyle w:val="109"/>
                    <w:spacing w:before="0"/>
                    <w:ind w:left="105" w:leftChars="50" w:right="105" w:rightChars="50"/>
                    <w:jc w:val="left"/>
                    <w:rPr>
                      <w:color w:val="auto"/>
                      <w:sz w:val="21"/>
                      <w:szCs w:val="21"/>
                    </w:rPr>
                  </w:pPr>
                  <w:r>
                    <w:rPr>
                      <w:color w:val="auto"/>
                      <w:sz w:val="21"/>
                      <w:szCs w:val="21"/>
                    </w:rPr>
                    <w:t>7</w:t>
                  </w:r>
                  <w:r>
                    <w:rPr>
                      <w:rFonts w:hAnsi="宋体"/>
                      <w:color w:val="auto"/>
                      <w:sz w:val="21"/>
                      <w:szCs w:val="21"/>
                    </w:rPr>
                    <w:t>、遗漏环境保护目标，或者环境保护目标与建设项目位置关系描述不明确或者错误的；</w:t>
                  </w:r>
                </w:p>
              </w:tc>
              <w:tc>
                <w:tcPr>
                  <w:tcW w:w="2741" w:type="dxa"/>
                  <w:tcBorders>
                    <w:tl2br w:val="nil"/>
                    <w:tr2bl w:val="nil"/>
                  </w:tcBorders>
                  <w:vAlign w:val="center"/>
                </w:tcPr>
                <w:p w14:paraId="1780CFB5">
                  <w:pPr>
                    <w:pStyle w:val="109"/>
                    <w:spacing w:before="0"/>
                    <w:ind w:left="105" w:leftChars="50" w:right="105" w:rightChars="50"/>
                    <w:jc w:val="left"/>
                    <w:rPr>
                      <w:color w:val="auto"/>
                      <w:sz w:val="21"/>
                      <w:szCs w:val="21"/>
                    </w:rPr>
                  </w:pPr>
                  <w:r>
                    <w:rPr>
                      <w:rFonts w:hAnsi="宋体"/>
                      <w:color w:val="auto"/>
                      <w:sz w:val="21"/>
                      <w:szCs w:val="21"/>
                    </w:rPr>
                    <w:t>项目未遗漏评价范围内的环境保护保护目标，且环境保护目标与建设项目位置关系明确。</w:t>
                  </w:r>
                </w:p>
              </w:tc>
              <w:tc>
                <w:tcPr>
                  <w:tcW w:w="491" w:type="dxa"/>
                  <w:tcBorders>
                    <w:tl2br w:val="nil"/>
                    <w:tr2bl w:val="nil"/>
                  </w:tcBorders>
                  <w:vAlign w:val="center"/>
                </w:tcPr>
                <w:p w14:paraId="0C37A92B">
                  <w:pPr>
                    <w:pStyle w:val="109"/>
                    <w:spacing w:before="0"/>
                    <w:rPr>
                      <w:color w:val="auto"/>
                      <w:sz w:val="21"/>
                      <w:szCs w:val="21"/>
                    </w:rPr>
                  </w:pPr>
                  <w:r>
                    <w:rPr>
                      <w:rFonts w:hAnsi="宋体"/>
                      <w:color w:val="auto"/>
                      <w:sz w:val="21"/>
                      <w:szCs w:val="21"/>
                    </w:rPr>
                    <w:t>符合</w:t>
                  </w:r>
                </w:p>
              </w:tc>
            </w:tr>
            <w:tr w14:paraId="5F76E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1965D868">
                  <w:pPr>
                    <w:pStyle w:val="109"/>
                    <w:spacing w:before="0"/>
                    <w:ind w:left="422" w:leftChars="50" w:right="105" w:rightChars="50" w:hanging="317"/>
                    <w:jc w:val="left"/>
                    <w:rPr>
                      <w:color w:val="auto"/>
                      <w:sz w:val="21"/>
                      <w:szCs w:val="21"/>
                    </w:rPr>
                  </w:pPr>
                </w:p>
              </w:tc>
              <w:tc>
                <w:tcPr>
                  <w:tcW w:w="2688" w:type="dxa"/>
                  <w:tcBorders>
                    <w:tl2br w:val="nil"/>
                    <w:tr2bl w:val="nil"/>
                  </w:tcBorders>
                </w:tcPr>
                <w:p w14:paraId="4AAE99A4">
                  <w:pPr>
                    <w:pStyle w:val="109"/>
                    <w:spacing w:before="0"/>
                    <w:ind w:left="105" w:leftChars="50" w:right="105" w:rightChars="50"/>
                    <w:jc w:val="left"/>
                    <w:rPr>
                      <w:color w:val="auto"/>
                      <w:sz w:val="21"/>
                      <w:szCs w:val="21"/>
                    </w:rPr>
                  </w:pPr>
                  <w:r>
                    <w:rPr>
                      <w:color w:val="auto"/>
                      <w:sz w:val="21"/>
                      <w:szCs w:val="21"/>
                    </w:rPr>
                    <w:t>8</w:t>
                  </w:r>
                  <w:r>
                    <w:rPr>
                      <w:rFonts w:hAnsi="宋体"/>
                      <w:color w:val="auto"/>
                      <w:spacing w:val="-7"/>
                      <w:sz w:val="21"/>
                      <w:szCs w:val="21"/>
                    </w:rPr>
                    <w:t>、环境影响评价范围内的相</w:t>
                  </w:r>
                  <w:r>
                    <w:rPr>
                      <w:rFonts w:hAnsi="宋体"/>
                      <w:color w:val="auto"/>
                      <w:sz w:val="21"/>
                      <w:szCs w:val="21"/>
                    </w:rPr>
                    <w:t>关环境要素现状调查与评价、区域污染源调查内容不全或者结果错误的；</w:t>
                  </w:r>
                </w:p>
              </w:tc>
              <w:tc>
                <w:tcPr>
                  <w:tcW w:w="2741" w:type="dxa"/>
                  <w:tcBorders>
                    <w:tl2br w:val="nil"/>
                    <w:tr2bl w:val="nil"/>
                  </w:tcBorders>
                  <w:vAlign w:val="center"/>
                </w:tcPr>
                <w:p w14:paraId="356F5058">
                  <w:pPr>
                    <w:pStyle w:val="109"/>
                    <w:spacing w:before="0"/>
                    <w:ind w:left="105" w:leftChars="50" w:right="105" w:rightChars="50"/>
                    <w:jc w:val="left"/>
                    <w:rPr>
                      <w:color w:val="auto"/>
                      <w:sz w:val="21"/>
                      <w:szCs w:val="21"/>
                    </w:rPr>
                  </w:pPr>
                  <w:r>
                    <w:rPr>
                      <w:rFonts w:hAnsi="宋体"/>
                      <w:color w:val="auto"/>
                      <w:sz w:val="21"/>
                      <w:szCs w:val="21"/>
                    </w:rPr>
                    <w:t>本项目已对环境影响评价范围内的相关环境要素现状进行调查和评级，内容全面、真实。</w:t>
                  </w:r>
                </w:p>
              </w:tc>
              <w:tc>
                <w:tcPr>
                  <w:tcW w:w="491" w:type="dxa"/>
                  <w:tcBorders>
                    <w:tl2br w:val="nil"/>
                    <w:tr2bl w:val="nil"/>
                  </w:tcBorders>
                  <w:vAlign w:val="center"/>
                </w:tcPr>
                <w:p w14:paraId="13B65347">
                  <w:pPr>
                    <w:pStyle w:val="109"/>
                    <w:spacing w:before="0"/>
                    <w:rPr>
                      <w:color w:val="auto"/>
                      <w:sz w:val="21"/>
                      <w:szCs w:val="21"/>
                    </w:rPr>
                  </w:pPr>
                  <w:r>
                    <w:rPr>
                      <w:rFonts w:hAnsi="宋体"/>
                      <w:color w:val="auto"/>
                      <w:sz w:val="21"/>
                      <w:szCs w:val="21"/>
                    </w:rPr>
                    <w:t>符合</w:t>
                  </w:r>
                </w:p>
              </w:tc>
            </w:tr>
            <w:tr w14:paraId="4C6AC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74F4C93D">
                  <w:pPr>
                    <w:pStyle w:val="109"/>
                    <w:spacing w:before="0"/>
                    <w:ind w:left="105" w:leftChars="50" w:right="105" w:rightChars="50"/>
                    <w:jc w:val="left"/>
                    <w:rPr>
                      <w:color w:val="auto"/>
                      <w:sz w:val="21"/>
                      <w:szCs w:val="21"/>
                    </w:rPr>
                  </w:pPr>
                </w:p>
              </w:tc>
              <w:tc>
                <w:tcPr>
                  <w:tcW w:w="2688" w:type="dxa"/>
                  <w:tcBorders>
                    <w:tl2br w:val="nil"/>
                    <w:tr2bl w:val="nil"/>
                  </w:tcBorders>
                  <w:vAlign w:val="center"/>
                </w:tcPr>
                <w:p w14:paraId="505D94E9">
                  <w:pPr>
                    <w:pStyle w:val="109"/>
                    <w:spacing w:before="0"/>
                    <w:ind w:left="105" w:leftChars="50" w:right="105" w:rightChars="50"/>
                    <w:jc w:val="left"/>
                    <w:rPr>
                      <w:color w:val="auto"/>
                      <w:sz w:val="21"/>
                      <w:szCs w:val="21"/>
                    </w:rPr>
                  </w:pPr>
                  <w:r>
                    <w:rPr>
                      <w:color w:val="auto"/>
                      <w:sz w:val="21"/>
                      <w:szCs w:val="21"/>
                    </w:rPr>
                    <w:t>9</w:t>
                  </w:r>
                  <w:r>
                    <w:rPr>
                      <w:rFonts w:hAnsi="宋体"/>
                      <w:color w:val="auto"/>
                      <w:spacing w:val="-7"/>
                      <w:sz w:val="21"/>
                      <w:szCs w:val="21"/>
                    </w:rPr>
                    <w:t>、环境影响预测与评价方法</w:t>
                  </w:r>
                  <w:r>
                    <w:rPr>
                      <w:rFonts w:hAnsi="宋体"/>
                      <w:color w:val="auto"/>
                      <w:sz w:val="21"/>
                      <w:szCs w:val="21"/>
                    </w:rPr>
                    <w:t>或者结果错误，或者相关环境要素、环境风险预测与评价内容不全的；</w:t>
                  </w:r>
                </w:p>
              </w:tc>
              <w:tc>
                <w:tcPr>
                  <w:tcW w:w="2741" w:type="dxa"/>
                  <w:tcBorders>
                    <w:tl2br w:val="nil"/>
                    <w:tr2bl w:val="nil"/>
                  </w:tcBorders>
                  <w:vAlign w:val="center"/>
                </w:tcPr>
                <w:p w14:paraId="006CB0AB">
                  <w:pPr>
                    <w:pStyle w:val="109"/>
                    <w:spacing w:before="0"/>
                    <w:ind w:left="105" w:leftChars="50" w:right="105" w:rightChars="50"/>
                    <w:jc w:val="left"/>
                    <w:rPr>
                      <w:color w:val="auto"/>
                      <w:sz w:val="21"/>
                      <w:szCs w:val="21"/>
                    </w:rPr>
                  </w:pPr>
                  <w:r>
                    <w:rPr>
                      <w:rFonts w:hAnsi="宋体"/>
                      <w:color w:val="auto"/>
                      <w:sz w:val="21"/>
                      <w:szCs w:val="21"/>
                    </w:rPr>
                    <w:t>本项目环境影响分析评估严格按照相关技术规范要求进行。</w:t>
                  </w:r>
                </w:p>
              </w:tc>
              <w:tc>
                <w:tcPr>
                  <w:tcW w:w="491" w:type="dxa"/>
                  <w:tcBorders>
                    <w:tl2br w:val="nil"/>
                    <w:tr2bl w:val="nil"/>
                  </w:tcBorders>
                  <w:vAlign w:val="center"/>
                </w:tcPr>
                <w:p w14:paraId="07DB5205">
                  <w:pPr>
                    <w:pStyle w:val="109"/>
                    <w:spacing w:before="0"/>
                    <w:rPr>
                      <w:color w:val="auto"/>
                      <w:sz w:val="21"/>
                      <w:szCs w:val="21"/>
                    </w:rPr>
                  </w:pPr>
                  <w:r>
                    <w:rPr>
                      <w:rFonts w:hAnsi="宋体"/>
                      <w:color w:val="auto"/>
                      <w:sz w:val="21"/>
                      <w:szCs w:val="21"/>
                    </w:rPr>
                    <w:t>符合</w:t>
                  </w:r>
                </w:p>
              </w:tc>
            </w:tr>
            <w:tr w14:paraId="5806F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72E57B77">
                  <w:pPr>
                    <w:pStyle w:val="109"/>
                    <w:spacing w:before="0"/>
                    <w:ind w:left="105" w:leftChars="50" w:right="105" w:rightChars="50"/>
                    <w:jc w:val="left"/>
                    <w:rPr>
                      <w:color w:val="auto"/>
                      <w:sz w:val="21"/>
                      <w:szCs w:val="21"/>
                    </w:rPr>
                  </w:pPr>
                </w:p>
              </w:tc>
              <w:tc>
                <w:tcPr>
                  <w:tcW w:w="2688" w:type="dxa"/>
                  <w:tcBorders>
                    <w:tl2br w:val="nil"/>
                    <w:tr2bl w:val="nil"/>
                  </w:tcBorders>
                  <w:vAlign w:val="center"/>
                </w:tcPr>
                <w:p w14:paraId="095B7938">
                  <w:pPr>
                    <w:pStyle w:val="109"/>
                    <w:spacing w:before="0"/>
                    <w:ind w:left="105" w:leftChars="50" w:right="105" w:rightChars="50"/>
                    <w:jc w:val="left"/>
                    <w:rPr>
                      <w:color w:val="auto"/>
                      <w:sz w:val="21"/>
                      <w:szCs w:val="21"/>
                    </w:rPr>
                  </w:pPr>
                  <w:r>
                    <w:rPr>
                      <w:color w:val="auto"/>
                      <w:sz w:val="21"/>
                      <w:szCs w:val="21"/>
                    </w:rPr>
                    <w:t>10</w:t>
                  </w:r>
                  <w:r>
                    <w:rPr>
                      <w:rFonts w:hAnsi="宋体"/>
                      <w:color w:val="auto"/>
                      <w:sz w:val="21"/>
                      <w:szCs w:val="21"/>
                    </w:rPr>
                    <w:t>、未按相关规定提出环境保护措施，所提环境保护措施或者其可行性论证不符合相关规定的；</w:t>
                  </w:r>
                </w:p>
              </w:tc>
              <w:tc>
                <w:tcPr>
                  <w:tcW w:w="2741" w:type="dxa"/>
                  <w:tcBorders>
                    <w:tl2br w:val="nil"/>
                    <w:tr2bl w:val="nil"/>
                  </w:tcBorders>
                  <w:vAlign w:val="center"/>
                </w:tcPr>
                <w:p w14:paraId="341AECCE">
                  <w:pPr>
                    <w:pStyle w:val="109"/>
                    <w:spacing w:before="0"/>
                    <w:ind w:left="105" w:leftChars="50" w:right="105" w:rightChars="50"/>
                    <w:jc w:val="left"/>
                    <w:rPr>
                      <w:color w:val="auto"/>
                      <w:sz w:val="21"/>
                      <w:szCs w:val="21"/>
                    </w:rPr>
                  </w:pPr>
                  <w:r>
                    <w:rPr>
                      <w:rFonts w:hAnsi="宋体"/>
                      <w:color w:val="auto"/>
                      <w:sz w:val="21"/>
                      <w:szCs w:val="21"/>
                    </w:rPr>
                    <w:t>针对本项目各类污染源，本项目均采取了有效的环境保护设施，各类污染物可稳定达标排放，所提出的保护措施均为可行技术，符合相关规定。</w:t>
                  </w:r>
                </w:p>
              </w:tc>
              <w:tc>
                <w:tcPr>
                  <w:tcW w:w="491" w:type="dxa"/>
                  <w:tcBorders>
                    <w:tl2br w:val="nil"/>
                    <w:tr2bl w:val="nil"/>
                  </w:tcBorders>
                  <w:vAlign w:val="center"/>
                </w:tcPr>
                <w:p w14:paraId="67C9182F">
                  <w:pPr>
                    <w:pStyle w:val="109"/>
                    <w:spacing w:before="0"/>
                    <w:rPr>
                      <w:color w:val="auto"/>
                      <w:sz w:val="21"/>
                      <w:szCs w:val="21"/>
                    </w:rPr>
                  </w:pPr>
                  <w:r>
                    <w:rPr>
                      <w:rFonts w:hAnsi="宋体"/>
                      <w:color w:val="auto"/>
                      <w:sz w:val="21"/>
                      <w:szCs w:val="21"/>
                    </w:rPr>
                    <w:t>符合</w:t>
                  </w:r>
                </w:p>
              </w:tc>
            </w:tr>
            <w:tr w14:paraId="7A316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restart"/>
                  <w:tcBorders>
                    <w:tl2br w:val="nil"/>
                    <w:tr2bl w:val="nil"/>
                  </w:tcBorders>
                  <w:vAlign w:val="center"/>
                </w:tcPr>
                <w:p w14:paraId="4F8831BA">
                  <w:pPr>
                    <w:pStyle w:val="109"/>
                    <w:spacing w:before="0"/>
                    <w:ind w:left="105" w:leftChars="50" w:right="105" w:rightChars="50"/>
                    <w:jc w:val="left"/>
                    <w:rPr>
                      <w:color w:val="auto"/>
                      <w:sz w:val="21"/>
                      <w:szCs w:val="21"/>
                    </w:rPr>
                  </w:pPr>
                  <w:r>
                    <w:rPr>
                      <w:rFonts w:hAnsi="宋体"/>
                      <w:color w:val="auto"/>
                      <w:sz w:val="21"/>
                      <w:szCs w:val="21"/>
                    </w:rPr>
                    <w:t>第二十七条、在监督检查过程中发现环境影响报告书（表）存在下列严重质量问题之一的，由市</w:t>
                  </w:r>
                </w:p>
                <w:p w14:paraId="543C84B2">
                  <w:pPr>
                    <w:pStyle w:val="109"/>
                    <w:spacing w:before="0"/>
                    <w:ind w:left="105" w:leftChars="50" w:right="105" w:rightChars="50"/>
                    <w:jc w:val="left"/>
                    <w:rPr>
                      <w:color w:val="auto"/>
                      <w:sz w:val="21"/>
                      <w:szCs w:val="21"/>
                    </w:rPr>
                  </w:pPr>
                  <w:r>
                    <w:rPr>
                      <w:rFonts w:hAnsi="宋体"/>
                      <w:color w:val="auto"/>
                      <w:sz w:val="21"/>
                      <w:szCs w:val="21"/>
                    </w:rPr>
                    <w:t>级以上生态环境主管部门依</w:t>
                  </w:r>
                </w:p>
                <w:p w14:paraId="64C46D7A">
                  <w:pPr>
                    <w:pStyle w:val="109"/>
                    <w:spacing w:before="0"/>
                    <w:ind w:left="105" w:leftChars="50" w:right="105" w:rightChars="50"/>
                    <w:jc w:val="left"/>
                    <w:rPr>
                      <w:color w:val="auto"/>
                      <w:sz w:val="21"/>
                      <w:szCs w:val="21"/>
                    </w:rPr>
                  </w:pPr>
                  <w:r>
                    <w:rPr>
                      <w:rFonts w:hAnsi="宋体"/>
                      <w:color w:val="auto"/>
                      <w:sz w:val="21"/>
                      <w:szCs w:val="21"/>
                    </w:rPr>
                    <w:t>照《中华人民共和国环境影响评价法》第三十二条的规定，对建设单位及其相关人员、技术单位、编制人员</w:t>
                  </w:r>
                </w:p>
                <w:p w14:paraId="56B20FFB">
                  <w:pPr>
                    <w:pStyle w:val="109"/>
                    <w:spacing w:before="0"/>
                    <w:ind w:left="211" w:leftChars="50" w:right="105" w:rightChars="50" w:hanging="106"/>
                    <w:jc w:val="left"/>
                    <w:rPr>
                      <w:color w:val="auto"/>
                      <w:sz w:val="21"/>
                      <w:szCs w:val="21"/>
                    </w:rPr>
                  </w:pPr>
                  <w:r>
                    <w:rPr>
                      <w:rFonts w:hAnsi="宋体"/>
                      <w:color w:val="auto"/>
                      <w:sz w:val="21"/>
                      <w:szCs w:val="21"/>
                    </w:rPr>
                    <w:t>予以处罚</w:t>
                  </w:r>
                </w:p>
              </w:tc>
              <w:tc>
                <w:tcPr>
                  <w:tcW w:w="2688" w:type="dxa"/>
                  <w:tcBorders>
                    <w:tl2br w:val="nil"/>
                    <w:tr2bl w:val="nil"/>
                  </w:tcBorders>
                </w:tcPr>
                <w:p w14:paraId="79C746DF">
                  <w:pPr>
                    <w:pStyle w:val="109"/>
                    <w:spacing w:before="0"/>
                    <w:ind w:left="105" w:leftChars="50" w:right="105" w:rightChars="50"/>
                    <w:jc w:val="left"/>
                    <w:rPr>
                      <w:color w:val="auto"/>
                      <w:sz w:val="21"/>
                      <w:szCs w:val="21"/>
                    </w:rPr>
                  </w:pPr>
                  <w:r>
                    <w:rPr>
                      <w:color w:val="auto"/>
                      <w:sz w:val="21"/>
                      <w:szCs w:val="21"/>
                    </w:rPr>
                    <w:t>1</w:t>
                  </w:r>
                  <w:r>
                    <w:rPr>
                      <w:rFonts w:hAnsi="宋体"/>
                      <w:color w:val="auto"/>
                      <w:spacing w:val="-6"/>
                      <w:sz w:val="21"/>
                      <w:szCs w:val="21"/>
                    </w:rPr>
                    <w:t>、建设项目概况中的建设地</w:t>
                  </w:r>
                  <w:r>
                    <w:rPr>
                      <w:rFonts w:hAnsi="宋体"/>
                      <w:color w:val="auto"/>
                      <w:spacing w:val="-7"/>
                      <w:sz w:val="21"/>
                      <w:szCs w:val="21"/>
                    </w:rPr>
                    <w:t>点、主体工程及其生产工艺，</w:t>
                  </w:r>
                  <w:r>
                    <w:rPr>
                      <w:rFonts w:hAnsi="宋体"/>
                      <w:color w:val="auto"/>
                      <w:sz w:val="21"/>
                      <w:szCs w:val="21"/>
                    </w:rPr>
                    <w:t>或者改扩建和技术改造项目的现有工程基本情况、污染物排放及达标情况等描述不全或者错误的；</w:t>
                  </w:r>
                </w:p>
              </w:tc>
              <w:tc>
                <w:tcPr>
                  <w:tcW w:w="2741" w:type="dxa"/>
                  <w:tcBorders>
                    <w:tl2br w:val="nil"/>
                    <w:tr2bl w:val="nil"/>
                  </w:tcBorders>
                  <w:vAlign w:val="center"/>
                </w:tcPr>
                <w:p w14:paraId="611E3B9D">
                  <w:pPr>
                    <w:pStyle w:val="109"/>
                    <w:spacing w:before="0"/>
                    <w:ind w:left="105" w:leftChars="50" w:right="105" w:rightChars="50"/>
                    <w:jc w:val="left"/>
                    <w:rPr>
                      <w:color w:val="auto"/>
                      <w:sz w:val="21"/>
                      <w:szCs w:val="21"/>
                    </w:rPr>
                  </w:pPr>
                  <w:r>
                    <w:rPr>
                      <w:rFonts w:hAnsi="宋体"/>
                      <w:color w:val="auto"/>
                      <w:sz w:val="21"/>
                      <w:szCs w:val="21"/>
                    </w:rPr>
                    <w:t>本项目为</w:t>
                  </w:r>
                  <w:r>
                    <w:rPr>
                      <w:rFonts w:hint="eastAsia" w:hAnsi="宋体"/>
                      <w:color w:val="auto"/>
                      <w:sz w:val="21"/>
                      <w:szCs w:val="21"/>
                      <w:lang w:eastAsia="zh-CN"/>
                    </w:rPr>
                    <w:t>迁</w:t>
                  </w:r>
                  <w:r>
                    <w:rPr>
                      <w:rFonts w:hint="eastAsia" w:hAnsi="宋体"/>
                      <w:color w:val="auto"/>
                      <w:sz w:val="21"/>
                      <w:szCs w:val="21"/>
                    </w:rPr>
                    <w:t>建</w:t>
                  </w:r>
                  <w:r>
                    <w:rPr>
                      <w:rFonts w:hAnsi="宋体"/>
                      <w:color w:val="auto"/>
                      <w:sz w:val="21"/>
                      <w:szCs w:val="21"/>
                    </w:rPr>
                    <w:t>项目，建设项目中的建设地点、主体工程及其生产工艺不存在描述不全等情况。</w:t>
                  </w:r>
                </w:p>
              </w:tc>
              <w:tc>
                <w:tcPr>
                  <w:tcW w:w="491" w:type="dxa"/>
                  <w:tcBorders>
                    <w:tl2br w:val="nil"/>
                    <w:tr2bl w:val="nil"/>
                  </w:tcBorders>
                  <w:vAlign w:val="center"/>
                </w:tcPr>
                <w:p w14:paraId="409EFE40">
                  <w:pPr>
                    <w:pStyle w:val="109"/>
                    <w:spacing w:before="0"/>
                    <w:rPr>
                      <w:color w:val="auto"/>
                      <w:sz w:val="21"/>
                      <w:szCs w:val="21"/>
                    </w:rPr>
                  </w:pPr>
                  <w:r>
                    <w:rPr>
                      <w:rFonts w:hAnsi="宋体"/>
                      <w:color w:val="auto"/>
                      <w:sz w:val="21"/>
                      <w:szCs w:val="21"/>
                    </w:rPr>
                    <w:t>符合</w:t>
                  </w:r>
                </w:p>
              </w:tc>
            </w:tr>
            <w:tr w14:paraId="52991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0C2C707C">
                  <w:pPr>
                    <w:pStyle w:val="109"/>
                    <w:spacing w:before="0"/>
                    <w:ind w:left="105" w:leftChars="50" w:right="105" w:rightChars="50"/>
                    <w:jc w:val="left"/>
                    <w:rPr>
                      <w:color w:val="auto"/>
                      <w:sz w:val="21"/>
                      <w:szCs w:val="21"/>
                    </w:rPr>
                  </w:pPr>
                </w:p>
              </w:tc>
              <w:tc>
                <w:tcPr>
                  <w:tcW w:w="2688" w:type="dxa"/>
                  <w:tcBorders>
                    <w:tl2br w:val="nil"/>
                    <w:tr2bl w:val="nil"/>
                  </w:tcBorders>
                  <w:vAlign w:val="center"/>
                </w:tcPr>
                <w:p w14:paraId="2AB171CA">
                  <w:pPr>
                    <w:pStyle w:val="109"/>
                    <w:spacing w:before="0"/>
                    <w:ind w:left="105" w:leftChars="50" w:right="105" w:rightChars="50"/>
                    <w:jc w:val="left"/>
                    <w:rPr>
                      <w:color w:val="auto"/>
                      <w:sz w:val="21"/>
                      <w:szCs w:val="21"/>
                    </w:rPr>
                  </w:pPr>
                  <w:r>
                    <w:rPr>
                      <w:color w:val="auto"/>
                      <w:sz w:val="21"/>
                      <w:szCs w:val="21"/>
                    </w:rPr>
                    <w:t>2</w:t>
                  </w:r>
                  <w:r>
                    <w:rPr>
                      <w:rFonts w:hAnsi="宋体"/>
                      <w:color w:val="auto"/>
                      <w:sz w:val="21"/>
                      <w:szCs w:val="21"/>
                    </w:rPr>
                    <w:t>、遗漏自然保护区、饮用水水源保护区或者以居住、医疗卫生、文化教育为主要功能的区域等环境保护目标的；</w:t>
                  </w:r>
                </w:p>
              </w:tc>
              <w:tc>
                <w:tcPr>
                  <w:tcW w:w="2741" w:type="dxa"/>
                  <w:tcBorders>
                    <w:tl2br w:val="nil"/>
                    <w:tr2bl w:val="nil"/>
                  </w:tcBorders>
                  <w:vAlign w:val="center"/>
                </w:tcPr>
                <w:p w14:paraId="4BE34BA9">
                  <w:pPr>
                    <w:pStyle w:val="109"/>
                    <w:spacing w:before="0"/>
                    <w:ind w:left="105" w:leftChars="50" w:right="105" w:rightChars="50"/>
                    <w:jc w:val="left"/>
                    <w:rPr>
                      <w:color w:val="auto"/>
                      <w:sz w:val="21"/>
                      <w:szCs w:val="21"/>
                    </w:rPr>
                  </w:pPr>
                  <w:r>
                    <w:rPr>
                      <w:rFonts w:hAnsi="宋体"/>
                      <w:color w:val="auto"/>
                      <w:sz w:val="21"/>
                      <w:szCs w:val="21"/>
                    </w:rPr>
                    <w:t>本项目位于</w:t>
                  </w:r>
                  <w:r>
                    <w:rPr>
                      <w:rFonts w:hint="eastAsia" w:hAnsi="宋体"/>
                      <w:color w:val="auto"/>
                      <w:sz w:val="21"/>
                      <w:szCs w:val="21"/>
                    </w:rPr>
                    <w:t>白水湾工业园区</w:t>
                  </w:r>
                  <w:r>
                    <w:rPr>
                      <w:rFonts w:hAnsi="宋体"/>
                      <w:color w:val="auto"/>
                      <w:sz w:val="21"/>
                      <w:szCs w:val="21"/>
                    </w:rPr>
                    <w:t>，不涉及自然保护区、饮用水水源保护区和以居住、医疗卫生、文化教育为主要功能的区域等环境保护目标。</w:t>
                  </w:r>
                </w:p>
              </w:tc>
              <w:tc>
                <w:tcPr>
                  <w:tcW w:w="491" w:type="dxa"/>
                  <w:tcBorders>
                    <w:tl2br w:val="nil"/>
                    <w:tr2bl w:val="nil"/>
                  </w:tcBorders>
                  <w:vAlign w:val="center"/>
                </w:tcPr>
                <w:p w14:paraId="21CBB250">
                  <w:pPr>
                    <w:pStyle w:val="109"/>
                    <w:spacing w:before="0"/>
                    <w:rPr>
                      <w:color w:val="auto"/>
                      <w:sz w:val="21"/>
                      <w:szCs w:val="21"/>
                    </w:rPr>
                  </w:pPr>
                  <w:r>
                    <w:rPr>
                      <w:rFonts w:hAnsi="宋体"/>
                      <w:color w:val="auto"/>
                      <w:sz w:val="21"/>
                      <w:szCs w:val="21"/>
                    </w:rPr>
                    <w:t>符合</w:t>
                  </w:r>
                </w:p>
              </w:tc>
            </w:tr>
            <w:tr w14:paraId="736BE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7BE85AEC">
                  <w:pPr>
                    <w:pStyle w:val="109"/>
                    <w:spacing w:before="0"/>
                    <w:ind w:left="105" w:leftChars="50" w:right="105" w:rightChars="50"/>
                    <w:jc w:val="left"/>
                    <w:rPr>
                      <w:color w:val="auto"/>
                      <w:sz w:val="21"/>
                      <w:szCs w:val="21"/>
                    </w:rPr>
                  </w:pPr>
                </w:p>
              </w:tc>
              <w:tc>
                <w:tcPr>
                  <w:tcW w:w="2688" w:type="dxa"/>
                  <w:tcBorders>
                    <w:tl2br w:val="nil"/>
                    <w:tr2bl w:val="nil"/>
                  </w:tcBorders>
                </w:tcPr>
                <w:p w14:paraId="2642C063">
                  <w:pPr>
                    <w:pStyle w:val="109"/>
                    <w:spacing w:before="0"/>
                    <w:ind w:left="105" w:leftChars="50" w:right="105" w:rightChars="50"/>
                    <w:jc w:val="left"/>
                    <w:rPr>
                      <w:color w:val="auto"/>
                      <w:sz w:val="21"/>
                      <w:szCs w:val="21"/>
                    </w:rPr>
                  </w:pPr>
                  <w:r>
                    <w:rPr>
                      <w:color w:val="auto"/>
                      <w:sz w:val="21"/>
                      <w:szCs w:val="21"/>
                    </w:rPr>
                    <w:t>3</w:t>
                  </w:r>
                  <w:r>
                    <w:rPr>
                      <w:rFonts w:hAnsi="宋体"/>
                      <w:color w:val="auto"/>
                      <w:spacing w:val="-6"/>
                      <w:sz w:val="21"/>
                      <w:szCs w:val="21"/>
                    </w:rPr>
                    <w:t>、未开展环境影响评价范围内的相关环境要素现状调查</w:t>
                  </w:r>
                  <w:r>
                    <w:rPr>
                      <w:rFonts w:hAnsi="宋体"/>
                      <w:color w:val="auto"/>
                      <w:spacing w:val="-8"/>
                      <w:sz w:val="21"/>
                      <w:szCs w:val="21"/>
                    </w:rPr>
                    <w:t>与评价，或者编造相关内容、</w:t>
                  </w:r>
                  <w:r>
                    <w:rPr>
                      <w:rFonts w:hAnsi="宋体"/>
                      <w:color w:val="auto"/>
                      <w:sz w:val="21"/>
                      <w:szCs w:val="21"/>
                    </w:rPr>
                    <w:t>结果的；</w:t>
                  </w:r>
                </w:p>
              </w:tc>
              <w:tc>
                <w:tcPr>
                  <w:tcW w:w="2741" w:type="dxa"/>
                  <w:tcBorders>
                    <w:tl2br w:val="nil"/>
                    <w:tr2bl w:val="nil"/>
                  </w:tcBorders>
                  <w:vAlign w:val="center"/>
                </w:tcPr>
                <w:p w14:paraId="609A263A">
                  <w:pPr>
                    <w:pStyle w:val="109"/>
                    <w:spacing w:before="0"/>
                    <w:ind w:left="105" w:leftChars="50" w:right="105" w:rightChars="50"/>
                    <w:jc w:val="left"/>
                    <w:rPr>
                      <w:color w:val="auto"/>
                      <w:sz w:val="21"/>
                      <w:szCs w:val="21"/>
                    </w:rPr>
                  </w:pPr>
                  <w:r>
                    <w:rPr>
                      <w:rFonts w:hAnsi="宋体"/>
                      <w:color w:val="auto"/>
                      <w:sz w:val="21"/>
                      <w:szCs w:val="21"/>
                    </w:rPr>
                    <w:t>本项目环境影响评价范围内相关环境要素现状调查与评价，引用安吉县环境空气监测数据和安吉</w:t>
                  </w:r>
                  <w:r>
                    <w:rPr>
                      <w:rFonts w:hint="eastAsia" w:hAnsi="宋体"/>
                      <w:color w:val="auto"/>
                      <w:sz w:val="21"/>
                      <w:szCs w:val="21"/>
                    </w:rPr>
                    <w:t>生态</w:t>
                  </w:r>
                  <w:r>
                    <w:rPr>
                      <w:rFonts w:hAnsi="宋体"/>
                      <w:color w:val="auto"/>
                      <w:sz w:val="21"/>
                      <w:szCs w:val="21"/>
                    </w:rPr>
                    <w:t>环境监测站在柴潭埠断面的监测数据。</w:t>
                  </w:r>
                </w:p>
              </w:tc>
              <w:tc>
                <w:tcPr>
                  <w:tcW w:w="491" w:type="dxa"/>
                  <w:tcBorders>
                    <w:tl2br w:val="nil"/>
                    <w:tr2bl w:val="nil"/>
                  </w:tcBorders>
                  <w:vAlign w:val="center"/>
                </w:tcPr>
                <w:p w14:paraId="7C2A21CB">
                  <w:pPr>
                    <w:pStyle w:val="109"/>
                    <w:spacing w:before="0"/>
                    <w:rPr>
                      <w:color w:val="auto"/>
                      <w:sz w:val="21"/>
                      <w:szCs w:val="21"/>
                    </w:rPr>
                  </w:pPr>
                  <w:r>
                    <w:rPr>
                      <w:rFonts w:hAnsi="宋体"/>
                      <w:color w:val="auto"/>
                      <w:sz w:val="21"/>
                      <w:szCs w:val="21"/>
                    </w:rPr>
                    <w:t>符合</w:t>
                  </w:r>
                </w:p>
              </w:tc>
            </w:tr>
            <w:tr w14:paraId="2EF1B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34EAA03C">
                  <w:pPr>
                    <w:pStyle w:val="109"/>
                    <w:spacing w:before="0"/>
                    <w:ind w:left="105" w:leftChars="50" w:right="105" w:rightChars="50"/>
                    <w:jc w:val="left"/>
                    <w:rPr>
                      <w:color w:val="auto"/>
                      <w:sz w:val="21"/>
                      <w:szCs w:val="21"/>
                    </w:rPr>
                  </w:pPr>
                </w:p>
              </w:tc>
              <w:tc>
                <w:tcPr>
                  <w:tcW w:w="2688" w:type="dxa"/>
                  <w:tcBorders>
                    <w:tl2br w:val="nil"/>
                    <w:tr2bl w:val="nil"/>
                  </w:tcBorders>
                </w:tcPr>
                <w:p w14:paraId="44C07A4F">
                  <w:pPr>
                    <w:pStyle w:val="109"/>
                    <w:spacing w:before="0"/>
                    <w:ind w:left="105" w:leftChars="50" w:right="105" w:rightChars="50"/>
                    <w:jc w:val="left"/>
                    <w:rPr>
                      <w:color w:val="auto"/>
                      <w:sz w:val="21"/>
                      <w:szCs w:val="21"/>
                    </w:rPr>
                  </w:pPr>
                  <w:r>
                    <w:rPr>
                      <w:color w:val="auto"/>
                      <w:sz w:val="21"/>
                      <w:szCs w:val="21"/>
                    </w:rPr>
                    <w:t>4</w:t>
                  </w:r>
                  <w:r>
                    <w:rPr>
                      <w:rFonts w:hAnsi="宋体"/>
                      <w:color w:val="auto"/>
                      <w:sz w:val="21"/>
                      <w:szCs w:val="21"/>
                    </w:rPr>
                    <w:t>、未开展相关环境要素或者环境风险预测与评价，或者编造相关内容、结果的；</w:t>
                  </w:r>
                </w:p>
              </w:tc>
              <w:tc>
                <w:tcPr>
                  <w:tcW w:w="2741" w:type="dxa"/>
                  <w:tcBorders>
                    <w:tl2br w:val="nil"/>
                    <w:tr2bl w:val="nil"/>
                  </w:tcBorders>
                  <w:vAlign w:val="center"/>
                </w:tcPr>
                <w:p w14:paraId="0EC37015">
                  <w:pPr>
                    <w:pStyle w:val="109"/>
                    <w:spacing w:before="0"/>
                    <w:ind w:left="105" w:leftChars="50" w:right="105" w:rightChars="50"/>
                    <w:jc w:val="left"/>
                    <w:rPr>
                      <w:color w:val="auto"/>
                      <w:sz w:val="21"/>
                      <w:szCs w:val="21"/>
                    </w:rPr>
                  </w:pPr>
                  <w:r>
                    <w:rPr>
                      <w:rFonts w:hAnsi="宋体"/>
                      <w:color w:val="auto"/>
                      <w:sz w:val="21"/>
                      <w:szCs w:val="21"/>
                    </w:rPr>
                    <w:t>本项目环境影响分析评估严格按照相关技术规范要求进行，不存在编造相关内容、结果的情况。</w:t>
                  </w:r>
                </w:p>
              </w:tc>
              <w:tc>
                <w:tcPr>
                  <w:tcW w:w="491" w:type="dxa"/>
                  <w:tcBorders>
                    <w:tl2br w:val="nil"/>
                    <w:tr2bl w:val="nil"/>
                  </w:tcBorders>
                  <w:vAlign w:val="center"/>
                </w:tcPr>
                <w:p w14:paraId="2902744B">
                  <w:pPr>
                    <w:pStyle w:val="109"/>
                    <w:spacing w:before="0"/>
                    <w:rPr>
                      <w:color w:val="auto"/>
                      <w:sz w:val="21"/>
                      <w:szCs w:val="21"/>
                    </w:rPr>
                  </w:pPr>
                  <w:r>
                    <w:rPr>
                      <w:rFonts w:hAnsi="宋体"/>
                      <w:color w:val="auto"/>
                      <w:sz w:val="21"/>
                      <w:szCs w:val="21"/>
                    </w:rPr>
                    <w:t>符合</w:t>
                  </w:r>
                </w:p>
              </w:tc>
            </w:tr>
            <w:tr w14:paraId="634C3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06BB185F">
                  <w:pPr>
                    <w:pStyle w:val="109"/>
                    <w:spacing w:before="0"/>
                    <w:ind w:left="105" w:leftChars="50" w:right="105" w:rightChars="50"/>
                    <w:jc w:val="left"/>
                    <w:rPr>
                      <w:color w:val="auto"/>
                      <w:sz w:val="21"/>
                      <w:szCs w:val="21"/>
                    </w:rPr>
                  </w:pPr>
                </w:p>
              </w:tc>
              <w:tc>
                <w:tcPr>
                  <w:tcW w:w="2688" w:type="dxa"/>
                  <w:tcBorders>
                    <w:tl2br w:val="nil"/>
                    <w:tr2bl w:val="nil"/>
                  </w:tcBorders>
                  <w:vAlign w:val="center"/>
                </w:tcPr>
                <w:p w14:paraId="7CF8AB86">
                  <w:pPr>
                    <w:pStyle w:val="109"/>
                    <w:spacing w:before="0"/>
                    <w:ind w:left="105" w:leftChars="50" w:right="105" w:rightChars="50"/>
                    <w:jc w:val="left"/>
                    <w:rPr>
                      <w:color w:val="auto"/>
                      <w:sz w:val="21"/>
                      <w:szCs w:val="21"/>
                    </w:rPr>
                  </w:pPr>
                  <w:r>
                    <w:rPr>
                      <w:color w:val="auto"/>
                      <w:sz w:val="21"/>
                      <w:szCs w:val="21"/>
                    </w:rPr>
                    <w:t>5</w:t>
                  </w:r>
                  <w:r>
                    <w:rPr>
                      <w:rFonts w:hAnsi="宋体"/>
                      <w:color w:val="auto"/>
                      <w:spacing w:val="-7"/>
                      <w:sz w:val="21"/>
                      <w:szCs w:val="21"/>
                    </w:rPr>
                    <w:t>、所提环境保护措施无法确</w:t>
                  </w:r>
                  <w:r>
                    <w:rPr>
                      <w:rFonts w:hAnsi="宋体"/>
                      <w:color w:val="auto"/>
                      <w:sz w:val="21"/>
                      <w:szCs w:val="21"/>
                    </w:rPr>
                    <w:t>保污染物排放达到国家和地方排放标准或者有效预防和控制生态破坏，未针对建设</w:t>
                  </w:r>
                  <w:r>
                    <w:rPr>
                      <w:rFonts w:hAnsi="宋体"/>
                      <w:color w:val="auto"/>
                      <w:spacing w:val="-1"/>
                      <w:sz w:val="21"/>
                      <w:szCs w:val="21"/>
                    </w:rPr>
                    <w:t>项目可能产生的或者原有环境污染和生态破坏提出有效</w:t>
                  </w:r>
                  <w:r>
                    <w:rPr>
                      <w:rFonts w:hAnsi="宋体"/>
                      <w:color w:val="auto"/>
                      <w:sz w:val="21"/>
                      <w:szCs w:val="21"/>
                    </w:rPr>
                    <w:t>防治措施的；</w:t>
                  </w:r>
                </w:p>
              </w:tc>
              <w:tc>
                <w:tcPr>
                  <w:tcW w:w="2741" w:type="dxa"/>
                  <w:tcBorders>
                    <w:tl2br w:val="nil"/>
                    <w:tr2bl w:val="nil"/>
                  </w:tcBorders>
                  <w:vAlign w:val="center"/>
                </w:tcPr>
                <w:p w14:paraId="10ABA347">
                  <w:pPr>
                    <w:pStyle w:val="109"/>
                    <w:spacing w:before="0"/>
                    <w:ind w:left="105" w:leftChars="50" w:right="105" w:rightChars="50"/>
                    <w:jc w:val="left"/>
                    <w:rPr>
                      <w:color w:val="auto"/>
                      <w:sz w:val="21"/>
                      <w:szCs w:val="21"/>
                    </w:rPr>
                  </w:pPr>
                  <w:r>
                    <w:rPr>
                      <w:rFonts w:hAnsi="宋体"/>
                      <w:color w:val="auto"/>
                      <w:sz w:val="21"/>
                      <w:szCs w:val="21"/>
                    </w:rPr>
                    <w:t>通过落实本环评提出的污染防治措施，本项目排放的污染物能达到国家和浙江省规定的污染物排放标准。</w:t>
                  </w:r>
                </w:p>
              </w:tc>
              <w:tc>
                <w:tcPr>
                  <w:tcW w:w="491" w:type="dxa"/>
                  <w:tcBorders>
                    <w:tl2br w:val="nil"/>
                    <w:tr2bl w:val="nil"/>
                  </w:tcBorders>
                  <w:vAlign w:val="center"/>
                </w:tcPr>
                <w:p w14:paraId="0781401B">
                  <w:pPr>
                    <w:pStyle w:val="109"/>
                    <w:spacing w:before="0"/>
                    <w:rPr>
                      <w:color w:val="auto"/>
                      <w:sz w:val="21"/>
                      <w:szCs w:val="21"/>
                    </w:rPr>
                  </w:pPr>
                  <w:r>
                    <w:rPr>
                      <w:rFonts w:hAnsi="宋体"/>
                      <w:color w:val="auto"/>
                      <w:sz w:val="21"/>
                      <w:szCs w:val="21"/>
                    </w:rPr>
                    <w:t>符合</w:t>
                  </w:r>
                </w:p>
              </w:tc>
            </w:tr>
            <w:tr w14:paraId="5C827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119BA0BE">
                  <w:pPr>
                    <w:ind w:left="105" w:leftChars="50" w:right="105" w:rightChars="50"/>
                    <w:jc w:val="left"/>
                    <w:rPr>
                      <w:color w:val="auto"/>
                      <w:szCs w:val="21"/>
                    </w:rPr>
                  </w:pPr>
                </w:p>
              </w:tc>
              <w:tc>
                <w:tcPr>
                  <w:tcW w:w="2688" w:type="dxa"/>
                  <w:tcBorders>
                    <w:tl2br w:val="nil"/>
                    <w:tr2bl w:val="nil"/>
                  </w:tcBorders>
                  <w:vAlign w:val="center"/>
                </w:tcPr>
                <w:p w14:paraId="682C568F">
                  <w:pPr>
                    <w:pStyle w:val="109"/>
                    <w:spacing w:before="0"/>
                    <w:ind w:left="105" w:leftChars="50" w:right="105" w:rightChars="50"/>
                    <w:jc w:val="left"/>
                    <w:rPr>
                      <w:color w:val="auto"/>
                      <w:sz w:val="21"/>
                      <w:szCs w:val="21"/>
                    </w:rPr>
                  </w:pPr>
                  <w:r>
                    <w:rPr>
                      <w:color w:val="auto"/>
                      <w:sz w:val="21"/>
                      <w:szCs w:val="21"/>
                    </w:rPr>
                    <w:t>6</w:t>
                  </w:r>
                  <w:r>
                    <w:rPr>
                      <w:rFonts w:hAnsi="宋体"/>
                      <w:color w:val="auto"/>
                      <w:sz w:val="21"/>
                      <w:szCs w:val="21"/>
                    </w:rPr>
                    <w:t>、建设项目所在区域环境质量未达到国家或者地方环境质量标准，所提环境保护措施不能满足区域环境质量改善目标管理相关要求的；</w:t>
                  </w:r>
                </w:p>
              </w:tc>
              <w:tc>
                <w:tcPr>
                  <w:tcW w:w="2741" w:type="dxa"/>
                  <w:tcBorders>
                    <w:tl2br w:val="nil"/>
                    <w:tr2bl w:val="nil"/>
                  </w:tcBorders>
                  <w:vAlign w:val="center"/>
                </w:tcPr>
                <w:p w14:paraId="4F65CD42">
                  <w:pPr>
                    <w:pStyle w:val="109"/>
                    <w:spacing w:before="0"/>
                    <w:ind w:left="105" w:leftChars="50" w:right="105" w:rightChars="50"/>
                    <w:jc w:val="left"/>
                    <w:rPr>
                      <w:color w:val="auto"/>
                      <w:sz w:val="21"/>
                      <w:szCs w:val="21"/>
                    </w:rPr>
                  </w:pPr>
                  <w:r>
                    <w:rPr>
                      <w:rFonts w:hAnsi="宋体"/>
                      <w:color w:val="auto"/>
                      <w:sz w:val="21"/>
                      <w:szCs w:val="21"/>
                    </w:rPr>
                    <w:t>本项目所在区域环境质量符合相应功能区的标准要求，项目采取相应措施后能满足区域环境质量改善目标管理要求</w:t>
                  </w:r>
                </w:p>
              </w:tc>
              <w:tc>
                <w:tcPr>
                  <w:tcW w:w="491" w:type="dxa"/>
                  <w:tcBorders>
                    <w:tl2br w:val="nil"/>
                    <w:tr2bl w:val="nil"/>
                  </w:tcBorders>
                  <w:vAlign w:val="center"/>
                </w:tcPr>
                <w:p w14:paraId="61FE97A8">
                  <w:pPr>
                    <w:pStyle w:val="109"/>
                    <w:spacing w:before="0"/>
                    <w:rPr>
                      <w:color w:val="auto"/>
                      <w:sz w:val="21"/>
                      <w:szCs w:val="21"/>
                    </w:rPr>
                  </w:pPr>
                  <w:r>
                    <w:rPr>
                      <w:rFonts w:hAnsi="宋体"/>
                      <w:color w:val="auto"/>
                      <w:sz w:val="21"/>
                      <w:szCs w:val="21"/>
                    </w:rPr>
                    <w:t>符合</w:t>
                  </w:r>
                </w:p>
              </w:tc>
            </w:tr>
            <w:tr w14:paraId="51F50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1FF1FE32">
                  <w:pPr>
                    <w:pStyle w:val="109"/>
                    <w:spacing w:before="0"/>
                    <w:ind w:left="105" w:leftChars="50" w:right="105" w:rightChars="50"/>
                    <w:jc w:val="left"/>
                    <w:rPr>
                      <w:color w:val="auto"/>
                      <w:sz w:val="21"/>
                      <w:szCs w:val="21"/>
                    </w:rPr>
                  </w:pPr>
                </w:p>
              </w:tc>
              <w:tc>
                <w:tcPr>
                  <w:tcW w:w="2688" w:type="dxa"/>
                  <w:tcBorders>
                    <w:tl2br w:val="nil"/>
                    <w:tr2bl w:val="nil"/>
                  </w:tcBorders>
                  <w:vAlign w:val="center"/>
                </w:tcPr>
                <w:p w14:paraId="36E1FFA8">
                  <w:pPr>
                    <w:pStyle w:val="109"/>
                    <w:spacing w:before="0"/>
                    <w:ind w:left="105" w:leftChars="50" w:right="105" w:rightChars="50"/>
                    <w:jc w:val="left"/>
                    <w:rPr>
                      <w:color w:val="auto"/>
                      <w:sz w:val="21"/>
                      <w:szCs w:val="21"/>
                    </w:rPr>
                  </w:pPr>
                  <w:r>
                    <w:rPr>
                      <w:color w:val="auto"/>
                      <w:sz w:val="21"/>
                      <w:szCs w:val="21"/>
                    </w:rPr>
                    <w:t>7</w:t>
                  </w:r>
                  <w:r>
                    <w:rPr>
                      <w:rFonts w:hAnsi="宋体"/>
                      <w:color w:val="auto"/>
                      <w:sz w:val="21"/>
                      <w:szCs w:val="21"/>
                    </w:rPr>
                    <w:t>、建设项目类型及其选址、布局、规模等不符合环境保护法律法规和相关法定规划，但给出环境影响可行结论的；</w:t>
                  </w:r>
                </w:p>
              </w:tc>
              <w:tc>
                <w:tcPr>
                  <w:tcW w:w="2741" w:type="dxa"/>
                  <w:tcBorders>
                    <w:tl2br w:val="nil"/>
                    <w:tr2bl w:val="nil"/>
                  </w:tcBorders>
                  <w:vAlign w:val="center"/>
                </w:tcPr>
                <w:p w14:paraId="43AF5438">
                  <w:pPr>
                    <w:pStyle w:val="109"/>
                    <w:spacing w:before="0"/>
                    <w:ind w:left="105" w:leftChars="50" w:right="105" w:rightChars="50"/>
                    <w:jc w:val="left"/>
                    <w:rPr>
                      <w:color w:val="auto"/>
                      <w:sz w:val="21"/>
                      <w:szCs w:val="21"/>
                    </w:rPr>
                  </w:pPr>
                  <w:r>
                    <w:rPr>
                      <w:rFonts w:hAnsi="宋体"/>
                      <w:color w:val="auto"/>
                      <w:sz w:val="21"/>
                      <w:szCs w:val="21"/>
                    </w:rPr>
                    <w:t>本项目位于</w:t>
                  </w:r>
                  <w:r>
                    <w:rPr>
                      <w:rFonts w:hint="eastAsia" w:hAnsi="宋体"/>
                      <w:color w:val="auto"/>
                      <w:sz w:val="21"/>
                      <w:szCs w:val="21"/>
                    </w:rPr>
                    <w:t>安吉县白水湾工业园区</w:t>
                  </w:r>
                  <w:r>
                    <w:rPr>
                      <w:rFonts w:hAnsi="宋体"/>
                      <w:color w:val="auto"/>
                      <w:sz w:val="21"/>
                      <w:szCs w:val="21"/>
                    </w:rPr>
                    <w:t>，用地性质为工业用地。不属于环境功能区规划负面清单中的类别，符合总量控制制度要求，满足环境保护法律法规和相关法定规划。</w:t>
                  </w:r>
                </w:p>
              </w:tc>
              <w:tc>
                <w:tcPr>
                  <w:tcW w:w="491" w:type="dxa"/>
                  <w:tcBorders>
                    <w:tl2br w:val="nil"/>
                    <w:tr2bl w:val="nil"/>
                  </w:tcBorders>
                  <w:vAlign w:val="center"/>
                </w:tcPr>
                <w:p w14:paraId="4D4DA13D">
                  <w:pPr>
                    <w:pStyle w:val="109"/>
                    <w:spacing w:before="0"/>
                    <w:rPr>
                      <w:color w:val="auto"/>
                      <w:sz w:val="21"/>
                      <w:szCs w:val="21"/>
                    </w:rPr>
                  </w:pPr>
                  <w:r>
                    <w:rPr>
                      <w:rFonts w:hAnsi="宋体"/>
                      <w:color w:val="auto"/>
                      <w:sz w:val="21"/>
                      <w:szCs w:val="21"/>
                    </w:rPr>
                    <w:t>符合</w:t>
                  </w:r>
                </w:p>
              </w:tc>
            </w:tr>
            <w:tr w14:paraId="0CDA0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3" w:type="dxa"/>
                  <w:vMerge w:val="continue"/>
                  <w:tcBorders>
                    <w:tl2br w:val="nil"/>
                    <w:tr2bl w:val="nil"/>
                  </w:tcBorders>
                </w:tcPr>
                <w:p w14:paraId="3F88237D">
                  <w:pPr>
                    <w:pStyle w:val="109"/>
                    <w:spacing w:before="0"/>
                    <w:ind w:left="105" w:leftChars="50" w:right="105" w:rightChars="50"/>
                    <w:jc w:val="left"/>
                    <w:rPr>
                      <w:color w:val="auto"/>
                      <w:sz w:val="21"/>
                      <w:szCs w:val="21"/>
                    </w:rPr>
                  </w:pPr>
                </w:p>
              </w:tc>
              <w:tc>
                <w:tcPr>
                  <w:tcW w:w="2688" w:type="dxa"/>
                  <w:tcBorders>
                    <w:tl2br w:val="nil"/>
                    <w:tr2bl w:val="nil"/>
                  </w:tcBorders>
                  <w:vAlign w:val="center"/>
                </w:tcPr>
                <w:p w14:paraId="638FC9F0">
                  <w:pPr>
                    <w:pStyle w:val="109"/>
                    <w:spacing w:before="0"/>
                    <w:ind w:left="105" w:leftChars="50" w:right="105" w:rightChars="50"/>
                    <w:jc w:val="left"/>
                    <w:rPr>
                      <w:color w:val="auto"/>
                      <w:sz w:val="21"/>
                      <w:szCs w:val="21"/>
                    </w:rPr>
                  </w:pPr>
                  <w:r>
                    <w:rPr>
                      <w:color w:val="auto"/>
                      <w:sz w:val="21"/>
                      <w:szCs w:val="21"/>
                    </w:rPr>
                    <w:t>8</w:t>
                  </w:r>
                  <w:r>
                    <w:rPr>
                      <w:rFonts w:hAnsi="宋体"/>
                      <w:color w:val="auto"/>
                      <w:sz w:val="21"/>
                      <w:szCs w:val="21"/>
                    </w:rPr>
                    <w:t>、其他基础资料明显不实，内容有重大缺陷、遗漏、虚假，或者环境影响评价结论不正确、不合理的。</w:t>
                  </w:r>
                </w:p>
              </w:tc>
              <w:tc>
                <w:tcPr>
                  <w:tcW w:w="2741" w:type="dxa"/>
                  <w:tcBorders>
                    <w:tl2br w:val="nil"/>
                    <w:tr2bl w:val="nil"/>
                  </w:tcBorders>
                  <w:vAlign w:val="center"/>
                </w:tcPr>
                <w:p w14:paraId="2B95CCE5">
                  <w:pPr>
                    <w:pStyle w:val="109"/>
                    <w:spacing w:before="0"/>
                    <w:ind w:left="105" w:leftChars="50" w:right="105" w:rightChars="50"/>
                    <w:jc w:val="left"/>
                    <w:rPr>
                      <w:color w:val="auto"/>
                      <w:sz w:val="21"/>
                      <w:szCs w:val="21"/>
                    </w:rPr>
                  </w:pPr>
                  <w:r>
                    <w:rPr>
                      <w:rFonts w:hAnsi="宋体"/>
                      <w:color w:val="auto"/>
                      <w:spacing w:val="-1"/>
                      <w:sz w:val="21"/>
                      <w:szCs w:val="21"/>
                    </w:rPr>
                    <w:t>本项目基础数据真实、内容全面，不存在重大缺陷、遗漏和虚假，环境影响评价结论明确合理。</w:t>
                  </w:r>
                </w:p>
              </w:tc>
              <w:tc>
                <w:tcPr>
                  <w:tcW w:w="491" w:type="dxa"/>
                  <w:tcBorders>
                    <w:tl2br w:val="nil"/>
                    <w:tr2bl w:val="nil"/>
                  </w:tcBorders>
                  <w:vAlign w:val="center"/>
                </w:tcPr>
                <w:p w14:paraId="60736C73">
                  <w:pPr>
                    <w:pStyle w:val="109"/>
                    <w:spacing w:before="0"/>
                    <w:rPr>
                      <w:color w:val="auto"/>
                      <w:sz w:val="21"/>
                      <w:szCs w:val="21"/>
                    </w:rPr>
                  </w:pPr>
                  <w:r>
                    <w:rPr>
                      <w:rFonts w:hAnsi="宋体"/>
                      <w:color w:val="auto"/>
                      <w:sz w:val="21"/>
                      <w:szCs w:val="21"/>
                    </w:rPr>
                    <w:t>符合</w:t>
                  </w:r>
                </w:p>
              </w:tc>
            </w:tr>
          </w:tbl>
          <w:p w14:paraId="6AEE20A7">
            <w:pPr>
              <w:pStyle w:val="3"/>
              <w:spacing w:line="440" w:lineRule="exact"/>
              <w:rPr>
                <w:rFonts w:hAnsi="宋体" w:eastAsia="宋体"/>
                <w:bCs/>
                <w:color w:val="auto"/>
                <w:kern w:val="0"/>
              </w:rPr>
            </w:pPr>
            <w:r>
              <w:rPr>
                <w:rFonts w:hint="eastAsia" w:hAnsi="宋体" w:eastAsia="宋体"/>
                <w:bCs/>
                <w:color w:val="auto"/>
                <w:kern w:val="0"/>
              </w:rPr>
              <w:t>综上，本项目符合有关环境影响评价法律法规、标准和技术规范的规定， 不存在《建设项目环境影响报告书（表）编制监督管理办法》第二十六条、第二十七条中的质量问题。</w:t>
            </w:r>
          </w:p>
          <w:p w14:paraId="20D4F420">
            <w:pPr>
              <w:pStyle w:val="3"/>
              <w:spacing w:line="440" w:lineRule="exact"/>
              <w:ind w:left="0" w:leftChars="0" w:firstLine="0" w:firstLineChars="0"/>
              <w:rPr>
                <w:rFonts w:hint="eastAsia" w:hAnsi="宋体" w:eastAsia="宋体"/>
                <w:b/>
                <w:color w:val="auto"/>
              </w:rPr>
            </w:pPr>
            <w:r>
              <w:rPr>
                <w:rFonts w:hint="eastAsia" w:hAnsi="宋体" w:eastAsia="宋体"/>
                <w:b/>
                <w:color w:val="auto"/>
              </w:rPr>
              <w:t>1.3.9与《浙江省塑料制品业挥发性有机物污染防治可行技术指南》 符合性分析</w:t>
            </w:r>
          </w:p>
          <w:p w14:paraId="70BC88E6">
            <w:pPr>
              <w:pStyle w:val="3"/>
              <w:spacing w:line="440" w:lineRule="exact"/>
              <w:rPr>
                <w:rFonts w:hint="eastAsia" w:ascii="Times New Roman" w:hAnsi="宋体" w:eastAsia="宋体" w:cs="Times New Roman"/>
                <w:bCs/>
                <w:color w:val="auto"/>
                <w:kern w:val="0"/>
              </w:rPr>
            </w:pPr>
            <w:r>
              <w:rPr>
                <w:rFonts w:hint="eastAsia" w:ascii="Times New Roman" w:hAnsi="宋体" w:eastAsia="宋体" w:cs="Times New Roman"/>
                <w:bCs/>
                <w:color w:val="auto"/>
                <w:kern w:val="0"/>
              </w:rPr>
              <w:t>经与《浙江省塑料制品业挥发性有机物污染防治可行技术指 南》，本项目实施符合行动方案的相关要求，详见表</w:t>
            </w:r>
            <w:r>
              <w:rPr>
                <w:rFonts w:hint="eastAsia" w:ascii="Times New Roman" w:hAnsi="宋体" w:eastAsia="宋体" w:cs="Times New Roman"/>
                <w:bCs/>
                <w:color w:val="auto"/>
                <w:kern w:val="0"/>
                <w:lang w:val="en-US" w:eastAsia="zh-CN"/>
              </w:rPr>
              <w:t>1-10</w:t>
            </w:r>
            <w:r>
              <w:rPr>
                <w:rFonts w:hint="eastAsia" w:ascii="Times New Roman" w:hAnsi="宋体" w:eastAsia="宋体" w:cs="Times New Roman"/>
                <w:bCs/>
                <w:color w:val="auto"/>
                <w:kern w:val="0"/>
              </w:rPr>
              <w:t>。</w:t>
            </w:r>
          </w:p>
          <w:p w14:paraId="3D720B16">
            <w:pPr>
              <w:tabs>
                <w:tab w:val="left" w:pos="677"/>
              </w:tabs>
              <w:spacing w:line="440" w:lineRule="exact"/>
              <w:jc w:val="center"/>
              <w:rPr>
                <w:rFonts w:hint="eastAsia"/>
                <w:b/>
                <w:color w:val="auto"/>
                <w:szCs w:val="21"/>
              </w:rPr>
            </w:pPr>
            <w:r>
              <w:rPr>
                <w:b/>
                <w:color w:val="auto"/>
                <w:szCs w:val="21"/>
              </w:rPr>
              <w:t>表</w:t>
            </w:r>
            <w:r>
              <w:rPr>
                <w:rFonts w:hint="eastAsia"/>
                <w:b/>
                <w:color w:val="auto"/>
                <w:szCs w:val="21"/>
              </w:rPr>
              <w:t>1</w:t>
            </w:r>
            <w:r>
              <w:rPr>
                <w:b/>
                <w:color w:val="auto"/>
                <w:szCs w:val="21"/>
              </w:rPr>
              <w:t>-</w:t>
            </w:r>
            <w:r>
              <w:rPr>
                <w:rFonts w:hint="eastAsia"/>
                <w:b/>
                <w:color w:val="auto"/>
                <w:szCs w:val="21"/>
              </w:rPr>
              <w:t>10  与《浙江省塑料制品业挥发性有机物污染防治可行技术指南》</w:t>
            </w:r>
          </w:p>
          <w:p w14:paraId="20357BF4">
            <w:pPr>
              <w:tabs>
                <w:tab w:val="left" w:pos="677"/>
              </w:tabs>
              <w:spacing w:line="440" w:lineRule="exact"/>
              <w:jc w:val="center"/>
              <w:rPr>
                <w:rFonts w:ascii="Arial" w:cs="Arial"/>
                <w:b/>
                <w:color w:val="auto"/>
                <w:szCs w:val="21"/>
              </w:rPr>
            </w:pPr>
            <w:r>
              <w:rPr>
                <w:rFonts w:hint="eastAsia"/>
                <w:b/>
                <w:color w:val="auto"/>
                <w:szCs w:val="21"/>
              </w:rPr>
              <w:t>符合性分析</w:t>
            </w:r>
          </w:p>
          <w:tbl>
            <w:tblPr>
              <w:tblStyle w:val="272"/>
              <w:tblW w:w="701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6"/>
              <w:gridCol w:w="741"/>
              <w:gridCol w:w="4023"/>
              <w:gridCol w:w="1886"/>
            </w:tblGrid>
            <w:tr w14:paraId="7B1CF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366" w:type="dxa"/>
                  <w:tcBorders>
                    <w:tl2br w:val="nil"/>
                    <w:tr2bl w:val="nil"/>
                  </w:tcBorders>
                  <w:textDirection w:val="tbRlV"/>
                  <w:vAlign w:val="top"/>
                </w:tcPr>
                <w:p w14:paraId="4EBA6403">
                  <w:pPr>
                    <w:pStyle w:val="274"/>
                    <w:autoSpaceDE w:val="0"/>
                    <w:autoSpaceDN w:val="0"/>
                    <w:spacing w:before="44" w:line="218" w:lineRule="auto"/>
                    <w:ind w:left="35"/>
                  </w:pPr>
                  <w:r>
                    <w:rPr>
                      <w:b/>
                      <w:bCs/>
                      <w:spacing w:val="6"/>
                    </w:rPr>
                    <w:t>序</w:t>
                  </w:r>
                  <w:r>
                    <w:rPr>
                      <w:spacing w:val="-35"/>
                    </w:rPr>
                    <w:t xml:space="preserve"> </w:t>
                  </w:r>
                  <w:r>
                    <w:rPr>
                      <w:b/>
                      <w:bCs/>
                      <w:spacing w:val="6"/>
                    </w:rPr>
                    <w:t>号</w:t>
                  </w:r>
                </w:p>
              </w:tc>
              <w:tc>
                <w:tcPr>
                  <w:tcW w:w="741" w:type="dxa"/>
                  <w:tcBorders>
                    <w:tl2br w:val="nil"/>
                    <w:tr2bl w:val="nil"/>
                  </w:tcBorders>
                  <w:vAlign w:val="top"/>
                </w:tcPr>
                <w:p w14:paraId="778D92CA">
                  <w:pPr>
                    <w:pStyle w:val="274"/>
                    <w:autoSpaceDE w:val="0"/>
                    <w:autoSpaceDN w:val="0"/>
                    <w:spacing w:before="171" w:line="228" w:lineRule="auto"/>
                    <w:ind w:left="187"/>
                  </w:pPr>
                  <w:r>
                    <w:rPr>
                      <w:b/>
                      <w:bCs/>
                      <w:spacing w:val="-9"/>
                    </w:rPr>
                    <w:t>内容</w:t>
                  </w:r>
                </w:p>
              </w:tc>
              <w:tc>
                <w:tcPr>
                  <w:tcW w:w="4023" w:type="dxa"/>
                  <w:tcBorders>
                    <w:tl2br w:val="nil"/>
                    <w:tr2bl w:val="nil"/>
                  </w:tcBorders>
                  <w:vAlign w:val="top"/>
                </w:tcPr>
                <w:p w14:paraId="090CC19A">
                  <w:pPr>
                    <w:pStyle w:val="274"/>
                    <w:autoSpaceDE w:val="0"/>
                    <w:autoSpaceDN w:val="0"/>
                    <w:spacing w:before="172" w:line="227" w:lineRule="auto"/>
                    <w:ind w:left="1595"/>
                  </w:pPr>
                  <w:r>
                    <w:rPr>
                      <w:b/>
                      <w:bCs/>
                      <w:spacing w:val="6"/>
                    </w:rPr>
                    <w:t>判断依据</w:t>
                  </w:r>
                </w:p>
              </w:tc>
              <w:tc>
                <w:tcPr>
                  <w:tcW w:w="1886" w:type="dxa"/>
                  <w:tcBorders>
                    <w:tl2br w:val="nil"/>
                    <w:tr2bl w:val="nil"/>
                  </w:tcBorders>
                  <w:vAlign w:val="top"/>
                </w:tcPr>
                <w:p w14:paraId="5613F670">
                  <w:pPr>
                    <w:pStyle w:val="274"/>
                    <w:autoSpaceDE w:val="0"/>
                    <w:autoSpaceDN w:val="0"/>
                    <w:spacing w:before="171" w:line="228" w:lineRule="auto"/>
                    <w:ind w:left="422"/>
                  </w:pPr>
                  <w:r>
                    <w:rPr>
                      <w:b/>
                      <w:bCs/>
                      <w:spacing w:val="6"/>
                    </w:rPr>
                    <w:t>符合性分析</w:t>
                  </w:r>
                </w:p>
              </w:tc>
            </w:tr>
            <w:tr w14:paraId="29EF0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66" w:type="dxa"/>
                  <w:vMerge w:val="restart"/>
                  <w:tcBorders>
                    <w:tl2br w:val="nil"/>
                    <w:tr2bl w:val="nil"/>
                  </w:tcBorders>
                  <w:vAlign w:val="top"/>
                </w:tcPr>
                <w:p w14:paraId="7D2BEF8A">
                  <w:pPr>
                    <w:pStyle w:val="109"/>
                    <w:spacing w:before="0"/>
                    <w:ind w:left="105" w:leftChars="50" w:right="105" w:rightChars="50"/>
                    <w:jc w:val="left"/>
                    <w:rPr>
                      <w:rFonts w:ascii="Times New Roman" w:hAnsi="Times New Roman" w:eastAsia="宋体" w:cs="Times New Roman"/>
                      <w:color w:val="auto"/>
                      <w:sz w:val="21"/>
                      <w:szCs w:val="21"/>
                    </w:rPr>
                  </w:pPr>
                </w:p>
                <w:p w14:paraId="421A7023">
                  <w:pPr>
                    <w:pStyle w:val="109"/>
                    <w:spacing w:before="0"/>
                    <w:ind w:left="105" w:leftChars="50" w:right="105" w:rightChars="50"/>
                    <w:jc w:val="left"/>
                    <w:rPr>
                      <w:rFonts w:ascii="Times New Roman" w:hAnsi="Times New Roman" w:eastAsia="宋体" w:cs="Times New Roman"/>
                      <w:color w:val="auto"/>
                      <w:sz w:val="21"/>
                      <w:szCs w:val="21"/>
                    </w:rPr>
                  </w:pPr>
                </w:p>
                <w:p w14:paraId="29A454E7">
                  <w:pPr>
                    <w:pStyle w:val="109"/>
                    <w:spacing w:before="0"/>
                    <w:ind w:left="105" w:leftChars="50" w:right="105" w:rightChars="50"/>
                    <w:jc w:val="left"/>
                    <w:rPr>
                      <w:rFonts w:ascii="Times New Roman" w:hAnsi="Times New Roman" w:eastAsia="宋体" w:cs="Times New Roman"/>
                      <w:color w:val="auto"/>
                      <w:sz w:val="21"/>
                      <w:szCs w:val="21"/>
                    </w:rPr>
                  </w:pPr>
                </w:p>
                <w:p w14:paraId="3DF7AF27">
                  <w:pPr>
                    <w:pStyle w:val="109"/>
                    <w:spacing w:before="0"/>
                    <w:ind w:left="105" w:leftChars="50" w:right="105" w:rightChars="50"/>
                    <w:jc w:val="left"/>
                    <w:rPr>
                      <w:rFonts w:ascii="Times New Roman" w:hAnsi="Times New Roman" w:eastAsia="宋体" w:cs="Times New Roman"/>
                      <w:color w:val="auto"/>
                      <w:sz w:val="21"/>
                      <w:szCs w:val="21"/>
                    </w:rPr>
                  </w:pPr>
                </w:p>
                <w:p w14:paraId="01FF7719">
                  <w:pPr>
                    <w:pStyle w:val="109"/>
                    <w:spacing w:before="0"/>
                    <w:ind w:left="105" w:leftChars="50" w:right="105" w:rightChars="50"/>
                    <w:jc w:val="left"/>
                    <w:rPr>
                      <w:rFonts w:ascii="Times New Roman" w:hAnsi="Times New Roman" w:eastAsia="宋体" w:cs="Times New Roman"/>
                      <w:color w:val="auto"/>
                      <w:sz w:val="21"/>
                      <w:szCs w:val="21"/>
                    </w:rPr>
                  </w:pPr>
                </w:p>
                <w:p w14:paraId="285BC8EB">
                  <w:pPr>
                    <w:pStyle w:val="109"/>
                    <w:spacing w:before="0"/>
                    <w:ind w:left="105" w:leftChars="50" w:right="105" w:rightChars="50"/>
                    <w:jc w:val="left"/>
                    <w:rPr>
                      <w:rFonts w:ascii="Times New Roman" w:hAnsi="Times New Roman" w:eastAsia="宋体" w:cs="Times New Roman"/>
                      <w:color w:val="auto"/>
                      <w:sz w:val="21"/>
                      <w:szCs w:val="21"/>
                    </w:rPr>
                  </w:pPr>
                </w:p>
                <w:p w14:paraId="73538301">
                  <w:pPr>
                    <w:pStyle w:val="109"/>
                    <w:spacing w:before="0"/>
                    <w:ind w:left="105" w:leftChars="50" w:right="105" w:rightChars="50"/>
                    <w:jc w:val="left"/>
                    <w:rPr>
                      <w:rFonts w:ascii="Times New Roman" w:hAnsi="Times New Roman" w:eastAsia="宋体" w:cs="Times New Roman"/>
                      <w:color w:val="auto"/>
                      <w:sz w:val="21"/>
                      <w:szCs w:val="21"/>
                    </w:rPr>
                  </w:pPr>
                </w:p>
                <w:p w14:paraId="09FD4D3B">
                  <w:pPr>
                    <w:pStyle w:val="109"/>
                    <w:spacing w:before="0"/>
                    <w:ind w:left="105" w:leftChars="50" w:right="105" w:rightChars="50"/>
                    <w:jc w:val="left"/>
                    <w:rPr>
                      <w:rFonts w:ascii="Times New Roman" w:hAnsi="Times New Roman" w:eastAsia="宋体" w:cs="Times New Roman"/>
                      <w:color w:val="auto"/>
                      <w:sz w:val="21"/>
                      <w:szCs w:val="21"/>
                    </w:rPr>
                  </w:pPr>
                </w:p>
                <w:p w14:paraId="0A462DC9">
                  <w:pPr>
                    <w:pStyle w:val="109"/>
                    <w:spacing w:before="0"/>
                    <w:ind w:left="105" w:leftChars="50" w:right="105" w:rightChars="50"/>
                    <w:jc w:val="left"/>
                    <w:rPr>
                      <w:rFonts w:ascii="Times New Roman" w:hAnsi="Times New Roman" w:eastAsia="宋体" w:cs="Times New Roman"/>
                      <w:color w:val="auto"/>
                      <w:sz w:val="21"/>
                      <w:szCs w:val="21"/>
                    </w:rPr>
                  </w:pPr>
                </w:p>
                <w:p w14:paraId="496A862E">
                  <w:pPr>
                    <w:pStyle w:val="109"/>
                    <w:spacing w:before="0"/>
                    <w:ind w:left="105" w:leftChars="50" w:right="105" w:rightChars="50"/>
                    <w:jc w:val="left"/>
                    <w:rPr>
                      <w:rFonts w:ascii="Times New Roman" w:hAnsi="Times New Roman" w:eastAsia="宋体" w:cs="Times New Roman"/>
                      <w:color w:val="auto"/>
                      <w:sz w:val="21"/>
                      <w:szCs w:val="21"/>
                    </w:rPr>
                  </w:pPr>
                </w:p>
                <w:p w14:paraId="257D0119">
                  <w:pPr>
                    <w:pStyle w:val="109"/>
                    <w:spacing w:before="0"/>
                    <w:ind w:left="105" w:leftChars="50" w:right="105" w:rightChars="50"/>
                    <w:jc w:val="left"/>
                    <w:rPr>
                      <w:rFonts w:ascii="Times New Roman" w:hAnsi="Times New Roman" w:eastAsia="宋体" w:cs="Times New Roman"/>
                      <w:color w:val="auto"/>
                      <w:sz w:val="21"/>
                      <w:szCs w:val="21"/>
                    </w:rPr>
                  </w:pPr>
                </w:p>
                <w:p w14:paraId="48FC859C">
                  <w:pPr>
                    <w:pStyle w:val="109"/>
                    <w:spacing w:before="0"/>
                    <w:ind w:left="105" w:leftChars="50" w:right="105" w:rightChars="50"/>
                    <w:jc w:val="left"/>
                    <w:rPr>
                      <w:rFonts w:ascii="Times New Roman" w:hAnsi="Times New Roman" w:eastAsia="宋体" w:cs="Times New Roman"/>
                      <w:color w:val="auto"/>
                      <w:sz w:val="21"/>
                      <w:szCs w:val="21"/>
                    </w:rPr>
                  </w:pPr>
                </w:p>
                <w:p w14:paraId="4AF67388">
                  <w:pPr>
                    <w:pStyle w:val="109"/>
                    <w:spacing w:before="0"/>
                    <w:ind w:left="105" w:leftChars="50" w:right="105" w:rightChars="5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741" w:type="dxa"/>
                  <w:vMerge w:val="restart"/>
                  <w:tcBorders>
                    <w:tl2br w:val="nil"/>
                    <w:tr2bl w:val="nil"/>
                  </w:tcBorders>
                  <w:vAlign w:val="top"/>
                </w:tcPr>
                <w:p w14:paraId="32F181E0">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0070B7AB">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04ECD7A2">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516EAAFE">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2188073F">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7304BA61">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13E4CA05">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2BD9683E">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4ED19ED8">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588EE4C7">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塑料</w:t>
                  </w:r>
                </w:p>
                <w:p w14:paraId="0ECDD1CB">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制品</w:t>
                  </w:r>
                </w:p>
                <w:p w14:paraId="470FD7CD">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业生</w:t>
                  </w:r>
                </w:p>
                <w:p w14:paraId="19048FC7">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产废</w:t>
                  </w:r>
                </w:p>
                <w:p w14:paraId="48BAAD90">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气收</w:t>
                  </w:r>
                </w:p>
                <w:p w14:paraId="2DD9C61E">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集技</w:t>
                  </w:r>
                </w:p>
                <w:p w14:paraId="12F72FF3">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术</w:t>
                  </w:r>
                </w:p>
              </w:tc>
              <w:tc>
                <w:tcPr>
                  <w:tcW w:w="4023" w:type="dxa"/>
                  <w:tcBorders>
                    <w:tl2br w:val="nil"/>
                    <w:tr2bl w:val="nil"/>
                  </w:tcBorders>
                  <w:vAlign w:val="top"/>
                </w:tcPr>
                <w:p w14:paraId="13A6C2BB">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废气收集系统应与生产设备同步运行，当 发生故障维修时，应同步停止生产设备的 运行。</w:t>
                  </w:r>
                </w:p>
              </w:tc>
              <w:tc>
                <w:tcPr>
                  <w:tcW w:w="1886" w:type="dxa"/>
                  <w:tcBorders>
                    <w:tl2br w:val="nil"/>
                    <w:tr2bl w:val="nil"/>
                  </w:tcBorders>
                  <w:vAlign w:val="top"/>
                </w:tcPr>
                <w:p w14:paraId="48E226F5">
                  <w:pPr>
                    <w:pStyle w:val="109"/>
                    <w:spacing w:before="0"/>
                    <w:ind w:left="0" w:leftChars="0" w:right="0" w:rightChars="0" w:firstLine="0" w:firstLineChars="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符合，企业废气收集系统与生产设备设计同步运行。</w:t>
                  </w:r>
                </w:p>
              </w:tc>
            </w:tr>
            <w:tr w14:paraId="5DBAE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366" w:type="dxa"/>
                  <w:vMerge w:val="continue"/>
                  <w:tcBorders>
                    <w:tl2br w:val="nil"/>
                    <w:tr2bl w:val="nil"/>
                  </w:tcBorders>
                  <w:vAlign w:val="top"/>
                </w:tcPr>
                <w:p w14:paraId="25535CE0">
                  <w:pPr>
                    <w:pStyle w:val="109"/>
                    <w:spacing w:before="0"/>
                    <w:ind w:left="105" w:leftChars="50" w:right="105" w:rightChars="50"/>
                    <w:jc w:val="left"/>
                    <w:rPr>
                      <w:rFonts w:ascii="Times New Roman" w:hAnsi="Times New Roman" w:eastAsia="宋体" w:cs="Times New Roman"/>
                      <w:color w:val="auto"/>
                      <w:sz w:val="21"/>
                      <w:szCs w:val="21"/>
                    </w:rPr>
                  </w:pPr>
                </w:p>
              </w:tc>
              <w:tc>
                <w:tcPr>
                  <w:tcW w:w="741" w:type="dxa"/>
                  <w:vMerge w:val="continue"/>
                  <w:tcBorders>
                    <w:tl2br w:val="nil"/>
                    <w:tr2bl w:val="nil"/>
                  </w:tcBorders>
                  <w:vAlign w:val="top"/>
                </w:tcPr>
                <w:p w14:paraId="4914A1D3">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tc>
              <w:tc>
                <w:tcPr>
                  <w:tcW w:w="4023" w:type="dxa"/>
                  <w:tcBorders>
                    <w:tl2br w:val="nil"/>
                    <w:tr2bl w:val="nil"/>
                  </w:tcBorders>
                  <w:vAlign w:val="top"/>
                </w:tcPr>
                <w:p w14:paraId="575EE4B2">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集气方向应与废气流动方向一致。当采用 外部排风罩收集废气时，排风罩设计应符 合 GB/T 16758 要求，尽量靠近污染物排 放点，除满足安全生产和职业卫生要求外， 控 制 集 气 罩 口 断 面 平 均 风 速 不 低于 0.6m/s（按 GB/T 16758 、AQ/T 4274 规定 的方法测量控制风速）。</w:t>
                  </w:r>
                </w:p>
              </w:tc>
              <w:tc>
                <w:tcPr>
                  <w:tcW w:w="1886" w:type="dxa"/>
                  <w:tcBorders>
                    <w:tl2br w:val="nil"/>
                    <w:tr2bl w:val="nil"/>
                  </w:tcBorders>
                  <w:vAlign w:val="top"/>
                </w:tcPr>
                <w:p w14:paraId="3C9F209A">
                  <w:pPr>
                    <w:pStyle w:val="109"/>
                    <w:spacing w:before="0"/>
                    <w:ind w:left="0" w:leftChars="0" w:right="0" w:rightChars="0" w:firstLine="0" w:firstLineChars="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符合，企业废气集气方向与废气流动方向一致，企业采用密闭空间收集，同时控制集气罩口断面平均风速不低于0.6m/s。</w:t>
                  </w:r>
                </w:p>
              </w:tc>
            </w:tr>
            <w:tr w14:paraId="3A5DA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366" w:type="dxa"/>
                  <w:vMerge w:val="continue"/>
                  <w:tcBorders>
                    <w:tl2br w:val="nil"/>
                    <w:tr2bl w:val="nil"/>
                  </w:tcBorders>
                  <w:vAlign w:val="top"/>
                </w:tcPr>
                <w:p w14:paraId="2F439FC5">
                  <w:pPr>
                    <w:pStyle w:val="109"/>
                    <w:spacing w:before="0"/>
                    <w:ind w:left="105" w:leftChars="50" w:right="105" w:rightChars="50"/>
                    <w:jc w:val="left"/>
                    <w:rPr>
                      <w:rFonts w:ascii="Times New Roman" w:hAnsi="Times New Roman" w:eastAsia="宋体" w:cs="Times New Roman"/>
                      <w:color w:val="auto"/>
                      <w:sz w:val="21"/>
                      <w:szCs w:val="21"/>
                    </w:rPr>
                  </w:pPr>
                </w:p>
              </w:tc>
              <w:tc>
                <w:tcPr>
                  <w:tcW w:w="741" w:type="dxa"/>
                  <w:vMerge w:val="continue"/>
                  <w:tcBorders>
                    <w:tl2br w:val="nil"/>
                    <w:tr2bl w:val="nil"/>
                  </w:tcBorders>
                  <w:vAlign w:val="top"/>
                </w:tcPr>
                <w:p w14:paraId="6A04C895">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tc>
              <w:tc>
                <w:tcPr>
                  <w:tcW w:w="4023" w:type="dxa"/>
                  <w:tcBorders>
                    <w:tl2br w:val="nil"/>
                    <w:tr2bl w:val="nil"/>
                  </w:tcBorders>
                  <w:vAlign w:val="top"/>
                </w:tcPr>
                <w:p w14:paraId="32D16323">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466EEF0F">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02F72F35">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废气收集和输送应满足 HJ 2000 要求，管 路应有明显的区分及走向标识。</w:t>
                  </w:r>
                </w:p>
              </w:tc>
              <w:tc>
                <w:tcPr>
                  <w:tcW w:w="1886" w:type="dxa"/>
                  <w:tcBorders>
                    <w:tl2br w:val="nil"/>
                    <w:tr2bl w:val="nil"/>
                  </w:tcBorders>
                  <w:vAlign w:val="top"/>
                </w:tcPr>
                <w:p w14:paraId="59AABDD2">
                  <w:pPr>
                    <w:pStyle w:val="109"/>
                    <w:spacing w:before="0"/>
                    <w:ind w:left="0" w:leftChars="0" w:right="0" w:rightChars="0" w:firstLine="0" w:firstLineChars="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符合，企业废气收 集和输送应满足HJ 2000 要求，企业管路设计有明显的区分及走向标识。</w:t>
                  </w:r>
                </w:p>
              </w:tc>
            </w:tr>
            <w:tr w14:paraId="0B2A8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366" w:type="dxa"/>
                  <w:vMerge w:val="continue"/>
                  <w:tcBorders>
                    <w:tl2br w:val="nil"/>
                    <w:tr2bl w:val="nil"/>
                  </w:tcBorders>
                  <w:vAlign w:val="top"/>
                </w:tcPr>
                <w:p w14:paraId="0E1C6956">
                  <w:pPr>
                    <w:pStyle w:val="109"/>
                    <w:spacing w:before="0"/>
                    <w:ind w:left="105" w:leftChars="50" w:right="105" w:rightChars="50"/>
                    <w:jc w:val="left"/>
                    <w:rPr>
                      <w:rFonts w:ascii="Times New Roman" w:hAnsi="Times New Roman" w:eastAsia="宋体" w:cs="Times New Roman"/>
                      <w:color w:val="auto"/>
                      <w:sz w:val="21"/>
                      <w:szCs w:val="21"/>
                    </w:rPr>
                  </w:pPr>
                </w:p>
              </w:tc>
              <w:tc>
                <w:tcPr>
                  <w:tcW w:w="741" w:type="dxa"/>
                  <w:vMerge w:val="continue"/>
                  <w:tcBorders>
                    <w:tl2br w:val="nil"/>
                    <w:tr2bl w:val="nil"/>
                  </w:tcBorders>
                  <w:vAlign w:val="top"/>
                </w:tcPr>
                <w:p w14:paraId="22D37990">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tc>
              <w:tc>
                <w:tcPr>
                  <w:tcW w:w="4023" w:type="dxa"/>
                  <w:tcBorders>
                    <w:tl2br w:val="nil"/>
                    <w:tr2bl w:val="nil"/>
                  </w:tcBorders>
                  <w:vAlign w:val="top"/>
                </w:tcPr>
                <w:p w14:paraId="3A78C081">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废气收集系统应采用技术经济合理的密闭 方式，在负压下运行，具有耐腐、气密性 好的特性，同时考虑具备阻燃和抗静电等 性能，并结合其他专业设备的运行、维护 需要，设置观察口、呼吸阀等设施。</w:t>
                  </w:r>
                </w:p>
              </w:tc>
              <w:tc>
                <w:tcPr>
                  <w:tcW w:w="1886" w:type="dxa"/>
                  <w:tcBorders>
                    <w:tl2br w:val="nil"/>
                    <w:tr2bl w:val="nil"/>
                  </w:tcBorders>
                  <w:vAlign w:val="top"/>
                </w:tcPr>
                <w:p w14:paraId="0E81FDF0">
                  <w:pPr>
                    <w:pStyle w:val="109"/>
                    <w:spacing w:before="0"/>
                    <w:ind w:left="0" w:leftChars="0" w:right="0" w:rightChars="0" w:firstLine="0" w:firstLineChars="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符合，企业废气收 集系统采用耐腐蚀、气密性好的负压式收集方式，其技术经济合理，同时具备阻燃和抗静电等性能。</w:t>
                  </w:r>
                </w:p>
              </w:tc>
            </w:tr>
            <w:tr w14:paraId="6843E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0" w:hRule="atLeast"/>
              </w:trPr>
              <w:tc>
                <w:tcPr>
                  <w:tcW w:w="366" w:type="dxa"/>
                  <w:tcBorders>
                    <w:tl2br w:val="nil"/>
                    <w:tr2bl w:val="nil"/>
                  </w:tcBorders>
                  <w:vAlign w:val="top"/>
                </w:tcPr>
                <w:p w14:paraId="5DFA1143">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tc>
              <w:tc>
                <w:tcPr>
                  <w:tcW w:w="741" w:type="dxa"/>
                  <w:tcBorders>
                    <w:tl2br w:val="nil"/>
                    <w:tr2bl w:val="nil"/>
                  </w:tcBorders>
                  <w:vAlign w:val="top"/>
                </w:tcPr>
                <w:p w14:paraId="465819C1">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tc>
              <w:tc>
                <w:tcPr>
                  <w:tcW w:w="4023" w:type="dxa"/>
                  <w:tcBorders>
                    <w:tl2br w:val="nil"/>
                    <w:tr2bl w:val="nil"/>
                  </w:tcBorders>
                  <w:vAlign w:val="top"/>
                </w:tcPr>
                <w:p w14:paraId="073119A8">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废气收集系统的输送管道应密闭。废气收 集系统应在负压下运行，若处于正压状态， 应对输送管道组件的密封点进行泄漏检 测，泄漏检测值不应超过 500μmol/mol ， 亦不应有感官可察觉泄漏。废气收集的管 路系统宜设置用于调节风量平衡的调节阀 门。</w:t>
                  </w:r>
                </w:p>
              </w:tc>
              <w:tc>
                <w:tcPr>
                  <w:tcW w:w="1886" w:type="dxa"/>
                  <w:tcBorders>
                    <w:tl2br w:val="nil"/>
                    <w:tr2bl w:val="nil"/>
                  </w:tcBorders>
                  <w:vAlign w:val="top"/>
                </w:tcPr>
                <w:p w14:paraId="485201A5">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3E18680C">
                  <w:pPr>
                    <w:pStyle w:val="109"/>
                    <w:spacing w:before="0"/>
                    <w:ind w:left="0" w:leftChars="0" w:right="0" w:rightChars="0" w:firstLine="0" w:firstLineChars="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符合，企业废气收集系统管道密闭，在负压下运行，管路系统设置风量调节阀门。</w:t>
                  </w:r>
                </w:p>
              </w:tc>
            </w:tr>
            <w:tr w14:paraId="1FA78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366" w:type="dxa"/>
                  <w:tcBorders>
                    <w:tl2br w:val="nil"/>
                    <w:tr2bl w:val="nil"/>
                  </w:tcBorders>
                  <w:vAlign w:val="top"/>
                </w:tcPr>
                <w:p w14:paraId="77B1BF0F">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6E413FBD">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1B2DF822">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3CFCAC0C">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5A67FE56">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21D2E8F9">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3E11AF6F">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p>
              </w:tc>
              <w:tc>
                <w:tcPr>
                  <w:tcW w:w="741" w:type="dxa"/>
                  <w:tcBorders>
                    <w:tl2br w:val="nil"/>
                    <w:tr2bl w:val="nil"/>
                  </w:tcBorders>
                  <w:vAlign w:val="top"/>
                </w:tcPr>
                <w:p w14:paraId="5413397E">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60133479">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2C6D441D">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78E50FB2">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VOCs 污染 防治 可行 技术</w:t>
                  </w:r>
                </w:p>
              </w:tc>
              <w:tc>
                <w:tcPr>
                  <w:tcW w:w="4023" w:type="dxa"/>
                  <w:tcBorders>
                    <w:tl2br w:val="nil"/>
                    <w:tr2bl w:val="nil"/>
                  </w:tcBorders>
                  <w:vAlign w:val="top"/>
                </w:tcPr>
                <w:p w14:paraId="4D4F2F30">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吸附处理技术：该技术指利用吸附剂（活 性炭、活性炭纤维、分子筛等）吸附废气 中的 VOCs 污染物，使之与废气分离，简 称吸附技术，主要包括固定床吸附技术、 移动床吸附技术、流化床吸附技术、旋转 式吸附技术。塑料制品业常用的吸附技术 为固定床吸附技术。需配套吸附处理单元 的含尘、高湿废气、高温废气，应事先采 用高效除尘、除雾装置、冷却装置等进行 预处理。该技术在塑料制品业广泛使用， 但废吸附剂一般需作为危废处置，如果处 理不当会造成二次污染。</w:t>
                  </w:r>
                </w:p>
              </w:tc>
              <w:tc>
                <w:tcPr>
                  <w:tcW w:w="1886" w:type="dxa"/>
                  <w:tcBorders>
                    <w:tl2br w:val="nil"/>
                    <w:tr2bl w:val="nil"/>
                  </w:tcBorders>
                  <w:vAlign w:val="top"/>
                </w:tcPr>
                <w:p w14:paraId="542DF424">
                  <w:pPr>
                    <w:pStyle w:val="109"/>
                    <w:spacing w:before="0"/>
                    <w:ind w:left="0" w:leftChars="0" w:right="0" w:rightChars="0" w:firstLine="0" w:firstLineChars="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符合，本项目采用两级活性炭废气处理装置，属于固定床吸附技术，同时本项目注塑废气不含尘，基本不含水蒸气，同时不属于高温废气，因此无需进行预处理。</w:t>
                  </w:r>
                </w:p>
              </w:tc>
            </w:tr>
            <w:tr w14:paraId="24FE7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366" w:type="dxa"/>
                  <w:vMerge w:val="restart"/>
                  <w:tcBorders>
                    <w:tl2br w:val="nil"/>
                    <w:tr2bl w:val="nil"/>
                  </w:tcBorders>
                  <w:vAlign w:val="top"/>
                </w:tcPr>
                <w:p w14:paraId="3FE0C85E">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3795B8A6">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068E5E1C">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279C5025">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5680E283">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5DAF90D9">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73EE7C52">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19ECA52B">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3EFCAF9E">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26FD541C">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601A1B0F">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0F61CB51">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4CCE2661">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131FAC2F">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451EDFAA">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w:t>
                  </w:r>
                </w:p>
              </w:tc>
              <w:tc>
                <w:tcPr>
                  <w:tcW w:w="741" w:type="dxa"/>
                  <w:vMerge w:val="restart"/>
                  <w:tcBorders>
                    <w:tl2br w:val="nil"/>
                    <w:tr2bl w:val="nil"/>
                  </w:tcBorders>
                  <w:vAlign w:val="top"/>
                </w:tcPr>
                <w:p w14:paraId="44DE2437">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19F90C2D">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043CEB34">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4BF62E1C">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3B9B903C">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41ACC858">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3A7393CC">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309CAFC6">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1F0F383B">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7E822583">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4AABE743">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2E20FA9A">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7639AC82">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环境 管理 措施</w:t>
                  </w:r>
                </w:p>
              </w:tc>
              <w:tc>
                <w:tcPr>
                  <w:tcW w:w="4023" w:type="dxa"/>
                  <w:tcBorders>
                    <w:tl2br w:val="nil"/>
                    <w:tr2bl w:val="nil"/>
                  </w:tcBorders>
                  <w:vAlign w:val="top"/>
                </w:tcPr>
                <w:p w14:paraId="58CBEEA5">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企业应根据实际情况优先采用污染预防技 术，若仍无法稳定达标排放，应采用适合 的末端治理技术。优先使用合成树脂新料 生产塑料制品，不使用有毒有害废塑料作 为原料。 挥发及半挥发性助剂应按照化工 行业储存标准密闭储存，涉及大宗有机物 料使用的应采用储罐存储，并优先考虑管 道输送。建立健全含 VOCs 原辅料使用的 各项数据记录和生产管理制度。</w:t>
                  </w:r>
                </w:p>
              </w:tc>
              <w:tc>
                <w:tcPr>
                  <w:tcW w:w="1886" w:type="dxa"/>
                  <w:tcBorders>
                    <w:tl2br w:val="nil"/>
                    <w:tr2bl w:val="nil"/>
                  </w:tcBorders>
                  <w:vAlign w:val="top"/>
                </w:tcPr>
                <w:p w14:paraId="08E23EC4">
                  <w:pPr>
                    <w:pStyle w:val="109"/>
                    <w:spacing w:before="0"/>
                    <w:ind w:left="0" w:leftChars="0" w:right="0" w:rightChars="0" w:firstLine="0" w:firstLineChars="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符合，企业采用企业采用的污染预 防技术能够稳定达标排放，使用合成树脂新料生产塑料制品，不使用有毒有害废塑料作为原料。企业建立各项记录和生产管理制度。</w:t>
                  </w:r>
                </w:p>
              </w:tc>
            </w:tr>
            <w:tr w14:paraId="27F5A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366" w:type="dxa"/>
                  <w:vMerge w:val="continue"/>
                  <w:tcBorders>
                    <w:tl2br w:val="nil"/>
                    <w:tr2bl w:val="nil"/>
                  </w:tcBorders>
                  <w:vAlign w:val="top"/>
                </w:tcPr>
                <w:p w14:paraId="0EF2E2CC">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tc>
              <w:tc>
                <w:tcPr>
                  <w:tcW w:w="741" w:type="dxa"/>
                  <w:vMerge w:val="continue"/>
                  <w:tcBorders>
                    <w:tl2br w:val="nil"/>
                    <w:tr2bl w:val="nil"/>
                  </w:tcBorders>
                  <w:vAlign w:val="top"/>
                </w:tcPr>
                <w:p w14:paraId="141D4A8C">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tc>
              <w:tc>
                <w:tcPr>
                  <w:tcW w:w="4023" w:type="dxa"/>
                  <w:tcBorders>
                    <w:tl2br w:val="nil"/>
                    <w:tr2bl w:val="nil"/>
                  </w:tcBorders>
                  <w:vAlign w:val="top"/>
                </w:tcPr>
                <w:p w14:paraId="244987A9">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企业应按照 HJ 94 的要求建立台账，记录 含 VOCs 原辅材料的名称、采购量、使用 量、回收量、废弃量、去向、VOCs 含量， 污染治理设施的工艺流程、设计参数、投 运时间、启停时间、温度、风量，过滤材 料更换时间和更换量，吸附剂脱附周期、 更换时间和更换量，催化剂更换时间和更 换量等信息。台账保存期限不少于三年。</w:t>
                  </w:r>
                </w:p>
              </w:tc>
              <w:tc>
                <w:tcPr>
                  <w:tcW w:w="1886" w:type="dxa"/>
                  <w:tcBorders>
                    <w:tl2br w:val="nil"/>
                    <w:tr2bl w:val="nil"/>
                  </w:tcBorders>
                  <w:vAlign w:val="top"/>
                </w:tcPr>
                <w:p w14:paraId="0E04286B">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76313223">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p w14:paraId="0BA5BE8B">
                  <w:pPr>
                    <w:pStyle w:val="109"/>
                    <w:spacing w:before="0"/>
                    <w:ind w:left="0" w:leftChars="0" w:right="0" w:rightChars="0" w:firstLine="0" w:firstLineChars="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符合，企业按照HJ 94 的要求建立台账。台账保存期限不少于三年。</w:t>
                  </w:r>
                </w:p>
              </w:tc>
            </w:tr>
            <w:tr w14:paraId="3853F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366" w:type="dxa"/>
                  <w:vMerge w:val="continue"/>
                  <w:tcBorders>
                    <w:tl2br w:val="nil"/>
                    <w:tr2bl w:val="nil"/>
                  </w:tcBorders>
                  <w:vAlign w:val="top"/>
                </w:tcPr>
                <w:p w14:paraId="7B7AA86C">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tc>
              <w:tc>
                <w:tcPr>
                  <w:tcW w:w="741" w:type="dxa"/>
                  <w:vMerge w:val="continue"/>
                  <w:tcBorders>
                    <w:tl2br w:val="nil"/>
                    <w:tr2bl w:val="nil"/>
                  </w:tcBorders>
                  <w:vAlign w:val="top"/>
                </w:tcPr>
                <w:p w14:paraId="35F0339D">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p>
              </w:tc>
              <w:tc>
                <w:tcPr>
                  <w:tcW w:w="4023" w:type="dxa"/>
                  <w:tcBorders>
                    <w:tl2br w:val="nil"/>
                    <w:tr2bl w:val="nil"/>
                  </w:tcBorders>
                  <w:vAlign w:val="top"/>
                </w:tcPr>
                <w:p w14:paraId="47B9DB7F">
                  <w:pPr>
                    <w:pStyle w:val="109"/>
                    <w:spacing w:before="0"/>
                    <w:ind w:left="105" w:leftChars="50" w:right="105" w:rightChars="5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企业应按照相关法律法规、标准和技术规 范等要求运行污染治理设施，并定期进行 维护和管理，保证治理设施正常运行，污 染物排放应符合 GB16297、GB14554、GB 37822 等要求。企业应按照 GB/T 16157 技 术规范的要求，设计、建设、维护永久性 采样口、采样测试平台和排污口标志。</w:t>
                  </w:r>
                </w:p>
              </w:tc>
              <w:tc>
                <w:tcPr>
                  <w:tcW w:w="1886" w:type="dxa"/>
                  <w:tcBorders>
                    <w:tl2br w:val="nil"/>
                    <w:tr2bl w:val="nil"/>
                  </w:tcBorders>
                  <w:vAlign w:val="top"/>
                </w:tcPr>
                <w:p w14:paraId="7BCA2C13">
                  <w:pPr>
                    <w:pStyle w:val="109"/>
                    <w:spacing w:before="0"/>
                    <w:ind w:left="0" w:leftChars="0" w:right="0" w:rightChars="0" w:firstLine="0" w:firstLineChars="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符合，企业规范运行污染治理设施，并定期进行维护和管理。企业按照技术规范设计、建设、维护永久性采样口、采样测试平台和排污口标志。</w:t>
                  </w:r>
                </w:p>
              </w:tc>
            </w:tr>
          </w:tbl>
          <w:p w14:paraId="5E7A56A7">
            <w:pPr>
              <w:keepNext w:val="0"/>
              <w:keepLines w:val="0"/>
              <w:widowControl/>
              <w:suppressLineNumbers w:val="0"/>
              <w:spacing w:line="360" w:lineRule="auto"/>
              <w:ind w:firstLine="480" w:firstLineChars="200"/>
              <w:jc w:val="left"/>
              <w:rPr>
                <w:rFonts w:hint="eastAsia" w:hAnsi="宋体" w:eastAsia="宋体"/>
                <w:b/>
                <w:color w:val="auto"/>
              </w:rPr>
            </w:pPr>
            <w:r>
              <w:rPr>
                <w:rFonts w:hint="eastAsia" w:ascii="宋体" w:hAnsi="宋体" w:eastAsia="宋体" w:cs="宋体"/>
                <w:color w:val="000000"/>
                <w:kern w:val="0"/>
                <w:sz w:val="24"/>
                <w:szCs w:val="24"/>
                <w:lang w:val="en-US" w:eastAsia="zh-CN" w:bidi="ar"/>
              </w:rPr>
              <w:t xml:space="preserve">由表 </w:t>
            </w:r>
            <w:r>
              <w:rPr>
                <w:rFonts w:hint="default" w:ascii="Times New Roman" w:hAnsi="Times New Roman" w:eastAsia="宋体" w:cs="Times New Roman"/>
                <w:color w:val="000000"/>
                <w:kern w:val="0"/>
                <w:sz w:val="24"/>
                <w:szCs w:val="24"/>
                <w:lang w:val="en-US" w:eastAsia="zh-CN" w:bidi="ar"/>
              </w:rPr>
              <w:t xml:space="preserve">1-14 </w:t>
            </w:r>
            <w:r>
              <w:rPr>
                <w:rFonts w:hint="eastAsia" w:ascii="宋体" w:hAnsi="宋体" w:eastAsia="宋体" w:cs="宋体"/>
                <w:color w:val="000000"/>
                <w:kern w:val="0"/>
                <w:sz w:val="24"/>
                <w:szCs w:val="24"/>
                <w:lang w:val="en-US" w:eastAsia="zh-CN" w:bidi="ar"/>
              </w:rPr>
              <w:t>可知，项目建设符合《浙江省塑料制品业挥发性有机物污染防治可行技术指南》。</w:t>
            </w:r>
          </w:p>
          <w:p w14:paraId="512B9672">
            <w:pPr>
              <w:pStyle w:val="3"/>
              <w:spacing w:line="440" w:lineRule="exact"/>
              <w:ind w:firstLine="0" w:firstLineChars="0"/>
              <w:jc w:val="left"/>
              <w:rPr>
                <w:rFonts w:hAnsi="宋体" w:eastAsia="宋体"/>
                <w:b/>
                <w:color w:val="auto"/>
              </w:rPr>
            </w:pPr>
            <w:r>
              <w:rPr>
                <w:rFonts w:hint="eastAsia" w:hAnsi="宋体" w:eastAsia="宋体"/>
                <w:b/>
                <w:color w:val="auto"/>
              </w:rPr>
              <w:t>1.3.10与《浙江省“十四五”挥发性有机物综合治理方案》符合性分析</w:t>
            </w:r>
          </w:p>
          <w:p w14:paraId="4E67B85C">
            <w:pPr>
              <w:pStyle w:val="3"/>
              <w:spacing w:line="440" w:lineRule="exact"/>
              <w:rPr>
                <w:rFonts w:hAnsi="宋体" w:eastAsia="宋体"/>
                <w:bCs/>
                <w:color w:val="auto"/>
                <w:kern w:val="0"/>
              </w:rPr>
            </w:pPr>
            <w:r>
              <w:rPr>
                <w:rFonts w:hint="eastAsia" w:hAnsi="宋体" w:eastAsia="宋体"/>
                <w:bCs/>
                <w:color w:val="auto"/>
                <w:kern w:val="0"/>
              </w:rPr>
              <w:t>经与《浙江省“十四五”挥发性有机物综合治理方案》进行对比分析可知（主要分析与本项目相关内容），本项目实施符合综合治理的相关要求，详见表1-11。</w:t>
            </w:r>
          </w:p>
          <w:p w14:paraId="7DF46B4D">
            <w:pPr>
              <w:pStyle w:val="2"/>
              <w:spacing w:line="440" w:lineRule="exact"/>
              <w:ind w:firstLine="422"/>
              <w:jc w:val="center"/>
              <w:rPr>
                <w:b/>
                <w:bCs/>
                <w:color w:val="auto"/>
                <w:szCs w:val="21"/>
              </w:rPr>
            </w:pPr>
            <w:r>
              <w:rPr>
                <w:b/>
                <w:bCs/>
                <w:color w:val="auto"/>
                <w:szCs w:val="21"/>
              </w:rPr>
              <w:t>表1-1</w:t>
            </w:r>
            <w:r>
              <w:rPr>
                <w:rFonts w:hint="eastAsia"/>
                <w:b/>
                <w:bCs/>
                <w:color w:val="auto"/>
                <w:szCs w:val="21"/>
              </w:rPr>
              <w:t xml:space="preserve">1 </w:t>
            </w:r>
            <w:r>
              <w:rPr>
                <w:b/>
                <w:bCs/>
                <w:color w:val="auto"/>
                <w:szCs w:val="21"/>
              </w:rPr>
              <w:t>《浙江省“十四五”挥发性有机物综合治理方案》符合性分析</w:t>
            </w:r>
          </w:p>
          <w:tbl>
            <w:tblPr>
              <w:tblStyle w:val="38"/>
              <w:tblW w:w="7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90"/>
              <w:gridCol w:w="3473"/>
              <w:gridCol w:w="1833"/>
              <w:gridCol w:w="495"/>
            </w:tblGrid>
            <w:tr w14:paraId="0F86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noWrap/>
                  <w:vAlign w:val="center"/>
                </w:tcPr>
                <w:p w14:paraId="6B238692">
                  <w:pPr>
                    <w:pStyle w:val="3"/>
                    <w:ind w:firstLine="0" w:firstLineChars="0"/>
                    <w:jc w:val="center"/>
                    <w:rPr>
                      <w:rFonts w:eastAsia="宋体"/>
                      <w:b/>
                      <w:bCs/>
                      <w:color w:val="auto"/>
                      <w:sz w:val="21"/>
                      <w:szCs w:val="21"/>
                    </w:rPr>
                  </w:pPr>
                  <w:r>
                    <w:rPr>
                      <w:rFonts w:eastAsia="宋体"/>
                      <w:b/>
                      <w:bCs/>
                      <w:color w:val="auto"/>
                      <w:sz w:val="21"/>
                      <w:szCs w:val="21"/>
                    </w:rPr>
                    <w:t>主要任务</w:t>
                  </w:r>
                </w:p>
              </w:tc>
              <w:tc>
                <w:tcPr>
                  <w:tcW w:w="390" w:type="dxa"/>
                  <w:noWrap/>
                  <w:vAlign w:val="center"/>
                </w:tcPr>
                <w:p w14:paraId="7B44CB45">
                  <w:pPr>
                    <w:pStyle w:val="3"/>
                    <w:ind w:firstLine="0" w:firstLineChars="0"/>
                    <w:jc w:val="left"/>
                    <w:rPr>
                      <w:rFonts w:eastAsia="宋体"/>
                      <w:b/>
                      <w:bCs/>
                      <w:color w:val="auto"/>
                      <w:sz w:val="21"/>
                      <w:szCs w:val="21"/>
                    </w:rPr>
                  </w:pPr>
                  <w:r>
                    <w:rPr>
                      <w:rFonts w:eastAsia="宋体"/>
                      <w:b/>
                      <w:bCs/>
                      <w:color w:val="auto"/>
                      <w:sz w:val="21"/>
                      <w:szCs w:val="21"/>
                    </w:rPr>
                    <w:t>序号</w:t>
                  </w:r>
                </w:p>
              </w:tc>
              <w:tc>
                <w:tcPr>
                  <w:tcW w:w="3473" w:type="dxa"/>
                  <w:noWrap/>
                  <w:vAlign w:val="center"/>
                </w:tcPr>
                <w:p w14:paraId="6D0C1217">
                  <w:pPr>
                    <w:pStyle w:val="3"/>
                    <w:ind w:firstLine="0" w:firstLineChars="0"/>
                    <w:jc w:val="center"/>
                    <w:rPr>
                      <w:rFonts w:eastAsia="宋体"/>
                      <w:b/>
                      <w:bCs/>
                      <w:color w:val="auto"/>
                      <w:sz w:val="21"/>
                      <w:szCs w:val="21"/>
                    </w:rPr>
                  </w:pPr>
                  <w:r>
                    <w:rPr>
                      <w:rFonts w:eastAsia="宋体"/>
                      <w:b/>
                      <w:bCs/>
                      <w:color w:val="auto"/>
                      <w:sz w:val="21"/>
                      <w:szCs w:val="21"/>
                    </w:rPr>
                    <w:t>判断依据</w:t>
                  </w:r>
                </w:p>
              </w:tc>
              <w:tc>
                <w:tcPr>
                  <w:tcW w:w="1833" w:type="dxa"/>
                  <w:noWrap/>
                  <w:vAlign w:val="center"/>
                </w:tcPr>
                <w:p w14:paraId="4CD5BC60">
                  <w:pPr>
                    <w:pStyle w:val="3"/>
                    <w:ind w:firstLine="0" w:firstLineChars="0"/>
                    <w:jc w:val="center"/>
                    <w:rPr>
                      <w:rFonts w:eastAsia="宋体"/>
                      <w:b/>
                      <w:bCs/>
                      <w:color w:val="auto"/>
                      <w:sz w:val="21"/>
                      <w:szCs w:val="21"/>
                    </w:rPr>
                  </w:pPr>
                  <w:r>
                    <w:rPr>
                      <w:rFonts w:eastAsia="宋体"/>
                      <w:b/>
                      <w:bCs/>
                      <w:color w:val="auto"/>
                      <w:sz w:val="21"/>
                      <w:szCs w:val="21"/>
                    </w:rPr>
                    <w:t>本项目情况</w:t>
                  </w:r>
                </w:p>
              </w:tc>
              <w:tc>
                <w:tcPr>
                  <w:tcW w:w="495" w:type="dxa"/>
                  <w:noWrap/>
                  <w:vAlign w:val="center"/>
                </w:tcPr>
                <w:p w14:paraId="7F724D22">
                  <w:pPr>
                    <w:pStyle w:val="3"/>
                    <w:ind w:firstLine="0" w:firstLineChars="0"/>
                    <w:jc w:val="center"/>
                    <w:rPr>
                      <w:rFonts w:eastAsia="宋体"/>
                      <w:b/>
                      <w:bCs/>
                      <w:color w:val="auto"/>
                      <w:sz w:val="21"/>
                      <w:szCs w:val="21"/>
                    </w:rPr>
                  </w:pPr>
                  <w:r>
                    <w:rPr>
                      <w:rFonts w:eastAsia="宋体"/>
                      <w:b/>
                      <w:bCs/>
                      <w:color w:val="auto"/>
                      <w:sz w:val="21"/>
                      <w:szCs w:val="21"/>
                    </w:rPr>
                    <w:t>符合性</w:t>
                  </w:r>
                </w:p>
              </w:tc>
            </w:tr>
            <w:tr w14:paraId="047E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vMerge w:val="restart"/>
                  <w:noWrap/>
                  <w:vAlign w:val="center"/>
                </w:tcPr>
                <w:p w14:paraId="4B2092B3">
                  <w:pPr>
                    <w:pStyle w:val="3"/>
                    <w:ind w:firstLine="0" w:firstLineChars="0"/>
                    <w:jc w:val="center"/>
                    <w:rPr>
                      <w:rFonts w:eastAsia="宋体"/>
                      <w:color w:val="auto"/>
                      <w:sz w:val="21"/>
                      <w:szCs w:val="21"/>
                    </w:rPr>
                  </w:pPr>
                  <w:r>
                    <w:rPr>
                      <w:rFonts w:eastAsia="宋体"/>
                      <w:color w:val="auto"/>
                      <w:sz w:val="21"/>
                      <w:szCs w:val="21"/>
                    </w:rPr>
                    <w:t>推动产业结构调整，助力绿色发展</w:t>
                  </w:r>
                </w:p>
              </w:tc>
              <w:tc>
                <w:tcPr>
                  <w:tcW w:w="390" w:type="dxa"/>
                  <w:noWrap/>
                  <w:vAlign w:val="center"/>
                </w:tcPr>
                <w:p w14:paraId="1B3DD7E1">
                  <w:pPr>
                    <w:pStyle w:val="3"/>
                    <w:ind w:firstLine="0" w:firstLineChars="0"/>
                    <w:jc w:val="center"/>
                    <w:rPr>
                      <w:rFonts w:eastAsia="宋体"/>
                      <w:color w:val="auto"/>
                      <w:sz w:val="21"/>
                      <w:szCs w:val="21"/>
                    </w:rPr>
                  </w:pPr>
                  <w:r>
                    <w:rPr>
                      <w:rFonts w:eastAsia="宋体"/>
                      <w:color w:val="auto"/>
                      <w:sz w:val="21"/>
                      <w:szCs w:val="21"/>
                    </w:rPr>
                    <w:t>1</w:t>
                  </w:r>
                </w:p>
              </w:tc>
              <w:tc>
                <w:tcPr>
                  <w:tcW w:w="3473" w:type="dxa"/>
                  <w:noWrap/>
                  <w:vAlign w:val="center"/>
                </w:tcPr>
                <w:p w14:paraId="2A8BA325">
                  <w:pPr>
                    <w:pStyle w:val="3"/>
                    <w:ind w:firstLine="0" w:firstLineChars="0"/>
                    <w:jc w:val="left"/>
                    <w:rPr>
                      <w:rFonts w:eastAsia="宋体"/>
                      <w:color w:val="auto"/>
                      <w:sz w:val="21"/>
                      <w:szCs w:val="21"/>
                    </w:rPr>
                  </w:pPr>
                  <w:r>
                    <w:rPr>
                      <w:rFonts w:eastAsia="宋体"/>
                      <w:color w:val="auto"/>
                      <w:sz w:val="21"/>
                      <w:szCs w:val="21"/>
                    </w:rPr>
                    <w:t>优化产业结构。引导石化、化工、工业涂装、包装印刷、合成革、化纤、纺织印染等重点行业合理布局，限制高VOCs排放化工类建设项目，禁止建设生产和使用VOCs含量限值不符合国家标准的涂料、油墨、胶粘剂、清洗剂等项目。贯彻落实《产业结构调整指导目录》《国家鼓励的有毒有害原料（产品）替代品目录》，依法依规淘汰涉VOCs排放工艺和装备，加大引导退出限制类工艺和装备力度，从源头减少涉VOCs污染物产生。</w:t>
                  </w:r>
                </w:p>
              </w:tc>
              <w:tc>
                <w:tcPr>
                  <w:tcW w:w="1833" w:type="dxa"/>
                  <w:noWrap/>
                  <w:vAlign w:val="center"/>
                </w:tcPr>
                <w:p w14:paraId="3E237A29">
                  <w:pPr>
                    <w:pStyle w:val="3"/>
                    <w:ind w:firstLine="0" w:firstLineChars="0"/>
                    <w:jc w:val="left"/>
                    <w:rPr>
                      <w:rFonts w:eastAsia="宋体"/>
                      <w:color w:val="auto"/>
                      <w:sz w:val="21"/>
                      <w:szCs w:val="21"/>
                    </w:rPr>
                  </w:pPr>
                  <w:r>
                    <w:rPr>
                      <w:rFonts w:hint="eastAsia" w:eastAsia="宋体"/>
                      <w:color w:val="auto"/>
                      <w:sz w:val="21"/>
                      <w:szCs w:val="21"/>
                    </w:rPr>
                    <w:t>本项目</w:t>
                  </w:r>
                  <w:r>
                    <w:rPr>
                      <w:rFonts w:hint="eastAsia" w:eastAsia="宋体"/>
                      <w:color w:val="auto"/>
                      <w:sz w:val="21"/>
                      <w:szCs w:val="21"/>
                      <w:lang w:eastAsia="zh-CN"/>
                    </w:rPr>
                    <w:t>不涉及</w:t>
                  </w:r>
                  <w:r>
                    <w:rPr>
                      <w:rFonts w:hint="eastAsia" w:eastAsia="宋体"/>
                      <w:color w:val="auto"/>
                      <w:sz w:val="21"/>
                      <w:szCs w:val="21"/>
                      <w:lang w:val="en-US" w:eastAsia="zh-CN"/>
                    </w:rPr>
                    <w:t>vocs含量限值不符合国家标准的原料</w:t>
                  </w:r>
                  <w:r>
                    <w:rPr>
                      <w:rFonts w:hint="eastAsia" w:eastAsia="宋体"/>
                      <w:color w:val="auto"/>
                      <w:sz w:val="21"/>
                      <w:szCs w:val="21"/>
                    </w:rPr>
                    <w:t>，不涉及</w:t>
                  </w:r>
                  <w:r>
                    <w:rPr>
                      <w:rFonts w:eastAsia="宋体"/>
                      <w:color w:val="auto"/>
                      <w:sz w:val="21"/>
                      <w:szCs w:val="21"/>
                    </w:rPr>
                    <w:t>限制类工艺和装备</w:t>
                  </w:r>
                  <w:r>
                    <w:rPr>
                      <w:rFonts w:hint="eastAsia" w:eastAsia="宋体"/>
                      <w:color w:val="auto"/>
                      <w:sz w:val="21"/>
                      <w:szCs w:val="21"/>
                    </w:rPr>
                    <w:t>。</w:t>
                  </w:r>
                  <w:r>
                    <w:rPr>
                      <w:rFonts w:eastAsia="宋体"/>
                      <w:color w:val="auto"/>
                      <w:sz w:val="21"/>
                      <w:szCs w:val="21"/>
                    </w:rPr>
                    <w:t>从源头减少涉VOCs污染物产生。</w:t>
                  </w:r>
                </w:p>
              </w:tc>
              <w:tc>
                <w:tcPr>
                  <w:tcW w:w="495" w:type="dxa"/>
                  <w:noWrap/>
                  <w:vAlign w:val="center"/>
                </w:tcPr>
                <w:p w14:paraId="4BA761BC">
                  <w:pPr>
                    <w:pStyle w:val="3"/>
                    <w:ind w:firstLine="0" w:firstLineChars="0"/>
                    <w:jc w:val="center"/>
                    <w:rPr>
                      <w:rFonts w:eastAsia="宋体"/>
                      <w:color w:val="auto"/>
                      <w:sz w:val="21"/>
                      <w:szCs w:val="21"/>
                    </w:rPr>
                  </w:pPr>
                  <w:r>
                    <w:rPr>
                      <w:rFonts w:hint="eastAsia" w:eastAsia="宋体"/>
                      <w:color w:val="auto"/>
                      <w:sz w:val="21"/>
                      <w:szCs w:val="21"/>
                    </w:rPr>
                    <w:t>符合</w:t>
                  </w:r>
                </w:p>
              </w:tc>
            </w:tr>
            <w:tr w14:paraId="488B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vMerge w:val="continue"/>
                  <w:noWrap/>
                  <w:vAlign w:val="center"/>
                </w:tcPr>
                <w:p w14:paraId="3656CB5B">
                  <w:pPr>
                    <w:pStyle w:val="3"/>
                    <w:ind w:firstLine="0" w:firstLineChars="0"/>
                    <w:jc w:val="center"/>
                    <w:rPr>
                      <w:rFonts w:eastAsia="宋体"/>
                      <w:color w:val="auto"/>
                      <w:sz w:val="21"/>
                      <w:szCs w:val="21"/>
                    </w:rPr>
                  </w:pPr>
                </w:p>
              </w:tc>
              <w:tc>
                <w:tcPr>
                  <w:tcW w:w="390" w:type="dxa"/>
                  <w:noWrap/>
                  <w:vAlign w:val="center"/>
                </w:tcPr>
                <w:p w14:paraId="6E6BCA5A">
                  <w:pPr>
                    <w:pStyle w:val="3"/>
                    <w:ind w:firstLine="0" w:firstLineChars="0"/>
                    <w:jc w:val="center"/>
                    <w:rPr>
                      <w:rFonts w:eastAsia="宋体"/>
                      <w:color w:val="auto"/>
                      <w:sz w:val="21"/>
                      <w:szCs w:val="21"/>
                    </w:rPr>
                  </w:pPr>
                  <w:r>
                    <w:rPr>
                      <w:rFonts w:eastAsia="宋体"/>
                      <w:color w:val="auto"/>
                      <w:sz w:val="21"/>
                      <w:szCs w:val="21"/>
                    </w:rPr>
                    <w:t>2</w:t>
                  </w:r>
                </w:p>
              </w:tc>
              <w:tc>
                <w:tcPr>
                  <w:tcW w:w="3473" w:type="dxa"/>
                  <w:noWrap/>
                  <w:vAlign w:val="center"/>
                </w:tcPr>
                <w:p w14:paraId="510BB15B">
                  <w:pPr>
                    <w:pStyle w:val="3"/>
                    <w:ind w:firstLine="0" w:firstLineChars="0"/>
                    <w:jc w:val="left"/>
                    <w:rPr>
                      <w:rFonts w:eastAsia="宋体"/>
                      <w:color w:val="auto"/>
                      <w:sz w:val="21"/>
                      <w:szCs w:val="21"/>
                    </w:rPr>
                  </w:pPr>
                  <w:r>
                    <w:rPr>
                      <w:rFonts w:eastAsia="宋体"/>
                      <w:color w:val="auto"/>
                      <w:sz w:val="21"/>
                      <w:szCs w:val="21"/>
                    </w:rPr>
                    <w:t>严格环境准入。严格执行“三线一单”为核心的生态环境分区管控体系，制（修）订纺织印染（数码喷印）等行业绿色准入指导意见。严格执行建设项目新增VOCs排放量区域削减替代规定，削减措施原则上应优先来源于纳入排污许可管理的排污单位采取的治理措施，并与建设项目位于同一设区市。上一年度环境空气质量达标的区域，对石化等行业的建设项目VOCs排放量实行等量削减；上一年度环境空气质量不达标的区域，对石化等行业的建设项目VOCs排放量实行2倍量削减，直至达标后的下一年再恢复等量削减。</w:t>
                  </w:r>
                </w:p>
              </w:tc>
              <w:tc>
                <w:tcPr>
                  <w:tcW w:w="1833" w:type="dxa"/>
                  <w:noWrap/>
                  <w:vAlign w:val="center"/>
                </w:tcPr>
                <w:p w14:paraId="24846E0B">
                  <w:pPr>
                    <w:pStyle w:val="3"/>
                    <w:ind w:firstLine="0" w:firstLineChars="0"/>
                    <w:jc w:val="left"/>
                    <w:rPr>
                      <w:rFonts w:eastAsia="宋体"/>
                      <w:color w:val="auto"/>
                      <w:sz w:val="21"/>
                      <w:szCs w:val="21"/>
                    </w:rPr>
                  </w:pPr>
                  <w:r>
                    <w:rPr>
                      <w:rFonts w:hint="eastAsia" w:eastAsia="宋体"/>
                      <w:color w:val="auto"/>
                      <w:sz w:val="21"/>
                      <w:szCs w:val="21"/>
                    </w:rPr>
                    <w:t>本项目符合“三线一单”生态环境分区管控要求。</w:t>
                  </w:r>
                  <w:r>
                    <w:rPr>
                      <w:rFonts w:eastAsia="宋体"/>
                      <w:color w:val="auto"/>
                      <w:sz w:val="21"/>
                      <w:szCs w:val="21"/>
                    </w:rPr>
                    <w:t>新增VOCs排放量</w:t>
                  </w:r>
                  <w:r>
                    <w:rPr>
                      <w:rFonts w:hint="eastAsia" w:eastAsia="宋体"/>
                      <w:color w:val="auto"/>
                      <w:sz w:val="21"/>
                      <w:szCs w:val="21"/>
                    </w:rPr>
                    <w:t>按照1:2实施</w:t>
                  </w:r>
                  <w:r>
                    <w:rPr>
                      <w:rFonts w:eastAsia="宋体"/>
                      <w:color w:val="auto"/>
                      <w:sz w:val="21"/>
                      <w:szCs w:val="21"/>
                    </w:rPr>
                    <w:t>区域削减替代</w:t>
                  </w:r>
                  <w:r>
                    <w:rPr>
                      <w:rFonts w:hint="eastAsia" w:eastAsia="宋体"/>
                      <w:color w:val="auto"/>
                      <w:sz w:val="21"/>
                      <w:szCs w:val="21"/>
                    </w:rPr>
                    <w:t>。安吉属于</w:t>
                  </w:r>
                  <w:r>
                    <w:rPr>
                      <w:rFonts w:eastAsia="宋体"/>
                      <w:color w:val="auto"/>
                      <w:sz w:val="21"/>
                      <w:szCs w:val="21"/>
                    </w:rPr>
                    <w:t>上一年度环境空气质量达标的区域</w:t>
                  </w:r>
                  <w:r>
                    <w:rPr>
                      <w:rFonts w:hint="eastAsia" w:eastAsia="宋体"/>
                      <w:color w:val="auto"/>
                      <w:sz w:val="21"/>
                      <w:szCs w:val="21"/>
                    </w:rPr>
                    <w:t>。</w:t>
                  </w:r>
                </w:p>
              </w:tc>
              <w:tc>
                <w:tcPr>
                  <w:tcW w:w="495" w:type="dxa"/>
                  <w:noWrap/>
                  <w:vAlign w:val="center"/>
                </w:tcPr>
                <w:p w14:paraId="79B7069E">
                  <w:pPr>
                    <w:pStyle w:val="3"/>
                    <w:ind w:firstLine="0" w:firstLineChars="0"/>
                    <w:jc w:val="center"/>
                    <w:rPr>
                      <w:rFonts w:eastAsia="宋体"/>
                      <w:color w:val="auto"/>
                      <w:sz w:val="21"/>
                      <w:szCs w:val="21"/>
                    </w:rPr>
                  </w:pPr>
                  <w:r>
                    <w:rPr>
                      <w:rFonts w:hint="eastAsia" w:eastAsia="宋体"/>
                      <w:color w:val="auto"/>
                      <w:sz w:val="21"/>
                      <w:szCs w:val="21"/>
                    </w:rPr>
                    <w:t>符合</w:t>
                  </w:r>
                </w:p>
              </w:tc>
            </w:tr>
            <w:tr w14:paraId="05D9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vMerge w:val="restart"/>
                  <w:noWrap/>
                  <w:vAlign w:val="center"/>
                </w:tcPr>
                <w:p w14:paraId="0A586051">
                  <w:pPr>
                    <w:pStyle w:val="3"/>
                    <w:ind w:firstLine="0" w:firstLineChars="0"/>
                    <w:jc w:val="center"/>
                    <w:rPr>
                      <w:rFonts w:eastAsia="宋体"/>
                      <w:color w:val="auto"/>
                      <w:sz w:val="21"/>
                      <w:szCs w:val="21"/>
                    </w:rPr>
                  </w:pPr>
                  <w:r>
                    <w:rPr>
                      <w:rFonts w:eastAsia="宋体"/>
                      <w:color w:val="auto"/>
                      <w:sz w:val="21"/>
                      <w:szCs w:val="21"/>
                    </w:rPr>
                    <w:t>大力推进绿色生产，强化源头控制</w:t>
                  </w:r>
                </w:p>
              </w:tc>
              <w:tc>
                <w:tcPr>
                  <w:tcW w:w="390" w:type="dxa"/>
                  <w:noWrap/>
                  <w:vAlign w:val="center"/>
                </w:tcPr>
                <w:p w14:paraId="0E5D2DB4">
                  <w:pPr>
                    <w:pStyle w:val="3"/>
                    <w:ind w:firstLine="0" w:firstLineChars="0"/>
                    <w:jc w:val="center"/>
                    <w:rPr>
                      <w:rFonts w:eastAsia="宋体"/>
                      <w:color w:val="auto"/>
                      <w:sz w:val="21"/>
                      <w:szCs w:val="21"/>
                    </w:rPr>
                  </w:pPr>
                  <w:r>
                    <w:rPr>
                      <w:rFonts w:eastAsia="宋体"/>
                      <w:color w:val="auto"/>
                      <w:sz w:val="21"/>
                      <w:szCs w:val="21"/>
                    </w:rPr>
                    <w:t>3</w:t>
                  </w:r>
                </w:p>
              </w:tc>
              <w:tc>
                <w:tcPr>
                  <w:tcW w:w="3473" w:type="dxa"/>
                  <w:noWrap/>
                  <w:vAlign w:val="center"/>
                </w:tcPr>
                <w:p w14:paraId="4D692FD7">
                  <w:pPr>
                    <w:pStyle w:val="3"/>
                    <w:ind w:firstLine="0" w:firstLineChars="0"/>
                    <w:jc w:val="left"/>
                    <w:rPr>
                      <w:rFonts w:eastAsia="宋体"/>
                      <w:color w:val="auto"/>
                      <w:sz w:val="21"/>
                      <w:szCs w:val="21"/>
                    </w:rPr>
                  </w:pPr>
                  <w:r>
                    <w:rPr>
                      <w:rFonts w:eastAsia="宋体"/>
                      <w:color w:val="auto"/>
                      <w:sz w:val="21"/>
                      <w:szCs w:val="21"/>
                    </w:rPr>
                    <w:t>全面提升生产工艺绿色化水平。石化、化工等行业应采用原辅材料利用率高、废弃物产生量少的生产工艺，提升生产装备水平，采用密闭化、连续化、自动化、管道化等生产技术，鼓励工艺装置采取重力流布置，推广采用油品在线调和技术、密闭式循环水冷却系统等。工业涂装行业重点推进使用紧凑式涂装工艺，推广采用辊涂、静电喷涂、高压无气喷涂、空气辅助无气喷涂、热喷涂、超临界二氧化碳喷涂等技术，鼓励企业采用自动化、智能化喷涂设备替代人工喷涂，减少使用空气喷涂技术。包装印刷行业推广使用无溶剂复合、共挤出复合技术，鼓励采用水性凹印、醇水凹印、辐射固化凹印、柔版印刷、无水胶印等印刷工艺。鼓励生产工艺装备落后、在既有基础上整改困难的企业推倒重建，从车间布局、工艺装备等方面全面提升治理水平。</w:t>
                  </w:r>
                </w:p>
              </w:tc>
              <w:tc>
                <w:tcPr>
                  <w:tcW w:w="1833" w:type="dxa"/>
                  <w:noWrap/>
                  <w:vAlign w:val="center"/>
                </w:tcPr>
                <w:p w14:paraId="6BAC7DA5">
                  <w:pPr>
                    <w:pStyle w:val="3"/>
                    <w:ind w:firstLine="0" w:firstLineChars="0"/>
                    <w:jc w:val="left"/>
                    <w:rPr>
                      <w:rFonts w:eastAsia="宋体"/>
                      <w:color w:val="auto"/>
                      <w:sz w:val="21"/>
                      <w:szCs w:val="21"/>
                    </w:rPr>
                  </w:pPr>
                  <w:r>
                    <w:rPr>
                      <w:rFonts w:hint="eastAsia" w:eastAsia="宋体"/>
                      <w:color w:val="auto"/>
                      <w:sz w:val="21"/>
                      <w:szCs w:val="21"/>
                    </w:rPr>
                    <w:t>本项目涉及VOC工艺车间均采用密闭隔间。</w:t>
                  </w:r>
                </w:p>
              </w:tc>
              <w:tc>
                <w:tcPr>
                  <w:tcW w:w="495" w:type="dxa"/>
                  <w:noWrap/>
                  <w:vAlign w:val="center"/>
                </w:tcPr>
                <w:p w14:paraId="37429799">
                  <w:pPr>
                    <w:pStyle w:val="3"/>
                    <w:ind w:firstLine="0" w:firstLineChars="0"/>
                    <w:jc w:val="center"/>
                    <w:rPr>
                      <w:rFonts w:eastAsia="宋体"/>
                      <w:color w:val="auto"/>
                      <w:sz w:val="21"/>
                      <w:szCs w:val="21"/>
                    </w:rPr>
                  </w:pPr>
                  <w:r>
                    <w:rPr>
                      <w:rFonts w:hint="eastAsia" w:eastAsia="宋体"/>
                      <w:color w:val="auto"/>
                      <w:sz w:val="21"/>
                      <w:szCs w:val="21"/>
                    </w:rPr>
                    <w:t>符合</w:t>
                  </w:r>
                </w:p>
              </w:tc>
            </w:tr>
            <w:tr w14:paraId="450C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vMerge w:val="continue"/>
                  <w:noWrap/>
                  <w:vAlign w:val="center"/>
                </w:tcPr>
                <w:p w14:paraId="0E8C334E">
                  <w:pPr>
                    <w:pStyle w:val="3"/>
                    <w:ind w:firstLine="0" w:firstLineChars="0"/>
                    <w:jc w:val="center"/>
                    <w:rPr>
                      <w:rFonts w:eastAsia="宋体"/>
                      <w:color w:val="auto"/>
                      <w:sz w:val="21"/>
                      <w:szCs w:val="21"/>
                    </w:rPr>
                  </w:pPr>
                </w:p>
              </w:tc>
              <w:tc>
                <w:tcPr>
                  <w:tcW w:w="390" w:type="dxa"/>
                  <w:noWrap/>
                  <w:vAlign w:val="center"/>
                </w:tcPr>
                <w:p w14:paraId="24F581DD">
                  <w:pPr>
                    <w:pStyle w:val="3"/>
                    <w:ind w:firstLine="0" w:firstLineChars="0"/>
                    <w:jc w:val="center"/>
                    <w:rPr>
                      <w:rFonts w:eastAsia="宋体"/>
                      <w:color w:val="auto"/>
                      <w:sz w:val="21"/>
                      <w:szCs w:val="21"/>
                    </w:rPr>
                  </w:pPr>
                  <w:r>
                    <w:rPr>
                      <w:rFonts w:eastAsia="宋体"/>
                      <w:color w:val="auto"/>
                      <w:sz w:val="21"/>
                      <w:szCs w:val="21"/>
                    </w:rPr>
                    <w:t>4</w:t>
                  </w:r>
                </w:p>
              </w:tc>
              <w:tc>
                <w:tcPr>
                  <w:tcW w:w="3473" w:type="dxa"/>
                  <w:noWrap/>
                  <w:vAlign w:val="center"/>
                </w:tcPr>
                <w:p w14:paraId="7D237288">
                  <w:pPr>
                    <w:pStyle w:val="3"/>
                    <w:ind w:firstLine="0" w:firstLineChars="0"/>
                    <w:rPr>
                      <w:rFonts w:eastAsia="宋体"/>
                      <w:color w:val="auto"/>
                      <w:sz w:val="21"/>
                      <w:szCs w:val="21"/>
                    </w:rPr>
                  </w:pPr>
                  <w:r>
                    <w:rPr>
                      <w:rFonts w:eastAsia="宋体"/>
                      <w:color w:val="auto"/>
                      <w:sz w:val="21"/>
                      <w:szCs w:val="21"/>
                    </w:rPr>
                    <w:t>全面推行工业涂装企业使用低VOCs含量原辅材料。严格执行《大气污染防治法》第四十六条规定，选用粉末涂料、水性涂料、无溶剂涂料、辐射固化涂料等环境友好型涂料和符合要求的（高固体分）溶剂型涂料。工业涂装企业所使用的水性涂料、溶剂型涂料、无溶剂涂料、辐射固化涂料应符合《低挥发性有机化合物含量涂料产品技术要求》规定的VOCs含量限值要求，并建立台账，记录原辅材料的使用量、废弃量、去向以及VOCs含量。</w:t>
                  </w:r>
                </w:p>
              </w:tc>
              <w:tc>
                <w:tcPr>
                  <w:tcW w:w="1833" w:type="dxa"/>
                  <w:noWrap/>
                  <w:vAlign w:val="center"/>
                </w:tcPr>
                <w:p w14:paraId="0E0E5A46">
                  <w:pPr>
                    <w:pStyle w:val="3"/>
                    <w:ind w:firstLine="0" w:firstLineChars="0"/>
                    <w:rPr>
                      <w:rFonts w:hint="eastAsia" w:eastAsia="宋体"/>
                      <w:color w:val="auto"/>
                      <w:sz w:val="21"/>
                      <w:szCs w:val="21"/>
                      <w:lang w:eastAsia="zh-CN"/>
                    </w:rPr>
                  </w:pPr>
                  <w:r>
                    <w:rPr>
                      <w:rFonts w:hint="eastAsia" w:eastAsia="宋体"/>
                      <w:color w:val="auto"/>
                      <w:sz w:val="21"/>
                      <w:szCs w:val="21"/>
                    </w:rPr>
                    <w:t>本项目</w:t>
                  </w:r>
                  <w:r>
                    <w:rPr>
                      <w:rFonts w:hint="eastAsia" w:eastAsia="宋体"/>
                      <w:color w:val="auto"/>
                      <w:sz w:val="21"/>
                      <w:szCs w:val="21"/>
                      <w:lang w:eastAsia="zh-CN"/>
                    </w:rPr>
                    <w:t>不涉及使用涂料等。</w:t>
                  </w:r>
                </w:p>
              </w:tc>
              <w:tc>
                <w:tcPr>
                  <w:tcW w:w="495" w:type="dxa"/>
                  <w:noWrap/>
                  <w:vAlign w:val="center"/>
                </w:tcPr>
                <w:p w14:paraId="3989C5BE">
                  <w:pPr>
                    <w:pStyle w:val="3"/>
                    <w:ind w:firstLine="0" w:firstLineChars="0"/>
                    <w:jc w:val="center"/>
                    <w:rPr>
                      <w:rFonts w:eastAsia="宋体"/>
                      <w:color w:val="auto"/>
                      <w:sz w:val="21"/>
                      <w:szCs w:val="21"/>
                    </w:rPr>
                  </w:pPr>
                  <w:r>
                    <w:rPr>
                      <w:rFonts w:hint="eastAsia" w:eastAsia="宋体"/>
                      <w:color w:val="auto"/>
                      <w:sz w:val="21"/>
                      <w:szCs w:val="21"/>
                    </w:rPr>
                    <w:t>符合</w:t>
                  </w:r>
                </w:p>
              </w:tc>
            </w:tr>
            <w:tr w14:paraId="4F7D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vMerge w:val="continue"/>
                  <w:noWrap/>
                  <w:vAlign w:val="center"/>
                </w:tcPr>
                <w:p w14:paraId="282EA4B8">
                  <w:pPr>
                    <w:pStyle w:val="3"/>
                    <w:ind w:firstLine="0" w:firstLineChars="0"/>
                    <w:jc w:val="center"/>
                    <w:rPr>
                      <w:rFonts w:eastAsia="宋体"/>
                      <w:color w:val="auto"/>
                      <w:sz w:val="21"/>
                      <w:szCs w:val="21"/>
                    </w:rPr>
                  </w:pPr>
                </w:p>
              </w:tc>
              <w:tc>
                <w:tcPr>
                  <w:tcW w:w="390" w:type="dxa"/>
                  <w:noWrap/>
                  <w:vAlign w:val="center"/>
                </w:tcPr>
                <w:p w14:paraId="7566734F">
                  <w:pPr>
                    <w:pStyle w:val="3"/>
                    <w:ind w:firstLine="0" w:firstLineChars="0"/>
                    <w:jc w:val="center"/>
                    <w:rPr>
                      <w:rFonts w:eastAsia="宋体"/>
                      <w:color w:val="auto"/>
                      <w:sz w:val="21"/>
                      <w:szCs w:val="21"/>
                    </w:rPr>
                  </w:pPr>
                  <w:r>
                    <w:rPr>
                      <w:rFonts w:eastAsia="宋体"/>
                      <w:color w:val="auto"/>
                      <w:sz w:val="21"/>
                      <w:szCs w:val="21"/>
                    </w:rPr>
                    <w:t>5</w:t>
                  </w:r>
                </w:p>
              </w:tc>
              <w:tc>
                <w:tcPr>
                  <w:tcW w:w="3473" w:type="dxa"/>
                  <w:noWrap/>
                  <w:vAlign w:val="center"/>
                </w:tcPr>
                <w:p w14:paraId="350F4E60">
                  <w:pPr>
                    <w:pStyle w:val="3"/>
                    <w:ind w:firstLine="0" w:firstLineChars="0"/>
                    <w:jc w:val="left"/>
                    <w:rPr>
                      <w:rFonts w:eastAsia="宋体"/>
                      <w:color w:val="auto"/>
                      <w:sz w:val="21"/>
                      <w:szCs w:val="21"/>
                    </w:rPr>
                  </w:pPr>
                  <w:r>
                    <w:rPr>
                      <w:rFonts w:eastAsia="宋体"/>
                      <w:color w:val="auto"/>
                      <w:sz w:val="21"/>
                      <w:szCs w:val="21"/>
                    </w:rPr>
                    <w:t>大力推进低VOCs含量原辅材料的源头替代。全面排查使用溶剂型工业涂料、油墨、胶粘剂、清洗剂等原辅材料的企业，各地应结合本地产业特点和本方案指导目录（见附件1），制定低VOCs含量原辅材料源头替代实施计划，明确分行业源头替代时间表，按照“可替尽替、应代尽代”的原则，实施一批替代溶剂型原辅材料的项目。加快低VOCs含量原辅材料研发、生产和应用，在更多技术成熟领域逐渐推广使用低VOCs含量原辅材料，到2025年，溶剂型工业涂料、油墨、胶粘剂等使用量下降比例达到国家要求。</w:t>
                  </w:r>
                </w:p>
              </w:tc>
              <w:tc>
                <w:tcPr>
                  <w:tcW w:w="1833" w:type="dxa"/>
                  <w:noWrap/>
                  <w:vAlign w:val="center"/>
                </w:tcPr>
                <w:p w14:paraId="119F16F1">
                  <w:pPr>
                    <w:pStyle w:val="3"/>
                    <w:ind w:firstLine="0" w:firstLineChars="0"/>
                    <w:jc w:val="left"/>
                    <w:rPr>
                      <w:rFonts w:hint="eastAsia" w:eastAsia="宋体"/>
                      <w:color w:val="auto"/>
                      <w:sz w:val="21"/>
                      <w:szCs w:val="21"/>
                    </w:rPr>
                  </w:pPr>
                  <w:r>
                    <w:rPr>
                      <w:rFonts w:hint="eastAsia" w:eastAsia="宋体"/>
                      <w:color w:val="auto"/>
                      <w:sz w:val="21"/>
                      <w:szCs w:val="21"/>
                      <w:lang w:val="en-US" w:eastAsia="zh-CN"/>
                    </w:rPr>
                    <w:t xml:space="preserve">本项目不涉及使 </w:t>
                  </w:r>
                </w:p>
                <w:p w14:paraId="5A73BC12">
                  <w:pPr>
                    <w:pStyle w:val="3"/>
                    <w:ind w:firstLine="0" w:firstLineChars="0"/>
                    <w:jc w:val="left"/>
                    <w:rPr>
                      <w:rFonts w:hint="eastAsia" w:eastAsia="宋体"/>
                      <w:color w:val="auto"/>
                      <w:sz w:val="21"/>
                      <w:szCs w:val="21"/>
                    </w:rPr>
                  </w:pPr>
                  <w:r>
                    <w:rPr>
                      <w:rFonts w:hint="eastAsia" w:eastAsia="宋体"/>
                      <w:color w:val="auto"/>
                      <w:sz w:val="21"/>
                      <w:szCs w:val="21"/>
                      <w:lang w:val="en-US" w:eastAsia="zh-CN"/>
                    </w:rPr>
                    <w:t>用VOCS含量限值不符合国家标准的原料。</w:t>
                  </w:r>
                </w:p>
                <w:p w14:paraId="3B739296">
                  <w:pPr>
                    <w:pStyle w:val="3"/>
                    <w:ind w:firstLine="0" w:firstLineChars="0"/>
                    <w:jc w:val="left"/>
                    <w:rPr>
                      <w:rFonts w:eastAsia="宋体"/>
                      <w:color w:val="auto"/>
                      <w:sz w:val="21"/>
                      <w:szCs w:val="21"/>
                    </w:rPr>
                  </w:pPr>
                </w:p>
              </w:tc>
              <w:tc>
                <w:tcPr>
                  <w:tcW w:w="495" w:type="dxa"/>
                  <w:noWrap/>
                  <w:vAlign w:val="center"/>
                </w:tcPr>
                <w:p w14:paraId="77E15967">
                  <w:pPr>
                    <w:pStyle w:val="3"/>
                    <w:ind w:firstLine="0" w:firstLineChars="0"/>
                    <w:jc w:val="center"/>
                    <w:rPr>
                      <w:rFonts w:eastAsia="宋体"/>
                      <w:color w:val="auto"/>
                      <w:sz w:val="21"/>
                      <w:szCs w:val="21"/>
                    </w:rPr>
                  </w:pPr>
                  <w:r>
                    <w:rPr>
                      <w:rFonts w:hint="eastAsia" w:eastAsia="宋体"/>
                      <w:color w:val="auto"/>
                      <w:sz w:val="21"/>
                      <w:szCs w:val="21"/>
                    </w:rPr>
                    <w:t>符合</w:t>
                  </w:r>
                </w:p>
              </w:tc>
            </w:tr>
            <w:tr w14:paraId="3F24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noWrap/>
                  <w:vAlign w:val="center"/>
                </w:tcPr>
                <w:p w14:paraId="17138E40">
                  <w:pPr>
                    <w:pStyle w:val="3"/>
                    <w:ind w:firstLine="0" w:firstLineChars="0"/>
                    <w:jc w:val="center"/>
                    <w:rPr>
                      <w:rFonts w:eastAsia="宋体"/>
                      <w:color w:val="auto"/>
                      <w:sz w:val="21"/>
                      <w:szCs w:val="21"/>
                    </w:rPr>
                  </w:pPr>
                  <w:r>
                    <w:rPr>
                      <w:rFonts w:eastAsia="宋体"/>
                      <w:color w:val="auto"/>
                      <w:sz w:val="21"/>
                      <w:szCs w:val="21"/>
                    </w:rPr>
                    <w:t>严格生产环节控制，减少过程泄漏</w:t>
                  </w:r>
                </w:p>
              </w:tc>
              <w:tc>
                <w:tcPr>
                  <w:tcW w:w="390" w:type="dxa"/>
                  <w:noWrap/>
                  <w:vAlign w:val="center"/>
                </w:tcPr>
                <w:p w14:paraId="6EB993FC">
                  <w:pPr>
                    <w:pStyle w:val="3"/>
                    <w:ind w:firstLine="0" w:firstLineChars="0"/>
                    <w:jc w:val="center"/>
                    <w:rPr>
                      <w:rFonts w:eastAsia="宋体"/>
                      <w:color w:val="auto"/>
                      <w:sz w:val="21"/>
                      <w:szCs w:val="21"/>
                    </w:rPr>
                  </w:pPr>
                  <w:r>
                    <w:rPr>
                      <w:rFonts w:eastAsia="宋体"/>
                      <w:color w:val="auto"/>
                      <w:sz w:val="21"/>
                      <w:szCs w:val="21"/>
                    </w:rPr>
                    <w:t>6</w:t>
                  </w:r>
                </w:p>
              </w:tc>
              <w:tc>
                <w:tcPr>
                  <w:tcW w:w="3473" w:type="dxa"/>
                  <w:noWrap/>
                  <w:vAlign w:val="center"/>
                </w:tcPr>
                <w:p w14:paraId="1C39B0A6">
                  <w:pPr>
                    <w:pStyle w:val="3"/>
                    <w:ind w:firstLine="0" w:firstLineChars="0"/>
                    <w:jc w:val="left"/>
                    <w:rPr>
                      <w:rFonts w:eastAsia="宋体"/>
                      <w:color w:val="auto"/>
                      <w:sz w:val="21"/>
                      <w:szCs w:val="21"/>
                    </w:rPr>
                  </w:pPr>
                  <w:r>
                    <w:rPr>
                      <w:rFonts w:eastAsia="宋体"/>
                      <w:color w:val="auto"/>
                      <w:sz w:val="21"/>
                      <w:szCs w:val="21"/>
                    </w:rPr>
                    <w:t>严格控制无组织排放。在保证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原则上应保持微负压状态，并根据相关规范合理设置通风量；采用局部集气罩的，距集气罩开口面最远处的VOCs无组织排放位置控制风速应不低于0.3米/秒。对VOCs物料储罐和污水集输、储存、处理设施开展排查，督促企业按要求开展专项治理。</w:t>
                  </w:r>
                </w:p>
              </w:tc>
              <w:tc>
                <w:tcPr>
                  <w:tcW w:w="1833" w:type="dxa"/>
                  <w:noWrap/>
                  <w:vAlign w:val="center"/>
                </w:tcPr>
                <w:p w14:paraId="5F70C35F">
                  <w:pPr>
                    <w:pStyle w:val="3"/>
                    <w:ind w:firstLine="0" w:firstLineChars="0"/>
                    <w:jc w:val="left"/>
                    <w:rPr>
                      <w:rFonts w:eastAsia="宋体"/>
                      <w:color w:val="auto"/>
                      <w:sz w:val="21"/>
                      <w:szCs w:val="21"/>
                    </w:rPr>
                  </w:pPr>
                  <w:r>
                    <w:rPr>
                      <w:rFonts w:hint="eastAsia" w:eastAsia="宋体"/>
                      <w:color w:val="auto"/>
                      <w:sz w:val="21"/>
                      <w:szCs w:val="21"/>
                    </w:rPr>
                    <w:t>本项目设置密闭微负压车间以及吸风集气罩对各废气进行收集，集气罩风速控制不低于0.3</w:t>
                  </w:r>
                  <w:r>
                    <w:rPr>
                      <w:rFonts w:eastAsia="宋体"/>
                      <w:color w:val="auto"/>
                      <w:sz w:val="21"/>
                      <w:szCs w:val="21"/>
                    </w:rPr>
                    <w:t>米/秒</w:t>
                  </w:r>
                  <w:r>
                    <w:rPr>
                      <w:rFonts w:hint="eastAsia" w:eastAsia="宋体"/>
                      <w:color w:val="auto"/>
                      <w:sz w:val="21"/>
                      <w:szCs w:val="21"/>
                    </w:rPr>
                    <w:t>；胶粘剂储存在危化品仓库内，专人看管。</w:t>
                  </w:r>
                </w:p>
              </w:tc>
              <w:tc>
                <w:tcPr>
                  <w:tcW w:w="495" w:type="dxa"/>
                  <w:noWrap/>
                  <w:vAlign w:val="center"/>
                </w:tcPr>
                <w:p w14:paraId="507E73DE">
                  <w:pPr>
                    <w:pStyle w:val="3"/>
                    <w:ind w:firstLine="0" w:firstLineChars="0"/>
                    <w:jc w:val="center"/>
                    <w:rPr>
                      <w:rFonts w:eastAsia="宋体"/>
                      <w:color w:val="auto"/>
                      <w:sz w:val="21"/>
                      <w:szCs w:val="21"/>
                    </w:rPr>
                  </w:pPr>
                  <w:r>
                    <w:rPr>
                      <w:rFonts w:hint="eastAsia" w:eastAsia="宋体"/>
                      <w:color w:val="auto"/>
                      <w:sz w:val="21"/>
                      <w:szCs w:val="21"/>
                    </w:rPr>
                    <w:t>符合</w:t>
                  </w:r>
                </w:p>
              </w:tc>
            </w:tr>
            <w:tr w14:paraId="6F74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vMerge w:val="restart"/>
                  <w:noWrap/>
                  <w:vAlign w:val="center"/>
                </w:tcPr>
                <w:p w14:paraId="704E1AE8">
                  <w:pPr>
                    <w:pStyle w:val="3"/>
                    <w:ind w:firstLine="0" w:firstLineChars="0"/>
                    <w:jc w:val="center"/>
                    <w:rPr>
                      <w:rFonts w:eastAsia="宋体"/>
                      <w:color w:val="auto"/>
                      <w:sz w:val="21"/>
                      <w:szCs w:val="21"/>
                    </w:rPr>
                  </w:pPr>
                  <w:r>
                    <w:rPr>
                      <w:rFonts w:eastAsia="宋体"/>
                      <w:color w:val="auto"/>
                      <w:sz w:val="21"/>
                      <w:szCs w:val="21"/>
                    </w:rPr>
                    <w:t>升级改造治理设施，实施高效治理</w:t>
                  </w:r>
                </w:p>
              </w:tc>
              <w:tc>
                <w:tcPr>
                  <w:tcW w:w="390" w:type="dxa"/>
                  <w:noWrap/>
                  <w:vAlign w:val="center"/>
                </w:tcPr>
                <w:p w14:paraId="4910BA94">
                  <w:pPr>
                    <w:pStyle w:val="3"/>
                    <w:ind w:firstLine="0" w:firstLineChars="0"/>
                    <w:jc w:val="center"/>
                    <w:rPr>
                      <w:rFonts w:eastAsia="宋体"/>
                      <w:color w:val="auto"/>
                      <w:sz w:val="21"/>
                      <w:szCs w:val="21"/>
                    </w:rPr>
                  </w:pPr>
                  <w:r>
                    <w:rPr>
                      <w:rFonts w:hint="eastAsia" w:eastAsia="宋体"/>
                      <w:color w:val="auto"/>
                      <w:sz w:val="21"/>
                      <w:szCs w:val="21"/>
                    </w:rPr>
                    <w:t>7</w:t>
                  </w:r>
                </w:p>
              </w:tc>
              <w:tc>
                <w:tcPr>
                  <w:tcW w:w="3473" w:type="dxa"/>
                  <w:noWrap/>
                  <w:vAlign w:val="center"/>
                </w:tcPr>
                <w:p w14:paraId="76275510">
                  <w:pPr>
                    <w:pStyle w:val="3"/>
                    <w:ind w:firstLine="0" w:firstLineChars="0"/>
                    <w:jc w:val="left"/>
                    <w:rPr>
                      <w:rFonts w:eastAsia="宋体"/>
                      <w:color w:val="auto"/>
                      <w:sz w:val="21"/>
                      <w:szCs w:val="21"/>
                    </w:rPr>
                  </w:pPr>
                  <w:r>
                    <w:rPr>
                      <w:rFonts w:eastAsia="宋体"/>
                      <w:color w:val="auto"/>
                      <w:sz w:val="21"/>
                      <w:szCs w:val="21"/>
                    </w:rPr>
                    <w:t>建设适宜高效的治理设施。企业新建治理设施或对现有治理设施实施改造，应结合排放VOCs产生特征、生产工况等合理选择治理技术，对治理难度大、单一治理工艺难以稳定达标的，要采用多种技术的组合工艺。采用活性炭吸附技术的，吸附装置和活性炭应符合相关技术要求，并按要求足量添加、定期更换活性炭。组织开展使用光催化、光氧化、低温等离子、一次性活性炭或上述组合技术等VOCs治理设施排查，对达不到要求的，应当更换或升级改造，实现稳定达标排放</w:t>
                  </w:r>
                  <w:r>
                    <w:rPr>
                      <w:rFonts w:hint="eastAsia" w:eastAsia="宋体"/>
                      <w:color w:val="auto"/>
                      <w:sz w:val="21"/>
                      <w:szCs w:val="21"/>
                    </w:rPr>
                    <w:t>。</w:t>
                  </w:r>
                  <w:r>
                    <w:rPr>
                      <w:rFonts w:eastAsia="宋体"/>
                      <w:color w:val="auto"/>
                      <w:sz w:val="21"/>
                      <w:szCs w:val="21"/>
                    </w:rPr>
                    <w:t>到2025年，完成5000家低效VOCs治理设施改造升级（见附件3），石化行业的VOCs综合去除效率达到70%以上，化工、工业涂装、包装印刷、合成革等行业的VOCs综合去除效率达到60%以上。</w:t>
                  </w:r>
                </w:p>
              </w:tc>
              <w:tc>
                <w:tcPr>
                  <w:tcW w:w="1833" w:type="dxa"/>
                  <w:noWrap/>
                  <w:vAlign w:val="center"/>
                </w:tcPr>
                <w:p w14:paraId="0A0223D8">
                  <w:pPr>
                    <w:pStyle w:val="3"/>
                    <w:ind w:firstLine="0" w:firstLineChars="0"/>
                    <w:jc w:val="left"/>
                    <w:rPr>
                      <w:rFonts w:eastAsia="宋体"/>
                      <w:color w:val="auto"/>
                      <w:sz w:val="21"/>
                      <w:szCs w:val="21"/>
                    </w:rPr>
                  </w:pPr>
                  <w:r>
                    <w:rPr>
                      <w:rFonts w:hint="eastAsia" w:eastAsia="宋体"/>
                      <w:color w:val="auto"/>
                      <w:sz w:val="21"/>
                      <w:szCs w:val="21"/>
                    </w:rPr>
                    <w:t>本项目采用两级活性炭吸附复合式处理工艺。</w:t>
                  </w:r>
                  <w:r>
                    <w:rPr>
                      <w:rFonts w:eastAsia="宋体"/>
                      <w:color w:val="auto"/>
                      <w:sz w:val="21"/>
                      <w:szCs w:val="21"/>
                    </w:rPr>
                    <w:t>足量添加、定期更换活性炭</w:t>
                  </w:r>
                  <w:r>
                    <w:rPr>
                      <w:rFonts w:hint="eastAsia" w:eastAsia="宋体"/>
                      <w:color w:val="auto"/>
                      <w:sz w:val="21"/>
                      <w:szCs w:val="21"/>
                    </w:rPr>
                    <w:t>。</w:t>
                  </w:r>
                  <w:r>
                    <w:rPr>
                      <w:rFonts w:eastAsia="宋体"/>
                      <w:color w:val="auto"/>
                      <w:sz w:val="21"/>
                      <w:szCs w:val="21"/>
                    </w:rPr>
                    <w:t>VOCs综合去除效率达到</w:t>
                  </w:r>
                  <w:r>
                    <w:rPr>
                      <w:rFonts w:hint="eastAsia" w:eastAsia="宋体"/>
                      <w:color w:val="auto"/>
                      <w:sz w:val="21"/>
                      <w:szCs w:val="21"/>
                    </w:rPr>
                    <w:t>8</w:t>
                  </w:r>
                  <w:r>
                    <w:rPr>
                      <w:rFonts w:eastAsia="宋体"/>
                      <w:color w:val="auto"/>
                      <w:sz w:val="21"/>
                      <w:szCs w:val="21"/>
                    </w:rPr>
                    <w:t>0%以上</w:t>
                  </w:r>
                  <w:r>
                    <w:rPr>
                      <w:rFonts w:hint="eastAsia" w:eastAsia="宋体"/>
                      <w:color w:val="auto"/>
                      <w:sz w:val="21"/>
                      <w:szCs w:val="21"/>
                    </w:rPr>
                    <w:t>，满足相应要求</w:t>
                  </w:r>
                </w:p>
              </w:tc>
              <w:tc>
                <w:tcPr>
                  <w:tcW w:w="495" w:type="dxa"/>
                  <w:noWrap/>
                  <w:vAlign w:val="center"/>
                </w:tcPr>
                <w:p w14:paraId="15D70067">
                  <w:pPr>
                    <w:pStyle w:val="3"/>
                    <w:ind w:firstLine="0" w:firstLineChars="0"/>
                    <w:jc w:val="center"/>
                    <w:rPr>
                      <w:rFonts w:eastAsia="宋体"/>
                      <w:color w:val="auto"/>
                      <w:sz w:val="21"/>
                      <w:szCs w:val="21"/>
                    </w:rPr>
                  </w:pPr>
                  <w:r>
                    <w:rPr>
                      <w:rFonts w:hint="eastAsia" w:eastAsia="宋体"/>
                      <w:color w:val="auto"/>
                      <w:sz w:val="21"/>
                      <w:szCs w:val="21"/>
                    </w:rPr>
                    <w:t>符合</w:t>
                  </w:r>
                </w:p>
              </w:tc>
            </w:tr>
            <w:tr w14:paraId="04F7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vMerge w:val="continue"/>
                  <w:noWrap/>
                  <w:vAlign w:val="center"/>
                </w:tcPr>
                <w:p w14:paraId="365DD3CC">
                  <w:pPr>
                    <w:pStyle w:val="3"/>
                    <w:ind w:firstLine="0" w:firstLineChars="0"/>
                    <w:jc w:val="center"/>
                    <w:rPr>
                      <w:rFonts w:eastAsia="宋体"/>
                      <w:color w:val="auto"/>
                      <w:sz w:val="21"/>
                      <w:szCs w:val="21"/>
                    </w:rPr>
                  </w:pPr>
                </w:p>
              </w:tc>
              <w:tc>
                <w:tcPr>
                  <w:tcW w:w="390" w:type="dxa"/>
                  <w:noWrap/>
                  <w:vAlign w:val="center"/>
                </w:tcPr>
                <w:p w14:paraId="04F85338">
                  <w:pPr>
                    <w:pStyle w:val="3"/>
                    <w:ind w:firstLine="0" w:firstLineChars="0"/>
                    <w:jc w:val="center"/>
                    <w:rPr>
                      <w:rFonts w:eastAsia="宋体"/>
                      <w:color w:val="auto"/>
                      <w:sz w:val="21"/>
                      <w:szCs w:val="21"/>
                    </w:rPr>
                  </w:pPr>
                  <w:r>
                    <w:rPr>
                      <w:rFonts w:hint="eastAsia" w:eastAsia="宋体"/>
                      <w:color w:val="auto"/>
                      <w:sz w:val="21"/>
                      <w:szCs w:val="21"/>
                    </w:rPr>
                    <w:t>8</w:t>
                  </w:r>
                </w:p>
              </w:tc>
              <w:tc>
                <w:tcPr>
                  <w:tcW w:w="3473" w:type="dxa"/>
                  <w:noWrap/>
                  <w:vAlign w:val="center"/>
                </w:tcPr>
                <w:p w14:paraId="21E2305D">
                  <w:pPr>
                    <w:pStyle w:val="3"/>
                    <w:ind w:firstLine="0" w:firstLineChars="0"/>
                    <w:jc w:val="left"/>
                    <w:rPr>
                      <w:rFonts w:eastAsia="宋体"/>
                      <w:color w:val="auto"/>
                      <w:sz w:val="21"/>
                      <w:szCs w:val="21"/>
                    </w:rPr>
                  </w:pPr>
                  <w:r>
                    <w:rPr>
                      <w:rFonts w:eastAsia="宋体"/>
                      <w:color w:val="auto"/>
                      <w:sz w:val="21"/>
                      <w:szCs w:val="21"/>
                    </w:rPr>
                    <w:t>加强治理设施运行管理。按照治理设施较生产设备“先启后停”的原则提升治理设施投运率。根据处理工艺要求，在治理设施达到正常运行条件后方可启动生产设备，在生产设备停止、残留VOCs收集处理完毕后，方可停运治理设施。VOCs治理设施发生故障或检修时，对应生产设备应停止运行，待检修完毕后投入使用；因安全等因素生产设备不能停止或不能及时停止运行的，应设置废气应急处理设施或采取其他替代措施。</w:t>
                  </w:r>
                </w:p>
              </w:tc>
              <w:tc>
                <w:tcPr>
                  <w:tcW w:w="1833" w:type="dxa"/>
                  <w:noWrap/>
                  <w:vAlign w:val="center"/>
                </w:tcPr>
                <w:p w14:paraId="57C6DA97">
                  <w:pPr>
                    <w:pStyle w:val="3"/>
                    <w:ind w:firstLine="0" w:firstLineChars="0"/>
                    <w:jc w:val="left"/>
                    <w:rPr>
                      <w:rFonts w:eastAsia="宋体"/>
                      <w:color w:val="auto"/>
                      <w:sz w:val="21"/>
                      <w:szCs w:val="21"/>
                    </w:rPr>
                  </w:pPr>
                  <w:r>
                    <w:rPr>
                      <w:rFonts w:eastAsia="宋体"/>
                      <w:color w:val="auto"/>
                      <w:sz w:val="21"/>
                      <w:szCs w:val="21"/>
                    </w:rPr>
                    <w:t>根据处理工艺要求，在治理设施达到正常运行条件后方可启动生产设备，在生产设备停止、残留VOCs收集处理完毕后，方可停运治理设施。VOCs治理设施发生故障或检修时，对应生产设备应停止运行，待检修完毕后投入使用</w:t>
                  </w:r>
                </w:p>
              </w:tc>
              <w:tc>
                <w:tcPr>
                  <w:tcW w:w="495" w:type="dxa"/>
                  <w:noWrap/>
                  <w:vAlign w:val="center"/>
                </w:tcPr>
                <w:p w14:paraId="320174EB">
                  <w:pPr>
                    <w:pStyle w:val="3"/>
                    <w:ind w:firstLine="0" w:firstLineChars="0"/>
                    <w:jc w:val="center"/>
                    <w:rPr>
                      <w:rFonts w:eastAsia="宋体"/>
                      <w:color w:val="auto"/>
                      <w:sz w:val="21"/>
                      <w:szCs w:val="21"/>
                    </w:rPr>
                  </w:pPr>
                  <w:r>
                    <w:rPr>
                      <w:rFonts w:hint="eastAsia" w:eastAsia="宋体"/>
                      <w:color w:val="auto"/>
                      <w:sz w:val="21"/>
                      <w:szCs w:val="21"/>
                    </w:rPr>
                    <w:t>符合</w:t>
                  </w:r>
                </w:p>
              </w:tc>
            </w:tr>
            <w:tr w14:paraId="56A1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vMerge w:val="continue"/>
                  <w:noWrap/>
                  <w:vAlign w:val="center"/>
                </w:tcPr>
                <w:p w14:paraId="445B4D47">
                  <w:pPr>
                    <w:pStyle w:val="3"/>
                    <w:ind w:firstLine="0" w:firstLineChars="0"/>
                    <w:jc w:val="center"/>
                    <w:rPr>
                      <w:rFonts w:eastAsia="宋体"/>
                      <w:color w:val="auto"/>
                      <w:sz w:val="21"/>
                      <w:szCs w:val="21"/>
                    </w:rPr>
                  </w:pPr>
                </w:p>
              </w:tc>
              <w:tc>
                <w:tcPr>
                  <w:tcW w:w="390" w:type="dxa"/>
                  <w:noWrap/>
                  <w:vAlign w:val="center"/>
                </w:tcPr>
                <w:p w14:paraId="321C8493">
                  <w:pPr>
                    <w:pStyle w:val="3"/>
                    <w:ind w:firstLine="0" w:firstLineChars="0"/>
                    <w:jc w:val="center"/>
                    <w:rPr>
                      <w:rFonts w:eastAsia="宋体"/>
                      <w:color w:val="auto"/>
                      <w:sz w:val="21"/>
                      <w:szCs w:val="21"/>
                    </w:rPr>
                  </w:pPr>
                  <w:r>
                    <w:rPr>
                      <w:rFonts w:hint="eastAsia" w:eastAsia="宋体"/>
                      <w:color w:val="auto"/>
                      <w:sz w:val="21"/>
                      <w:szCs w:val="21"/>
                    </w:rPr>
                    <w:t>9</w:t>
                  </w:r>
                </w:p>
              </w:tc>
              <w:tc>
                <w:tcPr>
                  <w:tcW w:w="3473" w:type="dxa"/>
                  <w:noWrap/>
                  <w:vAlign w:val="center"/>
                </w:tcPr>
                <w:p w14:paraId="0D96D255">
                  <w:pPr>
                    <w:pStyle w:val="3"/>
                    <w:ind w:firstLine="0" w:firstLineChars="0"/>
                    <w:jc w:val="left"/>
                    <w:rPr>
                      <w:rFonts w:eastAsia="宋体"/>
                      <w:color w:val="auto"/>
                      <w:sz w:val="21"/>
                      <w:szCs w:val="21"/>
                    </w:rPr>
                  </w:pPr>
                  <w:r>
                    <w:rPr>
                      <w:rFonts w:eastAsia="宋体"/>
                      <w:color w:val="auto"/>
                      <w:sz w:val="21"/>
                      <w:szCs w:val="21"/>
                    </w:rPr>
                    <w:t>规范应急旁路排放管理。推动取消石化、化工、工业涂装、包装印刷、纺织印染等行业非必要的含VOCs排放的旁路。因安全等因素确须保留的，企业应将保留的应急旁路报当地生态环境部门。应急旁路在非紧急情况下保持关闭，并通过铅封、安装监控（如流量、温度、压差、阀门开度、视频等）设施等加强监管，开启后应做好台账记录并及时向当地生态环境部门报告。</w:t>
                  </w:r>
                </w:p>
              </w:tc>
              <w:tc>
                <w:tcPr>
                  <w:tcW w:w="1833" w:type="dxa"/>
                  <w:noWrap/>
                  <w:vAlign w:val="center"/>
                </w:tcPr>
                <w:p w14:paraId="2F5077EE">
                  <w:pPr>
                    <w:pStyle w:val="3"/>
                    <w:ind w:firstLine="0" w:firstLineChars="0"/>
                    <w:jc w:val="left"/>
                    <w:rPr>
                      <w:rFonts w:eastAsia="宋体"/>
                      <w:color w:val="auto"/>
                      <w:sz w:val="21"/>
                      <w:szCs w:val="21"/>
                    </w:rPr>
                  </w:pPr>
                  <w:r>
                    <w:rPr>
                      <w:rFonts w:hint="eastAsia" w:eastAsia="宋体"/>
                      <w:color w:val="auto"/>
                      <w:sz w:val="21"/>
                      <w:szCs w:val="21"/>
                    </w:rPr>
                    <w:t>本项目废气排放均不设置旁路。</w:t>
                  </w:r>
                </w:p>
              </w:tc>
              <w:tc>
                <w:tcPr>
                  <w:tcW w:w="495" w:type="dxa"/>
                  <w:noWrap/>
                  <w:vAlign w:val="center"/>
                </w:tcPr>
                <w:p w14:paraId="059065FC">
                  <w:pPr>
                    <w:pStyle w:val="3"/>
                    <w:ind w:firstLine="0" w:firstLineChars="0"/>
                    <w:jc w:val="center"/>
                    <w:rPr>
                      <w:rFonts w:eastAsia="宋体"/>
                      <w:color w:val="auto"/>
                      <w:sz w:val="21"/>
                      <w:szCs w:val="21"/>
                    </w:rPr>
                  </w:pPr>
                  <w:r>
                    <w:rPr>
                      <w:rFonts w:hint="eastAsia" w:eastAsia="宋体"/>
                      <w:color w:val="auto"/>
                      <w:sz w:val="21"/>
                      <w:szCs w:val="21"/>
                    </w:rPr>
                    <w:t>符合</w:t>
                  </w:r>
                </w:p>
              </w:tc>
            </w:tr>
            <w:tr w14:paraId="44F6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 w:type="dxa"/>
                  <w:noWrap/>
                  <w:vAlign w:val="center"/>
                </w:tcPr>
                <w:p w14:paraId="72CD7BA9">
                  <w:pPr>
                    <w:pStyle w:val="32"/>
                    <w:shd w:val="clear" w:color="auto" w:fill="FFFFFF"/>
                    <w:spacing w:before="0" w:beforeAutospacing="0" w:after="0" w:afterAutospacing="0"/>
                    <w:jc w:val="center"/>
                    <w:rPr>
                      <w:color w:val="auto"/>
                      <w:sz w:val="21"/>
                      <w:szCs w:val="21"/>
                    </w:rPr>
                  </w:pPr>
                  <w:r>
                    <w:rPr>
                      <w:rFonts w:ascii="Times New Roman" w:hAnsi="Times New Roman"/>
                      <w:color w:val="auto"/>
                      <w:kern w:val="2"/>
                      <w:sz w:val="21"/>
                      <w:szCs w:val="21"/>
                    </w:rPr>
                    <w:t>低VOCs含量原辅材料源头替代指导目录</w:t>
                  </w:r>
                </w:p>
              </w:tc>
              <w:tc>
                <w:tcPr>
                  <w:tcW w:w="390" w:type="dxa"/>
                  <w:noWrap/>
                  <w:vAlign w:val="center"/>
                </w:tcPr>
                <w:p w14:paraId="2424558F">
                  <w:pPr>
                    <w:pStyle w:val="3"/>
                    <w:ind w:firstLine="0" w:firstLineChars="0"/>
                    <w:jc w:val="center"/>
                    <w:rPr>
                      <w:rFonts w:eastAsia="宋体"/>
                      <w:color w:val="auto"/>
                      <w:sz w:val="21"/>
                      <w:szCs w:val="21"/>
                    </w:rPr>
                  </w:pPr>
                  <w:r>
                    <w:rPr>
                      <w:rFonts w:hint="eastAsia" w:eastAsia="宋体"/>
                      <w:color w:val="auto"/>
                      <w:sz w:val="21"/>
                      <w:szCs w:val="21"/>
                    </w:rPr>
                    <w:t>10</w:t>
                  </w:r>
                </w:p>
              </w:tc>
              <w:tc>
                <w:tcPr>
                  <w:tcW w:w="3473" w:type="dxa"/>
                  <w:noWrap/>
                  <w:vAlign w:val="center"/>
                </w:tcPr>
                <w:p w14:paraId="6A10F869">
                  <w:pPr>
                    <w:pStyle w:val="3"/>
                    <w:ind w:firstLine="0" w:firstLineChars="0"/>
                    <w:jc w:val="left"/>
                    <w:rPr>
                      <w:rFonts w:ascii="FangSong_GB2312" w:eastAsia="宋体" w:cs="FangSong_GB2312"/>
                      <w:color w:val="auto"/>
                      <w:sz w:val="28"/>
                      <w:szCs w:val="28"/>
                    </w:rPr>
                  </w:pPr>
                  <w:r>
                    <w:rPr>
                      <w:rFonts w:hint="eastAsia" w:eastAsia="宋体"/>
                      <w:color w:val="auto"/>
                      <w:sz w:val="21"/>
                      <w:szCs w:val="21"/>
                    </w:rPr>
                    <w:t>家具制造（板材胶合）低VCOS含量原辅材料整体行业替代比例≥90%</w:t>
                  </w:r>
                </w:p>
              </w:tc>
              <w:tc>
                <w:tcPr>
                  <w:tcW w:w="1833" w:type="dxa"/>
                  <w:noWrap/>
                  <w:vAlign w:val="center"/>
                </w:tcPr>
                <w:p w14:paraId="6CFF7FA8">
                  <w:pPr>
                    <w:pStyle w:val="3"/>
                    <w:ind w:firstLine="0" w:firstLineChars="0"/>
                    <w:jc w:val="left"/>
                    <w:rPr>
                      <w:rFonts w:hint="eastAsia" w:eastAsia="宋体"/>
                      <w:color w:val="auto"/>
                      <w:sz w:val="21"/>
                      <w:szCs w:val="21"/>
                      <w:lang w:eastAsia="zh-CN"/>
                    </w:rPr>
                  </w:pPr>
                  <w:r>
                    <w:rPr>
                      <w:rFonts w:hint="eastAsia" w:eastAsia="宋体"/>
                      <w:color w:val="auto"/>
                      <w:sz w:val="21"/>
                      <w:szCs w:val="21"/>
                      <w:lang w:eastAsia="zh-CN"/>
                    </w:rPr>
                    <w:t>本项目不涉及</w:t>
                  </w:r>
                </w:p>
              </w:tc>
              <w:tc>
                <w:tcPr>
                  <w:tcW w:w="495" w:type="dxa"/>
                  <w:noWrap/>
                  <w:vAlign w:val="center"/>
                </w:tcPr>
                <w:p w14:paraId="53CB8799">
                  <w:pPr>
                    <w:pStyle w:val="3"/>
                    <w:ind w:firstLine="0" w:firstLineChars="0"/>
                    <w:jc w:val="center"/>
                    <w:rPr>
                      <w:rFonts w:eastAsia="宋体"/>
                      <w:color w:val="auto"/>
                      <w:sz w:val="21"/>
                      <w:szCs w:val="21"/>
                    </w:rPr>
                  </w:pPr>
                  <w:r>
                    <w:rPr>
                      <w:rFonts w:hint="eastAsia" w:eastAsia="宋体"/>
                      <w:color w:val="auto"/>
                      <w:sz w:val="21"/>
                      <w:szCs w:val="21"/>
                    </w:rPr>
                    <w:t>符合</w:t>
                  </w:r>
                </w:p>
              </w:tc>
            </w:tr>
          </w:tbl>
          <w:p w14:paraId="468305A2">
            <w:pPr>
              <w:pStyle w:val="2"/>
              <w:spacing w:line="440" w:lineRule="exact"/>
              <w:ind w:firstLine="0" w:firstLineChars="0"/>
              <w:rPr>
                <w:rFonts w:hAnsi="宋体"/>
                <w:b/>
                <w:color w:val="auto"/>
                <w:sz w:val="24"/>
              </w:rPr>
            </w:pPr>
            <w:r>
              <w:rPr>
                <w:rFonts w:hint="eastAsia" w:hAnsi="宋体"/>
                <w:b/>
                <w:color w:val="auto"/>
                <w:sz w:val="24"/>
              </w:rPr>
              <w:t>1.3.11与《浙江省臭氧污染防治攻坚三年行动方案》符合性分析</w:t>
            </w:r>
          </w:p>
          <w:p w14:paraId="3136E87B">
            <w:pPr>
              <w:pStyle w:val="3"/>
              <w:spacing w:line="440" w:lineRule="exact"/>
              <w:rPr>
                <w:rFonts w:hAnsi="宋体" w:eastAsia="宋体"/>
                <w:bCs/>
                <w:color w:val="auto"/>
                <w:kern w:val="0"/>
              </w:rPr>
            </w:pPr>
            <w:r>
              <w:rPr>
                <w:rFonts w:hint="eastAsia" w:hAnsi="宋体" w:eastAsia="宋体"/>
                <w:bCs/>
                <w:color w:val="auto"/>
                <w:kern w:val="0"/>
              </w:rPr>
              <w:t>经与《浙江省臭氧污染防治攻坚三年行动方案》进行对比分析可知，本项目实施符合该方案的相关要求，详见表1-11。</w:t>
            </w:r>
          </w:p>
          <w:p w14:paraId="6D94704A">
            <w:pPr>
              <w:pStyle w:val="3"/>
              <w:spacing w:beforeLines="50"/>
              <w:ind w:firstLine="422"/>
              <w:rPr>
                <w:rFonts w:eastAsia="宋体"/>
                <w:b/>
                <w:bCs/>
                <w:color w:val="auto"/>
                <w:sz w:val="21"/>
                <w:szCs w:val="21"/>
              </w:rPr>
            </w:pPr>
            <w:r>
              <w:rPr>
                <w:rFonts w:eastAsia="宋体"/>
                <w:b/>
                <w:bCs/>
                <w:color w:val="auto"/>
                <w:sz w:val="21"/>
                <w:szCs w:val="21"/>
              </w:rPr>
              <w:t>表1-1</w:t>
            </w:r>
            <w:r>
              <w:rPr>
                <w:rFonts w:hint="eastAsia" w:eastAsia="宋体"/>
                <w:b/>
                <w:bCs/>
                <w:color w:val="auto"/>
                <w:sz w:val="21"/>
                <w:szCs w:val="21"/>
              </w:rPr>
              <w:t>2  与《浙江省臭氧污染防治攻坚三年行动方案》符合性分析</w:t>
            </w:r>
          </w:p>
          <w:tbl>
            <w:tblPr>
              <w:tblStyle w:val="38"/>
              <w:tblW w:w="70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
              <w:gridCol w:w="672"/>
              <w:gridCol w:w="4821"/>
              <w:gridCol w:w="1178"/>
            </w:tblGrid>
            <w:tr w14:paraId="7901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dxa"/>
                  <w:vAlign w:val="center"/>
                </w:tcPr>
                <w:p w14:paraId="4ABC9C50">
                  <w:pPr>
                    <w:pStyle w:val="3"/>
                    <w:ind w:firstLine="0" w:firstLineChars="0"/>
                    <w:jc w:val="center"/>
                    <w:rPr>
                      <w:rFonts w:eastAsia="宋体"/>
                      <w:b/>
                      <w:bCs/>
                      <w:color w:val="auto"/>
                      <w:sz w:val="21"/>
                      <w:szCs w:val="21"/>
                    </w:rPr>
                  </w:pPr>
                  <w:r>
                    <w:rPr>
                      <w:rFonts w:hint="eastAsia" w:eastAsia="宋体"/>
                      <w:b/>
                      <w:bCs/>
                      <w:color w:val="auto"/>
                      <w:sz w:val="21"/>
                      <w:szCs w:val="21"/>
                    </w:rPr>
                    <w:t>序号</w:t>
                  </w:r>
                </w:p>
              </w:tc>
              <w:tc>
                <w:tcPr>
                  <w:tcW w:w="672" w:type="dxa"/>
                  <w:vAlign w:val="center"/>
                </w:tcPr>
                <w:p w14:paraId="650B36E4">
                  <w:pPr>
                    <w:pStyle w:val="3"/>
                    <w:ind w:firstLine="0" w:firstLineChars="0"/>
                    <w:jc w:val="center"/>
                    <w:rPr>
                      <w:rFonts w:eastAsia="宋体"/>
                      <w:b/>
                      <w:bCs/>
                      <w:color w:val="auto"/>
                      <w:sz w:val="21"/>
                      <w:szCs w:val="21"/>
                    </w:rPr>
                  </w:pPr>
                  <w:r>
                    <w:rPr>
                      <w:rFonts w:hint="eastAsia" w:eastAsia="宋体"/>
                      <w:b/>
                      <w:bCs/>
                      <w:color w:val="auto"/>
                      <w:sz w:val="21"/>
                      <w:szCs w:val="21"/>
                    </w:rPr>
                    <w:t>内容</w:t>
                  </w:r>
                </w:p>
              </w:tc>
              <w:tc>
                <w:tcPr>
                  <w:tcW w:w="4821" w:type="dxa"/>
                  <w:vAlign w:val="center"/>
                </w:tcPr>
                <w:p w14:paraId="252D4395">
                  <w:pPr>
                    <w:pStyle w:val="3"/>
                    <w:ind w:firstLine="0" w:firstLineChars="0"/>
                    <w:jc w:val="center"/>
                    <w:rPr>
                      <w:rFonts w:eastAsia="宋体"/>
                      <w:b/>
                      <w:bCs/>
                      <w:color w:val="auto"/>
                      <w:sz w:val="21"/>
                      <w:szCs w:val="21"/>
                    </w:rPr>
                  </w:pPr>
                  <w:r>
                    <w:rPr>
                      <w:rFonts w:hint="eastAsia" w:eastAsia="宋体"/>
                      <w:b/>
                      <w:bCs/>
                      <w:color w:val="auto"/>
                      <w:sz w:val="21"/>
                      <w:szCs w:val="21"/>
                    </w:rPr>
                    <w:t>判断依据</w:t>
                  </w:r>
                </w:p>
              </w:tc>
              <w:tc>
                <w:tcPr>
                  <w:tcW w:w="1178" w:type="dxa"/>
                  <w:vAlign w:val="center"/>
                </w:tcPr>
                <w:p w14:paraId="12D91302">
                  <w:pPr>
                    <w:pStyle w:val="3"/>
                    <w:ind w:firstLine="0" w:firstLineChars="0"/>
                    <w:jc w:val="center"/>
                    <w:rPr>
                      <w:rFonts w:eastAsia="宋体"/>
                      <w:b/>
                      <w:bCs/>
                      <w:color w:val="auto"/>
                      <w:sz w:val="21"/>
                      <w:szCs w:val="21"/>
                    </w:rPr>
                  </w:pPr>
                  <w:r>
                    <w:rPr>
                      <w:rFonts w:hint="eastAsia" w:eastAsia="宋体"/>
                      <w:b/>
                      <w:bCs/>
                      <w:color w:val="auto"/>
                      <w:sz w:val="21"/>
                      <w:szCs w:val="21"/>
                    </w:rPr>
                    <w:t>符合性</w:t>
                  </w:r>
                </w:p>
                <w:p w14:paraId="74235FAF">
                  <w:pPr>
                    <w:pStyle w:val="3"/>
                    <w:ind w:firstLine="0" w:firstLineChars="0"/>
                    <w:jc w:val="center"/>
                    <w:rPr>
                      <w:rFonts w:eastAsia="宋体"/>
                      <w:b/>
                      <w:bCs/>
                      <w:color w:val="auto"/>
                      <w:sz w:val="21"/>
                      <w:szCs w:val="21"/>
                    </w:rPr>
                  </w:pPr>
                  <w:r>
                    <w:rPr>
                      <w:rFonts w:hint="eastAsia" w:eastAsia="宋体"/>
                      <w:b/>
                      <w:bCs/>
                      <w:color w:val="auto"/>
                      <w:sz w:val="21"/>
                      <w:szCs w:val="21"/>
                    </w:rPr>
                    <w:t>分析</w:t>
                  </w:r>
                </w:p>
              </w:tc>
            </w:tr>
            <w:tr w14:paraId="159C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dxa"/>
                  <w:vAlign w:val="center"/>
                </w:tcPr>
                <w:p w14:paraId="498EEDBE">
                  <w:pPr>
                    <w:pStyle w:val="3"/>
                    <w:ind w:firstLine="0" w:firstLineChars="0"/>
                    <w:jc w:val="center"/>
                    <w:rPr>
                      <w:rFonts w:eastAsia="宋体"/>
                      <w:color w:val="auto"/>
                      <w:sz w:val="21"/>
                      <w:szCs w:val="21"/>
                    </w:rPr>
                  </w:pPr>
                  <w:r>
                    <w:rPr>
                      <w:rFonts w:hint="eastAsia" w:eastAsia="宋体"/>
                      <w:color w:val="auto"/>
                      <w:sz w:val="21"/>
                      <w:szCs w:val="21"/>
                    </w:rPr>
                    <w:t>1</w:t>
                  </w:r>
                </w:p>
              </w:tc>
              <w:tc>
                <w:tcPr>
                  <w:tcW w:w="672" w:type="dxa"/>
                  <w:vAlign w:val="center"/>
                </w:tcPr>
                <w:p w14:paraId="0532852D">
                  <w:pPr>
                    <w:widowControl/>
                    <w:jc w:val="center"/>
                    <w:rPr>
                      <w:color w:val="auto"/>
                      <w:szCs w:val="21"/>
                    </w:rPr>
                  </w:pPr>
                  <w:r>
                    <w:rPr>
                      <w:rFonts w:hint="eastAsia" w:ascii="宋体" w:hAnsi="宋体" w:cs="宋体"/>
                      <w:color w:val="auto"/>
                      <w:kern w:val="0"/>
                      <w:sz w:val="20"/>
                      <w:szCs w:val="20"/>
                    </w:rPr>
                    <w:t>低效治理设施升级改造行动</w:t>
                  </w:r>
                </w:p>
              </w:tc>
              <w:tc>
                <w:tcPr>
                  <w:tcW w:w="4821" w:type="dxa"/>
                  <w:vAlign w:val="center"/>
                </w:tcPr>
                <w:p w14:paraId="1ADBD9D4">
                  <w:pPr>
                    <w:pStyle w:val="3"/>
                    <w:ind w:firstLine="0" w:firstLineChars="0"/>
                    <w:rPr>
                      <w:rFonts w:eastAsia="宋体"/>
                      <w:color w:val="auto"/>
                      <w:sz w:val="21"/>
                      <w:szCs w:val="21"/>
                    </w:rPr>
                  </w:pPr>
                  <w:r>
                    <w:rPr>
                      <w:rFonts w:hint="eastAsia" w:eastAsia="宋体"/>
                      <w:color w:val="auto"/>
                      <w:sz w:val="21"/>
                      <w:szCs w:val="21"/>
                    </w:rPr>
                    <w:t>各县（市、区）生态环境部门组织开展企业挥发性有机物（VOC</w:t>
                  </w:r>
                  <w:r>
                    <w:rPr>
                      <w:rFonts w:hint="eastAsia" w:eastAsia="宋体"/>
                      <w:color w:val="auto"/>
                      <w:sz w:val="21"/>
                      <w:szCs w:val="21"/>
                      <w:vertAlign w:val="subscript"/>
                    </w:rPr>
                    <w:t>S</w:t>
                  </w:r>
                  <w:r>
                    <w:rPr>
                      <w:rFonts w:hint="eastAsia" w:eastAsia="宋体"/>
                      <w:color w:val="auto"/>
                      <w:sz w:val="21"/>
                      <w:szCs w:val="21"/>
                    </w:rPr>
                    <w:t>）治理设施排查，对涉及使用低温等离子、光氧化、光催化技术的废气治理设施，以及非水溶性VOC</w:t>
                  </w:r>
                  <w:r>
                    <w:rPr>
                      <w:rFonts w:hint="eastAsia" w:eastAsia="宋体"/>
                      <w:color w:val="auto"/>
                      <w:sz w:val="21"/>
                      <w:szCs w:val="21"/>
                      <w:vertAlign w:val="subscript"/>
                    </w:rPr>
                    <w:t>S</w:t>
                  </w:r>
                  <w:r>
                    <w:rPr>
                      <w:rFonts w:hint="eastAsia" w:eastAsia="宋体"/>
                      <w:color w:val="auto"/>
                      <w:sz w:val="21"/>
                      <w:szCs w:val="21"/>
                    </w:rPr>
                    <w:t>废气采用单一喷淋吸收等治理技术的设施，逐一登记入册，2022年12月底前报所在设区市生态环境局备案。各地要着力解决中小微企业普遍采用低效设施设施 治理VOC</w:t>
                  </w:r>
                  <w:r>
                    <w:rPr>
                      <w:rFonts w:hint="eastAsia" w:eastAsia="宋体"/>
                      <w:color w:val="auto"/>
                      <w:sz w:val="21"/>
                      <w:szCs w:val="21"/>
                      <w:vertAlign w:val="subscript"/>
                    </w:rPr>
                    <w:t>S</w:t>
                  </w:r>
                  <w:r>
                    <w:rPr>
                      <w:rFonts w:hint="eastAsia" w:eastAsia="宋体"/>
                      <w:color w:val="auto"/>
                      <w:sz w:val="21"/>
                      <w:szCs w:val="21"/>
                    </w:rPr>
                    <w:t>废气的突出问题，对照《浙江省重点行业挥发性有机升级物污染防治技术指南》要求，加快推进升级改造。2023 年8月底改造前，重点城市基本完成VOC</w:t>
                  </w:r>
                  <w:r>
                    <w:rPr>
                      <w:rFonts w:hint="eastAsia" w:eastAsia="宋体"/>
                      <w:color w:val="auto"/>
                      <w:sz w:val="21"/>
                      <w:szCs w:val="21"/>
                      <w:vertAlign w:val="subscript"/>
                    </w:rPr>
                    <w:t>S</w:t>
                  </w:r>
                  <w:r>
                    <w:rPr>
                      <w:rFonts w:hint="eastAsia" w:eastAsia="宋体"/>
                      <w:color w:val="auto"/>
                      <w:sz w:val="21"/>
                      <w:szCs w:val="21"/>
                    </w:rPr>
                    <w:t>治理低效设施升级改造；2023年底前，全省完成升级改造。2024年6月底前，各地组织开展低温等离子、光氧化、光催化等低效设施升级改造情况“回头看”，各地建立VOC</w:t>
                  </w:r>
                  <w:r>
                    <w:rPr>
                      <w:rFonts w:hint="eastAsia" w:eastAsia="宋体"/>
                      <w:color w:val="auto"/>
                      <w:sz w:val="21"/>
                      <w:szCs w:val="21"/>
                      <w:vertAlign w:val="subscript"/>
                    </w:rPr>
                    <w:t>S</w:t>
                  </w:r>
                  <w:r>
                    <w:rPr>
                      <w:rFonts w:hint="eastAsia" w:eastAsia="宋体"/>
                      <w:color w:val="auto"/>
                      <w:sz w:val="21"/>
                      <w:szCs w:val="21"/>
                    </w:rPr>
                    <w:t>治理低效设施（恶臭异味治理除外）动态清理机制，各市生态环境部门定期开展抽查，发现一例、整改一例。</w:t>
                  </w:r>
                </w:p>
              </w:tc>
              <w:tc>
                <w:tcPr>
                  <w:tcW w:w="1178" w:type="dxa"/>
                  <w:vAlign w:val="center"/>
                </w:tcPr>
                <w:p w14:paraId="3970D9B4">
                  <w:pPr>
                    <w:pStyle w:val="3"/>
                    <w:ind w:firstLine="0" w:firstLineChars="0"/>
                    <w:rPr>
                      <w:rFonts w:eastAsia="宋体"/>
                      <w:color w:val="auto"/>
                      <w:sz w:val="21"/>
                      <w:szCs w:val="21"/>
                    </w:rPr>
                  </w:pPr>
                  <w:r>
                    <w:rPr>
                      <w:rFonts w:hint="eastAsia" w:eastAsia="宋体"/>
                      <w:color w:val="auto"/>
                      <w:sz w:val="21"/>
                      <w:szCs w:val="21"/>
                    </w:rPr>
                    <w:t>符合，本项目使用二级活性炭吸附处理设施对</w:t>
                  </w:r>
                  <w:r>
                    <w:rPr>
                      <w:rFonts w:hint="eastAsia" w:eastAsia="宋体"/>
                      <w:color w:val="auto"/>
                      <w:sz w:val="21"/>
                      <w:szCs w:val="21"/>
                      <w:lang w:eastAsia="zh-CN"/>
                    </w:rPr>
                    <w:t>注塑</w:t>
                  </w:r>
                  <w:r>
                    <w:rPr>
                      <w:rFonts w:hint="eastAsia" w:eastAsia="宋体"/>
                      <w:color w:val="auto"/>
                      <w:sz w:val="21"/>
                      <w:szCs w:val="21"/>
                    </w:rPr>
                    <w:t>废气进行处理，不属于低效治理设施。</w:t>
                  </w:r>
                </w:p>
              </w:tc>
            </w:tr>
            <w:tr w14:paraId="2251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dxa"/>
                  <w:vAlign w:val="center"/>
                </w:tcPr>
                <w:p w14:paraId="6670E4AD">
                  <w:pPr>
                    <w:pStyle w:val="3"/>
                    <w:ind w:firstLine="0" w:firstLineChars="0"/>
                    <w:jc w:val="center"/>
                    <w:rPr>
                      <w:rFonts w:eastAsia="宋体"/>
                      <w:color w:val="auto"/>
                      <w:sz w:val="21"/>
                      <w:szCs w:val="21"/>
                    </w:rPr>
                  </w:pPr>
                  <w:r>
                    <w:rPr>
                      <w:rFonts w:hint="eastAsia" w:eastAsia="宋体"/>
                      <w:color w:val="auto"/>
                      <w:sz w:val="21"/>
                      <w:szCs w:val="21"/>
                    </w:rPr>
                    <w:t>2</w:t>
                  </w:r>
                </w:p>
              </w:tc>
              <w:tc>
                <w:tcPr>
                  <w:tcW w:w="672" w:type="dxa"/>
                  <w:vAlign w:val="center"/>
                </w:tcPr>
                <w:p w14:paraId="44F03A69">
                  <w:pPr>
                    <w:pStyle w:val="3"/>
                    <w:ind w:firstLine="0" w:firstLineChars="0"/>
                    <w:jc w:val="center"/>
                    <w:rPr>
                      <w:rFonts w:eastAsia="宋体"/>
                      <w:color w:val="auto"/>
                      <w:sz w:val="21"/>
                      <w:szCs w:val="21"/>
                    </w:rPr>
                  </w:pPr>
                  <w:r>
                    <w:rPr>
                      <w:rFonts w:hint="eastAsia" w:eastAsia="宋体"/>
                      <w:color w:val="auto"/>
                      <w:sz w:val="21"/>
                      <w:szCs w:val="21"/>
                    </w:rPr>
                    <w:t>重点行业VOC</w:t>
                  </w:r>
                  <w:r>
                    <w:rPr>
                      <w:rFonts w:hint="eastAsia" w:eastAsia="宋体"/>
                      <w:color w:val="auto"/>
                      <w:sz w:val="21"/>
                      <w:szCs w:val="21"/>
                      <w:vertAlign w:val="subscript"/>
                    </w:rPr>
                    <w:t>S</w:t>
                  </w:r>
                  <w:r>
                    <w:rPr>
                      <w:rFonts w:hint="eastAsia" w:eastAsia="宋体"/>
                      <w:color w:val="auto"/>
                      <w:sz w:val="21"/>
                      <w:szCs w:val="21"/>
                    </w:rPr>
                    <w:t>源头替代行</w:t>
                  </w:r>
                </w:p>
              </w:tc>
              <w:tc>
                <w:tcPr>
                  <w:tcW w:w="4821" w:type="dxa"/>
                  <w:vAlign w:val="center"/>
                </w:tcPr>
                <w:p w14:paraId="4D2EA001">
                  <w:pPr>
                    <w:pStyle w:val="3"/>
                    <w:ind w:firstLine="0" w:firstLineChars="0"/>
                    <w:rPr>
                      <w:rFonts w:eastAsia="宋体"/>
                      <w:color w:val="auto"/>
                      <w:sz w:val="21"/>
                      <w:szCs w:val="21"/>
                    </w:rPr>
                  </w:pPr>
                  <w:r>
                    <w:rPr>
                      <w:rFonts w:hint="eastAsia" w:eastAsia="宋体"/>
                      <w:color w:val="auto"/>
                      <w:sz w:val="21"/>
                      <w:szCs w:val="21"/>
                    </w:rPr>
                    <w:t>各地结合产业特点和《低VOC</w:t>
                  </w:r>
                  <w:r>
                    <w:rPr>
                      <w:rFonts w:hint="eastAsia" w:eastAsia="宋体"/>
                      <w:color w:val="auto"/>
                      <w:sz w:val="21"/>
                      <w:szCs w:val="21"/>
                      <w:vertAlign w:val="subscript"/>
                    </w:rPr>
                    <w:t>S</w:t>
                  </w:r>
                  <w:r>
                    <w:rPr>
                      <w:rFonts w:hint="eastAsia" w:eastAsia="宋体"/>
                      <w:color w:val="auto"/>
                      <w:sz w:val="21"/>
                      <w:szCs w:val="21"/>
                    </w:rPr>
                    <w:t>含量原辅材料源头替代指导目录》(浙环发 (2021) 10号文附件1) ，制定实施重点行业VOC</w:t>
                  </w:r>
                  <w:r>
                    <w:rPr>
                      <w:rFonts w:hint="eastAsia" w:eastAsia="宋体"/>
                      <w:color w:val="auto"/>
                      <w:sz w:val="21"/>
                      <w:szCs w:val="21"/>
                      <w:vertAlign w:val="subscript"/>
                    </w:rPr>
                    <w:t>S</w:t>
                  </w:r>
                  <w:r>
                    <w:rPr>
                      <w:rFonts w:hint="eastAsia" w:eastAsia="宋体"/>
                      <w:color w:val="auto"/>
                      <w:sz w:val="21"/>
                      <w:szCs w:val="21"/>
                    </w:rPr>
                    <w:t>源头替代计划，确保本行政区域“到2025年，溶剂型工业涂料、油墨使用比例分别降低20%、10%，溶剂型胶粘剂使用量降低20%”。其中，涉及使用溶剂型工业涂料的汽车整车、工程机械整机、汽车零部件、木质家具、钢结构、船舶制造，涉及使用溶剂型油墨的吸收性承印物凹版印刷，以及涉及使用溶剂型胶粘剂的软包装复合、纺织品复合、家具胶粘等10个重点行业，到2025年底，原则上实现溶剂型工业涂料、油黑和胶粘剂“应替尽替”。到2023年1月，各市上报辖区内含VOC</w:t>
                  </w:r>
                  <w:r>
                    <w:rPr>
                      <w:rFonts w:hint="eastAsia" w:eastAsia="宋体"/>
                      <w:color w:val="auto"/>
                      <w:sz w:val="21"/>
                      <w:szCs w:val="21"/>
                      <w:vertAlign w:val="subscript"/>
                    </w:rPr>
                    <w:t>S</w:t>
                  </w:r>
                  <w:r>
                    <w:rPr>
                      <w:rFonts w:hint="eastAsia" w:eastAsia="宋体"/>
                      <w:color w:val="auto"/>
                      <w:sz w:val="21"/>
                      <w:szCs w:val="21"/>
                    </w:rPr>
                    <w:t>原辅材料使用情况和工业涂料、油墨、胶粘剂源头替代政企协商计划，无法替代的由各市严格把关并逐一说明。2024年三季度，各市对重点行业源头替代计划实施进度开展中期调度，对进度滞后的企业加大督促帮扶力度。</w:t>
                  </w:r>
                </w:p>
              </w:tc>
              <w:tc>
                <w:tcPr>
                  <w:tcW w:w="1178" w:type="dxa"/>
                  <w:vAlign w:val="center"/>
                </w:tcPr>
                <w:p w14:paraId="4EFB15B1">
                  <w:pPr>
                    <w:pStyle w:val="3"/>
                    <w:ind w:firstLine="0" w:firstLineChars="0"/>
                    <w:rPr>
                      <w:rFonts w:eastAsia="宋体"/>
                      <w:color w:val="auto"/>
                      <w:sz w:val="21"/>
                      <w:szCs w:val="21"/>
                    </w:rPr>
                  </w:pPr>
                  <w:r>
                    <w:rPr>
                      <w:rFonts w:hint="eastAsia" w:eastAsia="宋体"/>
                      <w:color w:val="auto"/>
                      <w:sz w:val="21"/>
                      <w:szCs w:val="21"/>
                      <w:lang w:eastAsia="zh-CN"/>
                    </w:rPr>
                    <w:t>不涉及</w:t>
                  </w:r>
                </w:p>
              </w:tc>
            </w:tr>
            <w:tr w14:paraId="04A1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dxa"/>
                  <w:vAlign w:val="center"/>
                </w:tcPr>
                <w:p w14:paraId="30BC182A">
                  <w:pPr>
                    <w:pStyle w:val="3"/>
                    <w:ind w:firstLine="0" w:firstLineChars="0"/>
                    <w:jc w:val="center"/>
                    <w:rPr>
                      <w:rFonts w:eastAsia="宋体"/>
                      <w:color w:val="auto"/>
                      <w:sz w:val="21"/>
                      <w:szCs w:val="21"/>
                    </w:rPr>
                  </w:pPr>
                  <w:r>
                    <w:rPr>
                      <w:rFonts w:hint="eastAsia" w:eastAsia="宋体"/>
                      <w:color w:val="auto"/>
                      <w:sz w:val="21"/>
                      <w:szCs w:val="21"/>
                    </w:rPr>
                    <w:t>3</w:t>
                  </w:r>
                </w:p>
              </w:tc>
              <w:tc>
                <w:tcPr>
                  <w:tcW w:w="672" w:type="dxa"/>
                  <w:vAlign w:val="center"/>
                </w:tcPr>
                <w:p w14:paraId="5C096D59">
                  <w:pPr>
                    <w:pStyle w:val="3"/>
                    <w:ind w:firstLine="0" w:firstLineChars="0"/>
                    <w:jc w:val="center"/>
                    <w:rPr>
                      <w:rFonts w:eastAsia="宋体"/>
                      <w:color w:val="auto"/>
                      <w:sz w:val="21"/>
                      <w:szCs w:val="21"/>
                    </w:rPr>
                  </w:pPr>
                  <w:r>
                    <w:rPr>
                      <w:rFonts w:hint="eastAsia" w:eastAsia="宋体"/>
                      <w:color w:val="auto"/>
                      <w:sz w:val="21"/>
                      <w:szCs w:val="21"/>
                    </w:rPr>
                    <w:t>治气公共基础设施建设行动</w:t>
                  </w:r>
                </w:p>
              </w:tc>
              <w:tc>
                <w:tcPr>
                  <w:tcW w:w="4821" w:type="dxa"/>
                  <w:vAlign w:val="center"/>
                </w:tcPr>
                <w:p w14:paraId="358E9741">
                  <w:pPr>
                    <w:pStyle w:val="3"/>
                    <w:ind w:firstLine="0" w:firstLineChars="0"/>
                    <w:rPr>
                      <w:rFonts w:eastAsia="宋体"/>
                      <w:color w:val="auto"/>
                      <w:sz w:val="21"/>
                      <w:szCs w:val="21"/>
                    </w:rPr>
                  </w:pPr>
                  <w:r>
                    <w:rPr>
                      <w:rFonts w:hint="eastAsia" w:eastAsia="宋体"/>
                      <w:color w:val="auto"/>
                      <w:sz w:val="21"/>
                      <w:szCs w:val="21"/>
                    </w:rPr>
                    <w:t>各地摸清需求，规划建设一批活性炭集中再生设施，2023年底前，全省废气治理活性炭集中再生设施规模力争达到30万吨/年以上，2025年底前力争达到60万吨/年，远期提升至100万吨/年以上。推行“分散吸附一集中再生”的VOC</w:t>
                  </w:r>
                  <w:r>
                    <w:rPr>
                      <w:rFonts w:hint="eastAsia" w:eastAsia="宋体"/>
                      <w:color w:val="auto"/>
                      <w:sz w:val="21"/>
                      <w:szCs w:val="21"/>
                      <w:vertAlign w:val="subscript"/>
                    </w:rPr>
                    <w:t>S</w:t>
                  </w:r>
                  <w:r>
                    <w:rPr>
                      <w:rFonts w:hint="eastAsia" w:eastAsia="宋体"/>
                      <w:color w:val="auto"/>
                      <w:sz w:val="21"/>
                      <w:szCs w:val="21"/>
                    </w:rPr>
                    <w:t>治理模式，推动建立地方政府主导、市场化方式运作、服务中小微企业的废气治理活性炭公共服务体系，依托“无废城市在线”“浙里蓝天”数字化应用推进活性炭全周期监管，做到规范采购、定期更换、统一收集、集中再生。2023年8月底前，重点城市初步建立废气治理活性炭公共服务体系；2025年底前，采用分散吸附一集中再生活性炭法的VOC</w:t>
                  </w:r>
                  <w:r>
                    <w:rPr>
                      <w:rFonts w:hint="eastAsia" w:eastAsia="宋体"/>
                      <w:color w:val="auto"/>
                      <w:sz w:val="21"/>
                      <w:szCs w:val="21"/>
                      <w:vertAlign w:val="subscript"/>
                    </w:rPr>
                    <w:t>S</w:t>
                  </w:r>
                  <w:r>
                    <w:rPr>
                      <w:rFonts w:hint="eastAsia" w:eastAsia="宋体"/>
                      <w:color w:val="auto"/>
                      <w:sz w:val="21"/>
                      <w:szCs w:val="21"/>
                    </w:rPr>
                    <w:t>治理设施全部接入监管平台，各县（市、区，海岛地区除外）全面建立公共服条体系。因地制宜规划建设一批集中涂装中心、有机溶剂集中回收中心、汽修钣喷中心等“绿岛”设施，配套建设适宜高效VOC</w:t>
                  </w:r>
                  <w:r>
                    <w:rPr>
                      <w:rFonts w:hint="eastAsia" w:eastAsia="宋体"/>
                      <w:color w:val="auto"/>
                      <w:sz w:val="21"/>
                      <w:szCs w:val="21"/>
                      <w:vertAlign w:val="subscript"/>
                    </w:rPr>
                    <w:t>S</w:t>
                  </w:r>
                  <w:r>
                    <w:rPr>
                      <w:rFonts w:hint="eastAsia" w:eastAsia="宋体"/>
                      <w:color w:val="auto"/>
                      <w:sz w:val="21"/>
                      <w:szCs w:val="21"/>
                    </w:rPr>
                    <w:t>治理设施。</w:t>
                  </w:r>
                </w:p>
              </w:tc>
              <w:tc>
                <w:tcPr>
                  <w:tcW w:w="1178" w:type="dxa"/>
                  <w:vAlign w:val="center"/>
                </w:tcPr>
                <w:p w14:paraId="7E75771A">
                  <w:pPr>
                    <w:pStyle w:val="3"/>
                    <w:ind w:firstLine="0" w:firstLineChars="0"/>
                    <w:jc w:val="center"/>
                    <w:rPr>
                      <w:rFonts w:eastAsia="宋体"/>
                      <w:color w:val="auto"/>
                      <w:sz w:val="21"/>
                      <w:szCs w:val="21"/>
                    </w:rPr>
                  </w:pPr>
                  <w:r>
                    <w:rPr>
                      <w:rFonts w:hint="eastAsia" w:eastAsia="宋体"/>
                      <w:color w:val="auto"/>
                      <w:sz w:val="21"/>
                      <w:szCs w:val="21"/>
                    </w:rPr>
                    <w:t>不涉及</w:t>
                  </w:r>
                </w:p>
              </w:tc>
            </w:tr>
            <w:tr w14:paraId="6C2D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dxa"/>
                  <w:vAlign w:val="center"/>
                </w:tcPr>
                <w:p w14:paraId="29769850">
                  <w:pPr>
                    <w:pStyle w:val="3"/>
                    <w:ind w:firstLine="0" w:firstLineChars="0"/>
                    <w:jc w:val="center"/>
                    <w:rPr>
                      <w:rFonts w:eastAsia="宋体"/>
                      <w:color w:val="auto"/>
                      <w:sz w:val="21"/>
                      <w:szCs w:val="21"/>
                    </w:rPr>
                  </w:pPr>
                  <w:r>
                    <w:rPr>
                      <w:rFonts w:hint="eastAsia" w:eastAsia="宋体"/>
                      <w:color w:val="auto"/>
                      <w:sz w:val="21"/>
                      <w:szCs w:val="21"/>
                    </w:rPr>
                    <w:t>4</w:t>
                  </w:r>
                </w:p>
              </w:tc>
              <w:tc>
                <w:tcPr>
                  <w:tcW w:w="672" w:type="dxa"/>
                  <w:vAlign w:val="center"/>
                </w:tcPr>
                <w:p w14:paraId="31FF5A92">
                  <w:pPr>
                    <w:pStyle w:val="3"/>
                    <w:ind w:firstLine="0" w:firstLineChars="0"/>
                    <w:jc w:val="center"/>
                    <w:rPr>
                      <w:rFonts w:eastAsia="宋体"/>
                      <w:color w:val="auto"/>
                      <w:sz w:val="21"/>
                      <w:szCs w:val="21"/>
                    </w:rPr>
                  </w:pPr>
                  <w:r>
                    <w:rPr>
                      <w:rFonts w:hint="eastAsia" w:eastAsia="宋体"/>
                      <w:color w:val="auto"/>
                      <w:sz w:val="21"/>
                      <w:szCs w:val="21"/>
                    </w:rPr>
                    <w:t>化工园区绿色发展行动</w:t>
                  </w:r>
                </w:p>
              </w:tc>
              <w:tc>
                <w:tcPr>
                  <w:tcW w:w="4821" w:type="dxa"/>
                  <w:vAlign w:val="center"/>
                </w:tcPr>
                <w:p w14:paraId="312B5C07">
                  <w:pPr>
                    <w:pStyle w:val="3"/>
                    <w:ind w:firstLine="0" w:firstLineChars="0"/>
                    <w:rPr>
                      <w:rFonts w:eastAsia="宋体"/>
                      <w:color w:val="auto"/>
                      <w:sz w:val="21"/>
                      <w:szCs w:val="21"/>
                    </w:rPr>
                  </w:pPr>
                  <w:r>
                    <w:rPr>
                      <w:rFonts w:hint="eastAsia" w:eastAsia="宋体"/>
                      <w:color w:val="auto"/>
                      <w:sz w:val="21"/>
                      <w:szCs w:val="21"/>
                    </w:rPr>
                    <w:t>加强化工园区治理监管，规范园区及周边大气环境监测站点建设，以园区环境空气质量和企业大气污染防治绩效评级为核心指标，开展全省化工园区大气环境管理等级评价和晾晒。各市生态环境局会同化工园区管理机构，组织炼油与石油化工企业逐一对照大气污染防治绩效A级标准，按照“一年启动、三年完成、五年一流”的原则，制定实施提级改造工作计划，2023年3月底前报省生态环境厅备案；推动煤制氮肥、制药、农药、涂料、油墨等化工企业对照大气污染防治绩效B级及以上标准，持续提升工艺装备和污染物排放控制，逐步改进运输方式。加强化工园区储罐、装卸、敞开液面等环节无组织排放管控以及泄漏检测与修复(LDAR)。加强非正常工况废气排放管控，化工企业每年3月底前向当地生态环境部门和化工园区管理机构报告开停车、检维修计划安排，突发或临时任务及时上报，必要时可实施驻场监管。企业集中、排污量大的化工园区，可组织开展高活性VOC</w:t>
                  </w:r>
                  <w:r>
                    <w:rPr>
                      <w:rFonts w:hint="eastAsia" w:eastAsia="宋体"/>
                      <w:color w:val="auto"/>
                      <w:sz w:val="21"/>
                      <w:szCs w:val="21"/>
                      <w:vertAlign w:val="subscript"/>
                    </w:rPr>
                    <w:t>S</w:t>
                  </w:r>
                  <w:r>
                    <w:rPr>
                      <w:rFonts w:hint="eastAsia" w:eastAsia="宋体"/>
                      <w:color w:val="auto"/>
                      <w:sz w:val="21"/>
                      <w:szCs w:val="21"/>
                    </w:rPr>
                    <w:t>特征污染物的网格化分析及重点企业VOC</w:t>
                  </w:r>
                  <w:r>
                    <w:rPr>
                      <w:rFonts w:hint="eastAsia" w:eastAsia="宋体"/>
                      <w:color w:val="auto"/>
                      <w:sz w:val="21"/>
                      <w:szCs w:val="21"/>
                      <w:vertAlign w:val="subscript"/>
                    </w:rPr>
                    <w:t>S</w:t>
                  </w:r>
                  <w:r>
                    <w:rPr>
                      <w:rFonts w:hint="eastAsia" w:eastAsia="宋体"/>
                      <w:color w:val="auto"/>
                      <w:sz w:val="21"/>
                      <w:szCs w:val="21"/>
                    </w:rPr>
                    <w:t>源谱分析，加强高活性VOC</w:t>
                  </w:r>
                  <w:r>
                    <w:rPr>
                      <w:rFonts w:hint="eastAsia" w:eastAsia="宋体"/>
                      <w:color w:val="auto"/>
                      <w:sz w:val="21"/>
                      <w:szCs w:val="21"/>
                      <w:vertAlign w:val="subscript"/>
                    </w:rPr>
                    <w:t>S</w:t>
                  </w:r>
                  <w:r>
                    <w:rPr>
                      <w:rFonts w:hint="eastAsia" w:eastAsia="宋体"/>
                      <w:color w:val="auto"/>
                      <w:sz w:val="21"/>
                      <w:szCs w:val="21"/>
                    </w:rPr>
                    <w:t>组分物质减排。</w:t>
                  </w:r>
                </w:p>
              </w:tc>
              <w:tc>
                <w:tcPr>
                  <w:tcW w:w="1178" w:type="dxa"/>
                  <w:vAlign w:val="center"/>
                </w:tcPr>
                <w:p w14:paraId="6DED7348">
                  <w:pPr>
                    <w:pStyle w:val="3"/>
                    <w:ind w:firstLine="0" w:firstLineChars="0"/>
                    <w:rPr>
                      <w:rFonts w:eastAsia="宋体"/>
                      <w:color w:val="auto"/>
                      <w:sz w:val="21"/>
                      <w:szCs w:val="21"/>
                    </w:rPr>
                  </w:pPr>
                  <w:r>
                    <w:rPr>
                      <w:rFonts w:hint="eastAsia" w:eastAsia="宋体"/>
                      <w:color w:val="auto"/>
                      <w:sz w:val="21"/>
                      <w:szCs w:val="21"/>
                    </w:rPr>
                    <w:t>不涉及，企业不属于化工企业，所在园区不属于化工园区。</w:t>
                  </w:r>
                </w:p>
              </w:tc>
            </w:tr>
            <w:tr w14:paraId="6A27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dxa"/>
                  <w:vAlign w:val="center"/>
                </w:tcPr>
                <w:p w14:paraId="17E57A83">
                  <w:pPr>
                    <w:pStyle w:val="3"/>
                    <w:ind w:firstLine="0" w:firstLineChars="0"/>
                    <w:jc w:val="center"/>
                    <w:rPr>
                      <w:rFonts w:eastAsia="宋体"/>
                      <w:color w:val="auto"/>
                      <w:sz w:val="21"/>
                      <w:szCs w:val="21"/>
                    </w:rPr>
                  </w:pPr>
                  <w:r>
                    <w:rPr>
                      <w:rFonts w:hint="eastAsia" w:eastAsia="宋体"/>
                      <w:color w:val="auto"/>
                      <w:sz w:val="21"/>
                      <w:szCs w:val="21"/>
                    </w:rPr>
                    <w:t>5</w:t>
                  </w:r>
                </w:p>
              </w:tc>
              <w:tc>
                <w:tcPr>
                  <w:tcW w:w="672" w:type="dxa"/>
                  <w:vAlign w:val="center"/>
                </w:tcPr>
                <w:p w14:paraId="543A31F0">
                  <w:pPr>
                    <w:pStyle w:val="3"/>
                    <w:ind w:firstLine="0" w:firstLineChars="0"/>
                    <w:jc w:val="center"/>
                    <w:rPr>
                      <w:rFonts w:eastAsia="宋体"/>
                      <w:color w:val="auto"/>
                      <w:sz w:val="21"/>
                      <w:szCs w:val="21"/>
                    </w:rPr>
                  </w:pPr>
                  <w:r>
                    <w:rPr>
                      <w:rFonts w:hint="eastAsia" w:eastAsia="宋体"/>
                      <w:color w:val="auto"/>
                      <w:sz w:val="21"/>
                      <w:szCs w:val="21"/>
                    </w:rPr>
                    <w:t>产业集群综合整治行动</w:t>
                  </w:r>
                </w:p>
              </w:tc>
              <w:tc>
                <w:tcPr>
                  <w:tcW w:w="4821" w:type="dxa"/>
                  <w:vAlign w:val="center"/>
                </w:tcPr>
                <w:p w14:paraId="481FF099">
                  <w:pPr>
                    <w:pStyle w:val="3"/>
                    <w:ind w:firstLine="0" w:firstLineChars="0"/>
                    <w:rPr>
                      <w:rFonts w:eastAsia="宋体"/>
                      <w:color w:val="auto"/>
                      <w:sz w:val="21"/>
                      <w:szCs w:val="21"/>
                    </w:rPr>
                  </w:pPr>
                  <w:r>
                    <w:rPr>
                      <w:rFonts w:hint="eastAsia" w:eastAsia="宋体"/>
                      <w:color w:val="auto"/>
                      <w:sz w:val="21"/>
                      <w:szCs w:val="21"/>
                    </w:rPr>
                    <w:t>重点排查使用溶剂型工业涂料、油墨、胶粘剂、涂层剂活其他有机溶剂的家具制造、门窗制造、五金制品制造、零部件制造、包装印刷、纺织后整理、制鞋等涉气产业集群。2023年3月底前，各地在排查评估的基础上，对存在长期投诉、无组织排放严重、普遍采用低效治理设施、管理水平差等突出问题的产业集群指定整治方案，明确整治标准和时限，在“十四五”期间实现标杆建设一批、改造提升一批、优化整合一批、淘汰退出一批。</w:t>
                  </w:r>
                </w:p>
              </w:tc>
              <w:tc>
                <w:tcPr>
                  <w:tcW w:w="1178" w:type="dxa"/>
                  <w:vAlign w:val="center"/>
                </w:tcPr>
                <w:p w14:paraId="31FC2AEF">
                  <w:pPr>
                    <w:pStyle w:val="3"/>
                    <w:ind w:firstLine="0" w:firstLineChars="0"/>
                    <w:rPr>
                      <w:rFonts w:eastAsia="宋体"/>
                      <w:color w:val="auto"/>
                      <w:sz w:val="21"/>
                      <w:szCs w:val="21"/>
                    </w:rPr>
                  </w:pPr>
                  <w:r>
                    <w:rPr>
                      <w:rFonts w:hint="eastAsia" w:eastAsia="宋体"/>
                      <w:color w:val="auto"/>
                      <w:sz w:val="21"/>
                      <w:szCs w:val="21"/>
                    </w:rPr>
                    <w:t>不涉及</w:t>
                  </w:r>
                </w:p>
              </w:tc>
            </w:tr>
            <w:tr w14:paraId="4FEB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dxa"/>
                  <w:vAlign w:val="center"/>
                </w:tcPr>
                <w:p w14:paraId="48B4C48C">
                  <w:pPr>
                    <w:pStyle w:val="3"/>
                    <w:ind w:firstLine="0" w:firstLineChars="0"/>
                    <w:jc w:val="center"/>
                    <w:rPr>
                      <w:rFonts w:eastAsia="宋体"/>
                      <w:color w:val="auto"/>
                      <w:sz w:val="21"/>
                      <w:szCs w:val="21"/>
                    </w:rPr>
                  </w:pPr>
                  <w:r>
                    <w:rPr>
                      <w:rFonts w:hint="eastAsia" w:eastAsia="宋体"/>
                      <w:color w:val="auto"/>
                      <w:sz w:val="21"/>
                      <w:szCs w:val="21"/>
                    </w:rPr>
                    <w:t>6</w:t>
                  </w:r>
                </w:p>
              </w:tc>
              <w:tc>
                <w:tcPr>
                  <w:tcW w:w="672" w:type="dxa"/>
                  <w:vAlign w:val="center"/>
                </w:tcPr>
                <w:p w14:paraId="05177044">
                  <w:pPr>
                    <w:pStyle w:val="3"/>
                    <w:ind w:firstLine="0" w:firstLineChars="0"/>
                    <w:jc w:val="center"/>
                    <w:rPr>
                      <w:rFonts w:eastAsia="宋体"/>
                      <w:color w:val="auto"/>
                      <w:sz w:val="21"/>
                      <w:szCs w:val="21"/>
                    </w:rPr>
                  </w:pPr>
                  <w:r>
                    <w:rPr>
                      <w:rFonts w:hint="eastAsia" w:eastAsia="宋体"/>
                      <w:color w:val="auto"/>
                      <w:sz w:val="21"/>
                      <w:szCs w:val="21"/>
                    </w:rPr>
                    <w:t>氮氧化物深度治理行动</w:t>
                  </w:r>
                </w:p>
              </w:tc>
              <w:tc>
                <w:tcPr>
                  <w:tcW w:w="4821" w:type="dxa"/>
                  <w:vAlign w:val="center"/>
                </w:tcPr>
                <w:p w14:paraId="057E9ED6">
                  <w:pPr>
                    <w:pStyle w:val="3"/>
                    <w:ind w:firstLine="0" w:firstLineChars="0"/>
                    <w:rPr>
                      <w:rFonts w:eastAsia="宋体"/>
                      <w:color w:val="auto"/>
                      <w:sz w:val="21"/>
                      <w:szCs w:val="21"/>
                    </w:rPr>
                  </w:pPr>
                  <w:r>
                    <w:rPr>
                      <w:rFonts w:hint="eastAsia" w:eastAsia="宋体"/>
                      <w:color w:val="auto"/>
                      <w:sz w:val="21"/>
                      <w:szCs w:val="21"/>
                    </w:rPr>
                    <w:t>钢铁、水泥行业加快实施超低排放改造，2023 年底前，力争全面完成钢铁行业超低排放改造；2025年6月底前，除“十四五”搬迁关停项目外，全省水泥熟料企业全面完成超低排放改造任务。各地组织开展锅炉、工业炉窑使用情况排查，2022年 12月底前完成；使用低效技术处理氮氧化物的在用锅炉和工业炉窑，应立即实施治理设施升级改造。加强锅炉综合治理，燃煤、燃油、燃气锅炉和城市建成区内生物质锅炉全面实现超低排放，城市建成区内无法稳定达到超低排放的生物质锅炉改用电、天然气等清洁燃料。加快35蒸吨/小时以下燃煤锅炉淘汰改造工作，力争提前完成“十四五”任务。加强工业炉窑深度治理，铸造、玻璃、石灰、电石等行业对照新国标按期完成提标改造；配备玻璃熔窑的平板玻璃(光伏玻璃)、日用玻璃、玻璃纤维企业对照大气污染防治绩效A级标准实施有组织排放深度治理。加强新能源和清洁能源车辆、内河船舶、非道路移动机械的推广应用，加快淘汰老旧柴油移动源。到2025年，全省国四及以下老旧营运货车更新淘汰4万辆，基本淘汰工厂厂区、旅游景区、游乐场所等登记在册的国二及以下柴油叉车。</w:t>
                  </w:r>
                </w:p>
              </w:tc>
              <w:tc>
                <w:tcPr>
                  <w:tcW w:w="1178" w:type="dxa"/>
                  <w:vAlign w:val="center"/>
                </w:tcPr>
                <w:p w14:paraId="760C9D23">
                  <w:pPr>
                    <w:pStyle w:val="3"/>
                    <w:ind w:firstLine="0" w:firstLineChars="0"/>
                    <w:rPr>
                      <w:rFonts w:eastAsia="宋体"/>
                      <w:color w:val="auto"/>
                      <w:sz w:val="21"/>
                      <w:szCs w:val="21"/>
                    </w:rPr>
                  </w:pPr>
                  <w:r>
                    <w:rPr>
                      <w:rFonts w:hint="eastAsia" w:eastAsia="宋体"/>
                      <w:color w:val="auto"/>
                      <w:sz w:val="21"/>
                      <w:szCs w:val="21"/>
                    </w:rPr>
                    <w:t>符合，本项目不属于钢铁、水泥、铸造、玻璃、石灰、</w:t>
                  </w:r>
                  <w:r>
                    <w:rPr>
                      <w:rFonts w:hint="eastAsia" w:eastAsia="宋体"/>
                      <w:color w:val="auto"/>
                      <w:sz w:val="21"/>
                      <w:szCs w:val="21"/>
                      <w:lang w:val="en-US" w:eastAsia="zh-CN"/>
                    </w:rPr>
                    <w:t>电石</w:t>
                  </w:r>
                  <w:r>
                    <w:rPr>
                      <w:rFonts w:hint="eastAsia" w:eastAsia="宋体"/>
                      <w:color w:val="auto"/>
                      <w:sz w:val="21"/>
                      <w:szCs w:val="21"/>
                    </w:rPr>
                    <w:t>等行业。</w:t>
                  </w:r>
                </w:p>
              </w:tc>
            </w:tr>
            <w:tr w14:paraId="2CA5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dxa"/>
                  <w:vAlign w:val="center"/>
                </w:tcPr>
                <w:p w14:paraId="3165AFC8">
                  <w:pPr>
                    <w:pStyle w:val="3"/>
                    <w:ind w:firstLine="0" w:firstLineChars="0"/>
                    <w:jc w:val="center"/>
                    <w:rPr>
                      <w:rFonts w:eastAsia="宋体"/>
                      <w:color w:val="auto"/>
                      <w:sz w:val="21"/>
                      <w:szCs w:val="21"/>
                    </w:rPr>
                  </w:pPr>
                  <w:r>
                    <w:rPr>
                      <w:rFonts w:hint="eastAsia" w:eastAsia="宋体"/>
                      <w:color w:val="auto"/>
                      <w:sz w:val="21"/>
                      <w:szCs w:val="21"/>
                    </w:rPr>
                    <w:t>7</w:t>
                  </w:r>
                </w:p>
              </w:tc>
              <w:tc>
                <w:tcPr>
                  <w:tcW w:w="672" w:type="dxa"/>
                  <w:vAlign w:val="center"/>
                </w:tcPr>
                <w:p w14:paraId="2061D372">
                  <w:pPr>
                    <w:pStyle w:val="3"/>
                    <w:ind w:firstLine="0" w:firstLineChars="0"/>
                    <w:jc w:val="center"/>
                    <w:rPr>
                      <w:rFonts w:eastAsia="宋体"/>
                      <w:color w:val="auto"/>
                      <w:sz w:val="21"/>
                      <w:szCs w:val="21"/>
                    </w:rPr>
                  </w:pPr>
                  <w:r>
                    <w:rPr>
                      <w:rFonts w:hint="eastAsia" w:eastAsia="宋体"/>
                      <w:color w:val="auto"/>
                      <w:sz w:val="21"/>
                      <w:szCs w:val="21"/>
                    </w:rPr>
                    <w:t>企业污染防治提级行动</w:t>
                  </w:r>
                </w:p>
              </w:tc>
              <w:tc>
                <w:tcPr>
                  <w:tcW w:w="4821" w:type="dxa"/>
                  <w:vAlign w:val="center"/>
                </w:tcPr>
                <w:p w14:paraId="1D2345CC">
                  <w:pPr>
                    <w:pStyle w:val="3"/>
                    <w:ind w:firstLine="0" w:firstLineChars="0"/>
                    <w:rPr>
                      <w:rFonts w:eastAsia="宋体"/>
                      <w:color w:val="auto"/>
                      <w:sz w:val="21"/>
                      <w:szCs w:val="21"/>
                    </w:rPr>
                  </w:pPr>
                  <w:r>
                    <w:rPr>
                      <w:rFonts w:hint="eastAsia" w:eastAsia="宋体"/>
                      <w:color w:val="auto"/>
                      <w:sz w:val="21"/>
                      <w:szCs w:val="21"/>
                    </w:rPr>
                    <w:t>以绩效评级为抓手，推动工业企业对标重点行业大气污染防治绩效B级及以上要求，开展工艺装备、有组织排放控制、无组织排放控制、污染治理技术、监测监控、大气环境管理、清洁运输方式等提级改造，整体提升全省工业企业的大气污染防治水平。各地应结合产业特点，培育创建一批A、B级或引领性企业。2023年8月底前，重点城市力争8%的企业达到B级及以上，60%的企业达到C级及以上；其他城市4%的企业达到B级及以上，50%的企业达到C级及以上。到2024年，重点城市力争12%的企业达到B级及以上，75%的企业达到C级及以上；其他城市8%的企业达到B级及以上，65%的企业达到C级及以上。到2025年重点城市力争 15%的企业达到B级及以上，90%的企业达到C级及以上；其他城市 10%的企业达到B级及以上，80%的企业达到C级及以上。</w:t>
                  </w:r>
                </w:p>
              </w:tc>
              <w:tc>
                <w:tcPr>
                  <w:tcW w:w="1178" w:type="dxa"/>
                  <w:vAlign w:val="center"/>
                </w:tcPr>
                <w:p w14:paraId="7E6DEB91">
                  <w:pPr>
                    <w:pStyle w:val="3"/>
                    <w:ind w:firstLine="0" w:firstLineChars="0"/>
                    <w:rPr>
                      <w:rFonts w:eastAsia="宋体"/>
                      <w:color w:val="auto"/>
                      <w:sz w:val="21"/>
                      <w:szCs w:val="21"/>
                    </w:rPr>
                  </w:pPr>
                  <w:r>
                    <w:rPr>
                      <w:rFonts w:hint="eastAsia" w:eastAsia="宋体"/>
                      <w:color w:val="auto"/>
                      <w:sz w:val="21"/>
                      <w:szCs w:val="21"/>
                    </w:rPr>
                    <w:t>落实后符合，企业投产后将严格管 控污染物防治措施，大气污染防治水平符合相关政策要求。</w:t>
                  </w:r>
                </w:p>
              </w:tc>
            </w:tr>
            <w:tr w14:paraId="411A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dxa"/>
                  <w:vAlign w:val="center"/>
                </w:tcPr>
                <w:p w14:paraId="3BB3B99A">
                  <w:pPr>
                    <w:pStyle w:val="3"/>
                    <w:ind w:firstLine="0" w:firstLineChars="0"/>
                    <w:jc w:val="center"/>
                    <w:rPr>
                      <w:rFonts w:eastAsia="宋体"/>
                      <w:color w:val="auto"/>
                      <w:sz w:val="21"/>
                      <w:szCs w:val="21"/>
                    </w:rPr>
                  </w:pPr>
                  <w:r>
                    <w:rPr>
                      <w:rFonts w:hint="eastAsia" w:eastAsia="宋体"/>
                      <w:color w:val="auto"/>
                      <w:sz w:val="21"/>
                      <w:szCs w:val="21"/>
                    </w:rPr>
                    <w:t>8</w:t>
                  </w:r>
                </w:p>
              </w:tc>
              <w:tc>
                <w:tcPr>
                  <w:tcW w:w="672" w:type="dxa"/>
                  <w:vAlign w:val="center"/>
                </w:tcPr>
                <w:p w14:paraId="52A4E909">
                  <w:pPr>
                    <w:pStyle w:val="3"/>
                    <w:ind w:firstLine="0" w:firstLineChars="0"/>
                    <w:jc w:val="center"/>
                    <w:rPr>
                      <w:rFonts w:eastAsia="宋体"/>
                      <w:color w:val="auto"/>
                      <w:sz w:val="21"/>
                      <w:szCs w:val="21"/>
                    </w:rPr>
                  </w:pPr>
                  <w:r>
                    <w:rPr>
                      <w:rFonts w:hint="eastAsia" w:eastAsia="宋体"/>
                      <w:color w:val="auto"/>
                      <w:sz w:val="21"/>
                      <w:szCs w:val="21"/>
                    </w:rPr>
                    <w:t>污染源强化监管行动</w:t>
                  </w:r>
                </w:p>
              </w:tc>
              <w:tc>
                <w:tcPr>
                  <w:tcW w:w="4821" w:type="dxa"/>
                  <w:vAlign w:val="center"/>
                </w:tcPr>
                <w:p w14:paraId="0C5234CE">
                  <w:pPr>
                    <w:pStyle w:val="3"/>
                    <w:ind w:firstLine="0" w:firstLineChars="0"/>
                    <w:rPr>
                      <w:rFonts w:eastAsia="宋体"/>
                      <w:color w:val="auto"/>
                      <w:sz w:val="21"/>
                      <w:szCs w:val="21"/>
                    </w:rPr>
                  </w:pPr>
                  <w:r>
                    <w:rPr>
                      <w:rFonts w:hint="eastAsia" w:eastAsia="宋体"/>
                      <w:color w:val="auto"/>
                      <w:sz w:val="21"/>
                      <w:szCs w:val="21"/>
                    </w:rPr>
                    <w:t>涉VOC</w:t>
                  </w:r>
                  <w:r>
                    <w:rPr>
                      <w:rFonts w:hint="eastAsia" w:eastAsia="宋体"/>
                      <w:color w:val="auto"/>
                      <w:sz w:val="21"/>
                      <w:szCs w:val="21"/>
                      <w:vertAlign w:val="subscript"/>
                    </w:rPr>
                    <w:t>S</w:t>
                  </w:r>
                  <w:r>
                    <w:rPr>
                      <w:rFonts w:hint="eastAsia" w:eastAsia="宋体"/>
                      <w:color w:val="auto"/>
                      <w:sz w:val="21"/>
                      <w:szCs w:val="21"/>
                    </w:rPr>
                    <w:t>和氮氧化物排放的重点排污单位依据排污许可等管理要求安装自动监测设备，并与生态环境主管部门联网；2023年8月底前，重点城市推动一批废气排放量大、VOC</w:t>
                  </w:r>
                  <w:r>
                    <w:rPr>
                      <w:rFonts w:hint="eastAsia" w:eastAsia="宋体"/>
                      <w:color w:val="auto"/>
                      <w:sz w:val="21"/>
                      <w:szCs w:val="21"/>
                      <w:vertAlign w:val="subscript"/>
                    </w:rPr>
                    <w:t>S</w:t>
                  </w:r>
                  <w:r>
                    <w:rPr>
                      <w:rFonts w:hint="eastAsia" w:eastAsia="宋体"/>
                      <w:color w:val="auto"/>
                      <w:sz w:val="21"/>
                      <w:szCs w:val="21"/>
                    </w:rPr>
                    <w:t>排放浓度高的企业安装在线监测设备，到2025年，全省污染源VOC</w:t>
                  </w:r>
                  <w:r>
                    <w:rPr>
                      <w:rFonts w:hint="eastAsia" w:eastAsia="宋体"/>
                      <w:color w:val="auto"/>
                      <w:sz w:val="21"/>
                      <w:szCs w:val="21"/>
                      <w:vertAlign w:val="subscript"/>
                    </w:rPr>
                    <w:t>S</w:t>
                  </w:r>
                  <w:r>
                    <w:rPr>
                      <w:rFonts w:hint="eastAsia" w:eastAsia="宋体"/>
                      <w:color w:val="auto"/>
                      <w:sz w:val="21"/>
                      <w:szCs w:val="21"/>
                    </w:rPr>
                    <w:t>在线监测网络取得明显提升。加强废气治理设施旁路监管，2023年3月底前，各地生态环境部门组织开展备案旁路管理“回头看”，依法查处违规设置非应急类旁路行为。推动将用电监控模块作为废气治理设施的必备组件，2023年8月底前，重点城市全面推动涉气排污单位安装用电监管模块，到2025 年，基本建成覆盖全省的废气收集治理用电监管网络</w:t>
                  </w:r>
                </w:p>
              </w:tc>
              <w:tc>
                <w:tcPr>
                  <w:tcW w:w="1178" w:type="dxa"/>
                  <w:vAlign w:val="center"/>
                </w:tcPr>
                <w:p w14:paraId="5DF8F1CF">
                  <w:pPr>
                    <w:pStyle w:val="3"/>
                    <w:ind w:firstLine="0" w:firstLineChars="0"/>
                    <w:rPr>
                      <w:rFonts w:eastAsia="宋体"/>
                      <w:color w:val="auto"/>
                      <w:sz w:val="21"/>
                      <w:szCs w:val="21"/>
                    </w:rPr>
                  </w:pPr>
                  <w:r>
                    <w:rPr>
                      <w:rFonts w:hint="eastAsia" w:eastAsia="宋体"/>
                      <w:color w:val="auto"/>
                      <w:sz w:val="21"/>
                      <w:szCs w:val="21"/>
                    </w:rPr>
                    <w:t>不涉及，企业不属于 涉VOC</w:t>
                  </w:r>
                  <w:r>
                    <w:rPr>
                      <w:rFonts w:hint="eastAsia" w:eastAsia="宋体"/>
                      <w:color w:val="auto"/>
                      <w:sz w:val="21"/>
                      <w:szCs w:val="21"/>
                      <w:vertAlign w:val="subscript"/>
                    </w:rPr>
                    <w:t>S</w:t>
                  </w:r>
                  <w:r>
                    <w:rPr>
                      <w:rFonts w:hint="eastAsia" w:eastAsia="宋体"/>
                      <w:color w:val="auto"/>
                      <w:sz w:val="21"/>
                      <w:szCs w:val="21"/>
                    </w:rPr>
                    <w:t>和氮氧化物排放的重点排污单位。</w:t>
                  </w:r>
                </w:p>
              </w:tc>
            </w:tr>
          </w:tbl>
          <w:p w14:paraId="62F89051">
            <w:pPr>
              <w:pStyle w:val="2"/>
              <w:spacing w:line="440" w:lineRule="exact"/>
              <w:ind w:firstLine="0" w:firstLineChars="0"/>
              <w:rPr>
                <w:rFonts w:hAnsi="宋体"/>
                <w:b/>
                <w:color w:val="auto"/>
                <w:sz w:val="24"/>
              </w:rPr>
            </w:pPr>
            <w:r>
              <w:rPr>
                <w:rFonts w:hint="eastAsia" w:hAnsi="宋体"/>
                <w:b/>
                <w:color w:val="auto"/>
                <w:sz w:val="24"/>
              </w:rPr>
              <w:t>1.3.12与《浙江省建设项目环境保护管理办法》符合性分析</w:t>
            </w:r>
          </w:p>
          <w:p w14:paraId="74D73490">
            <w:pPr>
              <w:pStyle w:val="3"/>
              <w:spacing w:line="420" w:lineRule="exact"/>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根据《浙江省建设项目环境保护管理办法》</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2021年修正，浙江省人民政府令第388号</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第三条</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建设项目应当符合生态保护红线、环境质量底线、资源利用上线和生态环境准入清单管控的要求:排放污染物应当符合国家、省规定的污染物排放标准和重点污染物排放总量控制要求。建设项目还应当符合国土空间规划、国家和省产业政策等要求</w:t>
            </w:r>
            <w:r>
              <w:rPr>
                <w:rFonts w:hint="eastAsia" w:ascii="Times New Roman" w:hAnsi="Times New Roman" w:eastAsia="宋体" w:cs="Times New Roman"/>
                <w:color w:val="auto"/>
                <w:lang w:eastAsia="zh-CN"/>
              </w:rPr>
              <w:t>。</w:t>
            </w:r>
          </w:p>
          <w:p w14:paraId="18BF1282">
            <w:pPr>
              <w:pStyle w:val="3"/>
              <w:spacing w:line="440" w:lineRule="exact"/>
              <w:ind w:left="0" w:leftChars="0" w:firstLine="0" w:firstLineChars="0"/>
              <w:jc w:val="center"/>
              <w:rPr>
                <w:color w:val="auto"/>
              </w:rPr>
            </w:pPr>
            <w:r>
              <w:rPr>
                <w:rFonts w:eastAsia="宋体"/>
                <w:b/>
                <w:bCs/>
                <w:color w:val="auto"/>
                <w:sz w:val="21"/>
                <w:szCs w:val="21"/>
              </w:rPr>
              <w:t>表1-1</w:t>
            </w:r>
            <w:r>
              <w:rPr>
                <w:rFonts w:hint="eastAsia" w:eastAsia="宋体"/>
                <w:b/>
                <w:bCs/>
                <w:color w:val="auto"/>
                <w:sz w:val="21"/>
                <w:szCs w:val="21"/>
                <w:lang w:val="en-US" w:eastAsia="zh-CN"/>
              </w:rPr>
              <w:t>3</w:t>
            </w:r>
            <w:r>
              <w:rPr>
                <w:rFonts w:hint="eastAsia" w:eastAsia="宋体"/>
                <w:b/>
                <w:bCs/>
                <w:color w:val="auto"/>
                <w:sz w:val="21"/>
                <w:szCs w:val="21"/>
              </w:rPr>
              <w:t>与《浙江省建设项目环境保护管理办法》</w:t>
            </w:r>
            <w:r>
              <w:rPr>
                <w:rFonts w:hint="eastAsia" w:eastAsia="宋体"/>
                <w:b/>
                <w:bCs/>
                <w:color w:val="auto"/>
                <w:sz w:val="21"/>
                <w:szCs w:val="21"/>
                <w:lang w:eastAsia="zh-CN"/>
              </w:rPr>
              <w:t>（</w:t>
            </w:r>
            <w:r>
              <w:rPr>
                <w:rFonts w:hint="eastAsia" w:eastAsia="宋体"/>
                <w:b/>
                <w:bCs/>
                <w:color w:val="auto"/>
                <w:sz w:val="21"/>
                <w:szCs w:val="21"/>
                <w:lang w:val="en-US" w:eastAsia="zh-CN"/>
              </w:rPr>
              <w:t>2021年修正</w:t>
            </w:r>
            <w:r>
              <w:rPr>
                <w:rFonts w:hint="eastAsia" w:eastAsia="宋体"/>
                <w:b/>
                <w:bCs/>
                <w:color w:val="auto"/>
                <w:sz w:val="21"/>
                <w:szCs w:val="21"/>
                <w:lang w:eastAsia="zh-CN"/>
              </w:rPr>
              <w:t>）</w:t>
            </w:r>
            <w:r>
              <w:rPr>
                <w:rFonts w:hint="eastAsia" w:eastAsia="宋体"/>
                <w:b/>
                <w:bCs/>
                <w:color w:val="auto"/>
                <w:sz w:val="21"/>
                <w:szCs w:val="21"/>
              </w:rPr>
              <w:t>符合性分析</w:t>
            </w:r>
          </w:p>
          <w:tbl>
            <w:tblPr>
              <w:tblStyle w:val="38"/>
              <w:tblW w:w="70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050"/>
              <w:gridCol w:w="5002"/>
            </w:tblGrid>
            <w:tr w14:paraId="05D3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0" w:type="dxa"/>
                  <w:gridSpan w:val="2"/>
                  <w:vAlign w:val="center"/>
                </w:tcPr>
                <w:p w14:paraId="170B9867">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b/>
                      <w:bCs w:val="0"/>
                      <w:color w:val="auto"/>
                      <w:kern w:val="0"/>
                      <w:sz w:val="21"/>
                      <w:szCs w:val="21"/>
                      <w:vertAlign w:val="baseline"/>
                      <w:lang w:val="en-US" w:eastAsia="zh-CN"/>
                    </w:rPr>
                  </w:pPr>
                  <w:r>
                    <w:rPr>
                      <w:rFonts w:hint="eastAsia" w:hAnsi="宋体" w:eastAsia="宋体"/>
                      <w:b/>
                      <w:bCs w:val="0"/>
                      <w:color w:val="auto"/>
                      <w:kern w:val="0"/>
                      <w:sz w:val="21"/>
                      <w:szCs w:val="21"/>
                      <w:vertAlign w:val="baseline"/>
                      <w:lang w:val="en-US" w:eastAsia="zh-CN"/>
                    </w:rPr>
                    <w:t>内容</w:t>
                  </w:r>
                </w:p>
              </w:tc>
              <w:tc>
                <w:tcPr>
                  <w:tcW w:w="5002" w:type="dxa"/>
                  <w:vAlign w:val="center"/>
                </w:tcPr>
                <w:p w14:paraId="0EF8F6D2">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Ansi="宋体" w:eastAsia="宋体"/>
                      <w:b/>
                      <w:bCs w:val="0"/>
                      <w:color w:val="auto"/>
                      <w:kern w:val="0"/>
                      <w:sz w:val="21"/>
                      <w:szCs w:val="21"/>
                      <w:vertAlign w:val="baseline"/>
                      <w:lang w:val="en-US" w:eastAsia="zh-CN"/>
                    </w:rPr>
                  </w:pPr>
                  <w:r>
                    <w:rPr>
                      <w:rFonts w:hint="eastAsia" w:hAnsi="宋体" w:eastAsia="宋体"/>
                      <w:b/>
                      <w:bCs w:val="0"/>
                      <w:color w:val="auto"/>
                      <w:kern w:val="0"/>
                      <w:sz w:val="21"/>
                      <w:szCs w:val="21"/>
                      <w:vertAlign w:val="baseline"/>
                      <w:lang w:val="en-US" w:eastAsia="zh-CN"/>
                    </w:rPr>
                    <w:t>符合性分析</w:t>
                  </w:r>
                </w:p>
              </w:tc>
            </w:tr>
            <w:tr w14:paraId="541E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0" w:type="dxa"/>
                  <w:vMerge w:val="restart"/>
                  <w:vAlign w:val="center"/>
                </w:tcPr>
                <w:p w14:paraId="7A6A2475">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bCs/>
                      <w:color w:val="auto"/>
                      <w:kern w:val="0"/>
                      <w:sz w:val="21"/>
                      <w:szCs w:val="21"/>
                      <w:vertAlign w:val="baseline"/>
                    </w:rPr>
                  </w:pPr>
                  <w:r>
                    <w:rPr>
                      <w:rFonts w:hint="eastAsia" w:eastAsia="宋体"/>
                      <w:color w:val="auto"/>
                      <w:sz w:val="21"/>
                      <w:szCs w:val="21"/>
                    </w:rPr>
                    <w:t>建设</w:t>
                  </w:r>
                  <w:r>
                    <w:rPr>
                      <w:rFonts w:hint="eastAsia" w:eastAsia="宋体"/>
                      <w:color w:val="auto"/>
                      <w:sz w:val="21"/>
                      <w:szCs w:val="21"/>
                      <w:lang w:val="en-US" w:eastAsia="zh-CN"/>
                    </w:rPr>
                    <w:t>项目</w:t>
                  </w:r>
                  <w:r>
                    <w:rPr>
                      <w:rFonts w:hint="eastAsia" w:eastAsia="宋体"/>
                      <w:color w:val="auto"/>
                      <w:sz w:val="21"/>
                      <w:szCs w:val="21"/>
                    </w:rPr>
                    <w:t>应当符合生态保护红线、环境质量底线、资源利用上线和生态环境准入清单管控的要求</w:t>
                  </w:r>
                </w:p>
              </w:tc>
              <w:tc>
                <w:tcPr>
                  <w:tcW w:w="1050" w:type="dxa"/>
                  <w:vAlign w:val="center"/>
                </w:tcPr>
                <w:p w14:paraId="14793C73">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生态保护红线</w:t>
                  </w:r>
                </w:p>
              </w:tc>
              <w:tc>
                <w:tcPr>
                  <w:tcW w:w="5002" w:type="dxa"/>
                  <w:vAlign w:val="center"/>
                </w:tcPr>
                <w:p w14:paraId="0EF0CA85">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生态功能保障基线包括禁止开发区生态红线、重要生态功能区生态红线和生态环境敏感区、脆弱区生态红线。纳入的区域，禁止进行工业化和城镇化开发，从而有效保护我国珍稀频危并具代表性的动植物物种及生态系统,维护我国重要生态系统的主导功能。禁止开发区红线范围可包括自然保护区、森林公园、风景名胜区、世界文化自然遗产、地质公园等。自然保护区应全部纳入生态保护红线的管控范围,明确其空间分布界线。其他类型的禁止开发区根据其生态保护的重要性，通过生态系统服务重要性评价结果确定是否纳入生态保护红线的管控范围。</w:t>
                  </w:r>
                </w:p>
                <w:p w14:paraId="13993205">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本项目位于</w:t>
                  </w:r>
                  <w:r>
                    <w:rPr>
                      <w:rFonts w:hint="eastAsia" w:hAnsi="宋体" w:eastAsia="宋体"/>
                      <w:bCs/>
                      <w:color w:val="auto"/>
                      <w:kern w:val="0"/>
                      <w:sz w:val="21"/>
                      <w:szCs w:val="21"/>
                      <w:vertAlign w:val="baseline"/>
                      <w:lang w:val="en-US" w:eastAsia="zh-CN"/>
                    </w:rPr>
                    <w:t>安吉县天荒坪镇白水湾工业园区</w:t>
                  </w:r>
                  <w:r>
                    <w:rPr>
                      <w:rFonts w:hint="eastAsia" w:hAnsi="宋体" w:eastAsia="宋体"/>
                      <w:bCs/>
                      <w:color w:val="auto"/>
                      <w:kern w:val="0"/>
                      <w:sz w:val="21"/>
                      <w:szCs w:val="21"/>
                      <w:vertAlign w:val="baseline"/>
                    </w:rPr>
                    <w:t>，本项目不在生态保护红线范围内，符合生态保护红线要求。</w:t>
                  </w:r>
                </w:p>
              </w:tc>
            </w:tr>
            <w:tr w14:paraId="2E81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0" w:type="dxa"/>
                  <w:vMerge w:val="continue"/>
                  <w:vAlign w:val="center"/>
                </w:tcPr>
                <w:p w14:paraId="490C9F06">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bCs/>
                      <w:color w:val="auto"/>
                      <w:kern w:val="0"/>
                      <w:sz w:val="21"/>
                      <w:szCs w:val="21"/>
                      <w:vertAlign w:val="baseline"/>
                    </w:rPr>
                  </w:pPr>
                </w:p>
              </w:tc>
              <w:tc>
                <w:tcPr>
                  <w:tcW w:w="1050" w:type="dxa"/>
                  <w:vAlign w:val="center"/>
                </w:tcPr>
                <w:p w14:paraId="6BC7019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环境质量底线</w:t>
                  </w:r>
                </w:p>
              </w:tc>
              <w:tc>
                <w:tcPr>
                  <w:tcW w:w="5002" w:type="dxa"/>
                  <w:vAlign w:val="center"/>
                </w:tcPr>
                <w:p w14:paraId="4ED38695">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环境质量底线要求大气环境质量、水环境质量、土壤环境质量等均符合国家标准，确保人民群众的安全健康。</w:t>
                  </w:r>
                </w:p>
                <w:p w14:paraId="0569CB0D">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项目所在区域环境质量底线</w:t>
                  </w:r>
                  <w:r>
                    <w:rPr>
                      <w:rFonts w:hint="eastAsia" w:hAnsi="宋体" w:eastAsia="宋体"/>
                      <w:bCs/>
                      <w:color w:val="auto"/>
                      <w:kern w:val="0"/>
                      <w:sz w:val="21"/>
                      <w:szCs w:val="21"/>
                      <w:vertAlign w:val="baseline"/>
                      <w:lang w:eastAsia="zh-CN"/>
                    </w:rPr>
                    <w:t>：</w:t>
                  </w:r>
                  <w:r>
                    <w:rPr>
                      <w:rFonts w:hint="eastAsia" w:hAnsi="宋体" w:eastAsia="宋体"/>
                      <w:bCs/>
                      <w:color w:val="auto"/>
                      <w:kern w:val="0"/>
                      <w:sz w:val="21"/>
                      <w:szCs w:val="21"/>
                      <w:vertAlign w:val="baseline"/>
                    </w:rPr>
                    <w:t>环境空气质量目标为《环境空气质量标准》(GB3095-2012)二级，地表水环境质量目标为《地表水环境质量标准》(GB3838-2002)Ⅲ类标准，声环境质量目标为《声环境质量标准》(GB3096-2008)3 类。</w:t>
                  </w:r>
                </w:p>
                <w:p w14:paraId="509665D8">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大气空气质量</w:t>
                  </w:r>
                  <w:r>
                    <w:rPr>
                      <w:rFonts w:hint="eastAsia" w:hAnsi="宋体" w:eastAsia="宋体"/>
                      <w:bCs/>
                      <w:color w:val="auto"/>
                      <w:kern w:val="0"/>
                      <w:sz w:val="21"/>
                      <w:szCs w:val="21"/>
                      <w:vertAlign w:val="baseline"/>
                      <w:lang w:eastAsia="zh-CN"/>
                    </w:rPr>
                    <w:t>、</w:t>
                  </w:r>
                  <w:r>
                    <w:rPr>
                      <w:rFonts w:hint="eastAsia" w:hAnsi="宋体" w:eastAsia="宋体"/>
                      <w:bCs/>
                      <w:color w:val="auto"/>
                      <w:kern w:val="0"/>
                      <w:sz w:val="21"/>
                      <w:szCs w:val="21"/>
                      <w:vertAlign w:val="baseline"/>
                    </w:rPr>
                    <w:t>地表水、声环境质量现状均可以达标。</w:t>
                  </w:r>
                </w:p>
                <w:p w14:paraId="3752E3D7">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本项目各类污染物产生量较小,在切实落实本环评报告提出的污染防治措施的前提下，均可实现达标排放，对周围环境影响不大。</w:t>
                  </w:r>
                </w:p>
                <w:p w14:paraId="73A0D23D">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因此认为本项目符合环境质量底线要求。</w:t>
                  </w:r>
                </w:p>
              </w:tc>
            </w:tr>
            <w:tr w14:paraId="0D0B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0" w:type="dxa"/>
                  <w:vMerge w:val="continue"/>
                  <w:vAlign w:val="center"/>
                </w:tcPr>
                <w:p w14:paraId="63E2939B">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bCs/>
                      <w:color w:val="auto"/>
                      <w:kern w:val="0"/>
                      <w:sz w:val="21"/>
                      <w:szCs w:val="21"/>
                      <w:vertAlign w:val="baseline"/>
                    </w:rPr>
                  </w:pPr>
                </w:p>
              </w:tc>
              <w:tc>
                <w:tcPr>
                  <w:tcW w:w="1050" w:type="dxa"/>
                  <w:vAlign w:val="center"/>
                </w:tcPr>
                <w:p w14:paraId="512D7520">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Ansi="宋体" w:eastAsia="宋体"/>
                      <w:bCs/>
                      <w:color w:val="auto"/>
                      <w:kern w:val="0"/>
                      <w:sz w:val="21"/>
                      <w:szCs w:val="21"/>
                      <w:vertAlign w:val="baseline"/>
                      <w:lang w:val="en-US" w:eastAsia="zh-CN"/>
                    </w:rPr>
                  </w:pPr>
                  <w:r>
                    <w:rPr>
                      <w:rFonts w:hint="eastAsia" w:hAnsi="宋体" w:eastAsia="宋体"/>
                      <w:bCs/>
                      <w:color w:val="auto"/>
                      <w:kern w:val="0"/>
                      <w:sz w:val="21"/>
                      <w:szCs w:val="21"/>
                      <w:vertAlign w:val="baseline"/>
                      <w:lang w:val="en-US" w:eastAsia="zh-CN"/>
                    </w:rPr>
                    <w:t>资源利用上线</w:t>
                  </w:r>
                </w:p>
              </w:tc>
              <w:tc>
                <w:tcPr>
                  <w:tcW w:w="5002" w:type="dxa"/>
                  <w:vAlign w:val="center"/>
                </w:tcPr>
                <w:p w14:paraId="6E93E4B6">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资源利用上线是促进资源能源节约，保障能源、水、土地等资源高效利用，不应突破的最高限值。</w:t>
                  </w:r>
                </w:p>
                <w:p w14:paraId="1019F7F9">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本项目营运过程中用水来自区内供水管网</w:t>
                  </w:r>
                  <w:r>
                    <w:rPr>
                      <w:rFonts w:hint="eastAsia" w:hAnsi="宋体" w:eastAsia="宋体"/>
                      <w:bCs/>
                      <w:color w:val="auto"/>
                      <w:kern w:val="0"/>
                      <w:sz w:val="21"/>
                      <w:szCs w:val="21"/>
                      <w:vertAlign w:val="baseline"/>
                      <w:lang w:eastAsia="zh-CN"/>
                    </w:rPr>
                    <w:t>；</w:t>
                  </w:r>
                  <w:r>
                    <w:rPr>
                      <w:rFonts w:hint="eastAsia" w:hAnsi="宋体" w:eastAsia="宋体"/>
                      <w:bCs/>
                      <w:color w:val="auto"/>
                      <w:kern w:val="0"/>
                      <w:sz w:val="21"/>
                      <w:szCs w:val="21"/>
                      <w:vertAlign w:val="baseline"/>
                    </w:rPr>
                    <w:t>用电来自区内电网。本项目建成运行后通过内部管理、设备选择、原辅材料的选用和管理、废物回收利用、污染治理等多方面采取合理可行的防治措施，达到“节能、降耗、减污”的目标。项目采用先进的工艺技术和装备。</w:t>
                  </w:r>
                </w:p>
                <w:p w14:paraId="039F0F2D">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本项目资源利用不会突破区域的资源利用上线。</w:t>
                  </w:r>
                </w:p>
              </w:tc>
            </w:tr>
            <w:tr w14:paraId="35C2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0" w:type="dxa"/>
                  <w:vMerge w:val="continue"/>
                  <w:vAlign w:val="center"/>
                </w:tcPr>
                <w:p w14:paraId="67B9FC89">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bCs/>
                      <w:color w:val="auto"/>
                      <w:kern w:val="0"/>
                      <w:sz w:val="21"/>
                      <w:szCs w:val="21"/>
                      <w:vertAlign w:val="baseline"/>
                    </w:rPr>
                  </w:pPr>
                </w:p>
              </w:tc>
              <w:tc>
                <w:tcPr>
                  <w:tcW w:w="1050" w:type="dxa"/>
                  <w:vAlign w:val="center"/>
                </w:tcPr>
                <w:p w14:paraId="484008B3">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生态环境准入清单管控</w:t>
                  </w:r>
                </w:p>
              </w:tc>
              <w:tc>
                <w:tcPr>
                  <w:tcW w:w="5002" w:type="dxa"/>
                  <w:vAlign w:val="center"/>
                </w:tcPr>
                <w:p w14:paraId="1DBFFF69">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本项目位于湖州市安吉县中心城区产业集聚重点管控单元（ZH33052320005）。本项目属于二类工业项目，本项目仅外排生活污水，经化粪池预处理后纳管至</w:t>
                  </w:r>
                  <w:r>
                    <w:rPr>
                      <w:rFonts w:hint="eastAsia" w:hAnsi="宋体" w:eastAsia="宋体"/>
                      <w:bCs/>
                      <w:color w:val="auto"/>
                      <w:kern w:val="0"/>
                      <w:sz w:val="21"/>
                      <w:szCs w:val="21"/>
                      <w:vertAlign w:val="baseline"/>
                      <w:lang w:val="en-US" w:eastAsia="zh-CN"/>
                    </w:rPr>
                    <w:t>城北污水处理厂</w:t>
                  </w:r>
                  <w:r>
                    <w:rPr>
                      <w:rFonts w:hint="eastAsia" w:hAnsi="宋体" w:eastAsia="宋体"/>
                      <w:bCs/>
                      <w:color w:val="auto"/>
                      <w:kern w:val="0"/>
                      <w:sz w:val="21"/>
                      <w:szCs w:val="21"/>
                      <w:vertAlign w:val="baseline"/>
                    </w:rPr>
                    <w:t>处理</w:t>
                  </w:r>
                  <w:r>
                    <w:rPr>
                      <w:rFonts w:hint="eastAsia" w:hAnsi="宋体" w:eastAsia="宋体"/>
                      <w:bCs/>
                      <w:color w:val="auto"/>
                      <w:kern w:val="0"/>
                      <w:sz w:val="21"/>
                      <w:szCs w:val="21"/>
                      <w:vertAlign w:val="baseline"/>
                      <w:lang w:eastAsia="zh-CN"/>
                    </w:rPr>
                    <w:t>，</w:t>
                  </w:r>
                  <w:r>
                    <w:rPr>
                      <w:rFonts w:hint="eastAsia" w:hAnsi="宋体" w:eastAsia="宋体"/>
                      <w:bCs/>
                      <w:color w:val="auto"/>
                      <w:kern w:val="0"/>
                      <w:sz w:val="21"/>
                      <w:szCs w:val="21"/>
                      <w:vertAlign w:val="baseline"/>
                    </w:rPr>
                    <w:t>废气经采取相关措施后可实现达标排放，固废加强管理,按要求做到零排放。</w:t>
                  </w:r>
                </w:p>
                <w:p w14:paraId="503671B0">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本项目符合</w:t>
                  </w:r>
                  <w:r>
                    <w:rPr>
                      <w:rFonts w:hint="eastAsia" w:hAnsi="宋体" w:eastAsia="宋体"/>
                      <w:bCs/>
                      <w:color w:val="auto"/>
                      <w:kern w:val="0"/>
                      <w:sz w:val="21"/>
                      <w:szCs w:val="21"/>
                      <w:vertAlign w:val="baseline"/>
                      <w:lang w:val="en-US" w:eastAsia="zh-CN"/>
                    </w:rPr>
                    <w:t>《安吉县生态环境分区管控动态更新方案》</w:t>
                  </w:r>
                  <w:r>
                    <w:rPr>
                      <w:rFonts w:hint="eastAsia" w:hAnsi="宋体" w:eastAsia="宋体"/>
                      <w:bCs/>
                      <w:color w:val="auto"/>
                      <w:kern w:val="0"/>
                      <w:sz w:val="21"/>
                      <w:szCs w:val="21"/>
                      <w:vertAlign w:val="baseline"/>
                    </w:rPr>
                    <w:t>相关要求。</w:t>
                  </w:r>
                </w:p>
              </w:tc>
            </w:tr>
            <w:tr w14:paraId="7754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0" w:type="dxa"/>
                  <w:gridSpan w:val="2"/>
                  <w:vAlign w:val="center"/>
                </w:tcPr>
                <w:p w14:paraId="6E3FF2EA">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排放污染物应当符合国家、省规定的污染物排放标准和重点污染物排放总量控制要求</w:t>
                  </w:r>
                </w:p>
              </w:tc>
              <w:tc>
                <w:tcPr>
                  <w:tcW w:w="5002" w:type="dxa"/>
                  <w:vAlign w:val="center"/>
                </w:tcPr>
                <w:p w14:paraId="40D352CF">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本项目营运期外排废水仅生活污水，根据环境影响分析，预计项目实施后废水、废气、噪声处理后可实现达标排放。</w:t>
                  </w:r>
                  <w:r>
                    <w:rPr>
                      <w:rFonts w:hint="eastAsia" w:hAnsi="宋体" w:eastAsia="宋体"/>
                      <w:bCs/>
                      <w:color w:val="auto"/>
                      <w:kern w:val="0"/>
                      <w:sz w:val="21"/>
                      <w:szCs w:val="21"/>
                      <w:vertAlign w:val="baseline"/>
                      <w:lang w:val="en-US" w:eastAsia="zh-CN"/>
                    </w:rPr>
                    <w:t>一</w:t>
                  </w:r>
                  <w:r>
                    <w:rPr>
                      <w:rFonts w:hint="eastAsia" w:hAnsi="宋体" w:eastAsia="宋体"/>
                      <w:bCs/>
                      <w:color w:val="auto"/>
                      <w:kern w:val="0"/>
                      <w:sz w:val="21"/>
                      <w:szCs w:val="21"/>
                      <w:vertAlign w:val="baseline"/>
                    </w:rPr>
                    <w:t>般固废委托清运或出售，危险固废委托资质单位处置，实现零排放。</w:t>
                  </w:r>
                </w:p>
                <w:p w14:paraId="0DAA6D14">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lang w:eastAsia="zh-CN"/>
                    </w:rPr>
                  </w:pPr>
                  <w:r>
                    <w:rPr>
                      <w:rFonts w:hint="eastAsia" w:hAnsi="宋体" w:eastAsia="宋体"/>
                      <w:bCs/>
                      <w:color w:val="auto"/>
                      <w:kern w:val="0"/>
                      <w:sz w:val="21"/>
                      <w:szCs w:val="21"/>
                      <w:vertAlign w:val="baseline"/>
                    </w:rPr>
                    <w:t>本项目实施后</w:t>
                  </w:r>
                  <w:r>
                    <w:rPr>
                      <w:rFonts w:hint="eastAsia" w:hAnsi="宋体" w:eastAsia="宋体"/>
                      <w:bCs/>
                      <w:color w:val="auto"/>
                      <w:kern w:val="0"/>
                      <w:sz w:val="21"/>
                      <w:szCs w:val="21"/>
                      <w:vertAlign w:val="baseline"/>
                      <w:lang w:eastAsia="zh-CN"/>
                    </w:rPr>
                    <w:t>不</w:t>
                  </w:r>
                  <w:r>
                    <w:rPr>
                      <w:rFonts w:hint="eastAsia" w:hAnsi="宋体" w:eastAsia="宋体"/>
                      <w:bCs/>
                      <w:color w:val="auto"/>
                      <w:kern w:val="0"/>
                      <w:sz w:val="21"/>
                      <w:szCs w:val="21"/>
                      <w:vertAlign w:val="baseline"/>
                    </w:rPr>
                    <w:t>新增 VOC</w:t>
                  </w:r>
                  <w:r>
                    <w:rPr>
                      <w:rFonts w:hint="eastAsia" w:hAnsi="宋体" w:eastAsia="宋体"/>
                      <w:bCs/>
                      <w:color w:val="auto"/>
                      <w:kern w:val="0"/>
                      <w:sz w:val="21"/>
                      <w:szCs w:val="21"/>
                      <w:vertAlign w:val="subscript"/>
                      <w:lang w:val="en-US" w:eastAsia="zh-CN"/>
                    </w:rPr>
                    <w:t>S</w:t>
                  </w:r>
                  <w:r>
                    <w:rPr>
                      <w:rFonts w:hint="eastAsia" w:hAnsi="宋体" w:eastAsia="宋体"/>
                      <w:bCs/>
                      <w:color w:val="auto"/>
                      <w:kern w:val="0"/>
                      <w:sz w:val="21"/>
                      <w:szCs w:val="21"/>
                      <w:vertAlign w:val="baseline"/>
                    </w:rPr>
                    <w:t>的排放量</w:t>
                  </w:r>
                  <w:r>
                    <w:rPr>
                      <w:rFonts w:hint="eastAsia" w:hAnsi="宋体" w:eastAsia="宋体"/>
                      <w:bCs/>
                      <w:color w:val="auto"/>
                      <w:kern w:val="0"/>
                      <w:sz w:val="21"/>
                      <w:szCs w:val="21"/>
                      <w:vertAlign w:val="baseline"/>
                      <w:lang w:eastAsia="zh-CN"/>
                    </w:rPr>
                    <w:t>，</w:t>
                  </w:r>
                  <w:r>
                    <w:rPr>
                      <w:rFonts w:hint="eastAsia" w:hAnsi="宋体" w:eastAsia="宋体"/>
                      <w:bCs/>
                      <w:color w:val="auto"/>
                      <w:kern w:val="0"/>
                      <w:sz w:val="21"/>
                      <w:szCs w:val="21"/>
                      <w:vertAlign w:val="baseline"/>
                    </w:rPr>
                    <w:t>本项目污染物排放量全部由原有项目削减替代</w:t>
                  </w:r>
                  <w:r>
                    <w:rPr>
                      <w:rFonts w:hint="eastAsia" w:hAnsi="宋体" w:eastAsia="宋体"/>
                      <w:bCs/>
                      <w:color w:val="auto"/>
                      <w:kern w:val="0"/>
                      <w:sz w:val="21"/>
                      <w:szCs w:val="21"/>
                      <w:vertAlign w:val="baseline"/>
                      <w:lang w:eastAsia="zh-CN"/>
                    </w:rPr>
                    <w:t>。</w:t>
                  </w:r>
                </w:p>
              </w:tc>
            </w:tr>
            <w:tr w14:paraId="1B1F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0" w:type="dxa"/>
                  <w:gridSpan w:val="2"/>
                  <w:vAlign w:val="center"/>
                </w:tcPr>
                <w:p w14:paraId="00018CC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建设项目还应当符合国土空间规划、国家和省产业政策等要求</w:t>
                  </w:r>
                </w:p>
              </w:tc>
              <w:tc>
                <w:tcPr>
                  <w:tcW w:w="5002" w:type="dxa"/>
                  <w:vAlign w:val="center"/>
                </w:tcPr>
                <w:p w14:paraId="2D0E0C8F">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本项目位于</w:t>
                  </w:r>
                  <w:r>
                    <w:rPr>
                      <w:rFonts w:hint="eastAsia" w:hAnsi="宋体" w:eastAsia="宋体"/>
                      <w:bCs/>
                      <w:color w:val="auto"/>
                      <w:kern w:val="0"/>
                      <w:sz w:val="21"/>
                      <w:szCs w:val="21"/>
                      <w:vertAlign w:val="baseline"/>
                      <w:lang w:val="en-US" w:eastAsia="zh-CN"/>
                    </w:rPr>
                    <w:t>安吉县天荒坪镇白水湾工业园区</w:t>
                  </w:r>
                  <w:r>
                    <w:rPr>
                      <w:rFonts w:hint="eastAsia" w:hAnsi="宋体" w:eastAsia="宋体"/>
                      <w:bCs/>
                      <w:color w:val="auto"/>
                      <w:kern w:val="0"/>
                      <w:sz w:val="21"/>
                      <w:szCs w:val="21"/>
                      <w:vertAlign w:val="baseline"/>
                    </w:rPr>
                    <w:t>，项目所在地为工业用地，用地规划符合国家用地规划要求。</w:t>
                  </w:r>
                </w:p>
                <w:p w14:paraId="683613AC">
                  <w:pPr>
                    <w:pStyle w:val="3"/>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宋体" w:eastAsia="宋体"/>
                      <w:bCs/>
                      <w:color w:val="auto"/>
                      <w:kern w:val="0"/>
                      <w:sz w:val="21"/>
                      <w:szCs w:val="21"/>
                      <w:vertAlign w:val="baseline"/>
                    </w:rPr>
                  </w:pPr>
                  <w:r>
                    <w:rPr>
                      <w:rFonts w:hint="eastAsia" w:hAnsi="宋体" w:eastAsia="宋体"/>
                      <w:bCs/>
                      <w:color w:val="auto"/>
                      <w:kern w:val="0"/>
                      <w:sz w:val="21"/>
                      <w:szCs w:val="21"/>
                      <w:vertAlign w:val="baseline"/>
                    </w:rPr>
                    <w:t>本项目不属于《市场准入负面清单》(2022 年版)中的禁止、限制类产业，不属于《产业结构调整指导目录(2024年本)》(2023年12月1日第6次委务会议审议通过)中的鼓励类、限制和淘汰类产业，属于允许发展的产业。</w:t>
                  </w:r>
                </w:p>
              </w:tc>
            </w:tr>
          </w:tbl>
          <w:p w14:paraId="020C6E24">
            <w:pPr>
              <w:pStyle w:val="2"/>
              <w:spacing w:line="440" w:lineRule="exact"/>
              <w:ind w:firstLine="0" w:firstLineChars="0"/>
              <w:rPr>
                <w:rFonts w:hint="eastAsia" w:ascii="Times New Roman" w:hAnsi="宋体" w:eastAsia="宋体" w:cs="Times New Roman"/>
                <w:bCs/>
                <w:color w:val="auto"/>
                <w:kern w:val="0"/>
                <w:sz w:val="24"/>
                <w:szCs w:val="24"/>
                <w:lang w:val="en-US" w:eastAsia="zh-CN" w:bidi="ar-SA"/>
              </w:rPr>
            </w:pPr>
            <w:r>
              <w:rPr>
                <w:rFonts w:hint="eastAsia" w:ascii="Times New Roman" w:hAnsi="宋体" w:eastAsia="宋体" w:cs="Times New Roman"/>
                <w:bCs/>
                <w:color w:val="auto"/>
                <w:kern w:val="0"/>
                <w:sz w:val="24"/>
                <w:szCs w:val="24"/>
                <w:lang w:val="en-US" w:eastAsia="zh-CN" w:bidi="ar-SA"/>
              </w:rPr>
              <w:t>由表1-13可知，项目建设符合《浙江省建设项目环境保护管理办法》</w:t>
            </w:r>
            <w:r>
              <w:rPr>
                <w:rFonts w:hint="eastAsia" w:hAnsi="宋体" w:cs="Times New Roman"/>
                <w:bCs/>
                <w:color w:val="auto"/>
                <w:kern w:val="0"/>
                <w:sz w:val="24"/>
                <w:szCs w:val="24"/>
                <w:lang w:val="en-US" w:eastAsia="zh-CN" w:bidi="ar-SA"/>
              </w:rPr>
              <w:t>（2021年修正）</w:t>
            </w:r>
            <w:r>
              <w:rPr>
                <w:rFonts w:hint="eastAsia" w:ascii="Times New Roman" w:hAnsi="宋体" w:eastAsia="宋体" w:cs="Times New Roman"/>
                <w:bCs/>
                <w:color w:val="auto"/>
                <w:kern w:val="0"/>
                <w:sz w:val="24"/>
                <w:szCs w:val="24"/>
                <w:lang w:val="en-US" w:eastAsia="zh-CN" w:bidi="ar-SA"/>
              </w:rPr>
              <w:t>。</w:t>
            </w:r>
          </w:p>
          <w:p w14:paraId="7BA24EEE">
            <w:pPr>
              <w:pStyle w:val="2"/>
              <w:spacing w:line="440" w:lineRule="exact"/>
              <w:ind w:firstLine="0" w:firstLineChars="0"/>
              <w:rPr>
                <w:rFonts w:hAnsi="宋体"/>
                <w:b/>
                <w:color w:val="auto"/>
                <w:sz w:val="24"/>
              </w:rPr>
            </w:pPr>
            <w:r>
              <w:rPr>
                <w:rFonts w:hint="eastAsia" w:hAnsi="宋体"/>
                <w:b/>
                <w:color w:val="auto"/>
                <w:sz w:val="24"/>
              </w:rPr>
              <w:t>1.3.13</w:t>
            </w:r>
            <w:r>
              <w:rPr>
                <w:rFonts w:hint="eastAsia"/>
                <w:b/>
                <w:bCs/>
                <w:color w:val="auto"/>
                <w:sz w:val="24"/>
              </w:rPr>
              <w:t>企业亩均排放强度</w:t>
            </w:r>
          </w:p>
          <w:p w14:paraId="0EE1FA43">
            <w:pPr>
              <w:spacing w:line="440" w:lineRule="exact"/>
              <w:ind w:firstLine="480" w:firstLineChars="200"/>
              <w:rPr>
                <w:rFonts w:hAnsi="宋体"/>
                <w:color w:val="auto"/>
                <w:sz w:val="24"/>
              </w:rPr>
            </w:pPr>
            <w:r>
              <w:rPr>
                <w:rFonts w:hint="eastAsia" w:hAnsi="宋体"/>
                <w:color w:val="auto"/>
                <w:sz w:val="24"/>
              </w:rPr>
              <w:t>项目厂区占地面积约为</w:t>
            </w:r>
            <w:r>
              <w:rPr>
                <w:rFonts w:hint="eastAsia" w:hAnsi="宋体"/>
                <w:color w:val="auto"/>
                <w:sz w:val="24"/>
                <w:lang w:val="en-US" w:eastAsia="zh-CN"/>
              </w:rPr>
              <w:t>3.7</w:t>
            </w:r>
            <w:r>
              <w:rPr>
                <w:rFonts w:hint="eastAsia" w:hAnsi="宋体"/>
                <w:color w:val="auto"/>
                <w:sz w:val="24"/>
              </w:rPr>
              <w:t>亩（净建设用地），根据工程分析可知，本项目COD</w:t>
            </w:r>
            <w:r>
              <w:rPr>
                <w:rFonts w:hint="eastAsia" w:hAnsi="宋体"/>
                <w:color w:val="auto"/>
                <w:sz w:val="24"/>
                <w:vertAlign w:val="subscript"/>
              </w:rPr>
              <w:t>Cr</w:t>
            </w:r>
            <w:r>
              <w:rPr>
                <w:rFonts w:hint="eastAsia" w:hAnsi="宋体"/>
                <w:color w:val="auto"/>
                <w:sz w:val="24"/>
              </w:rPr>
              <w:t>：0.</w:t>
            </w:r>
            <w:r>
              <w:rPr>
                <w:rFonts w:hint="eastAsia" w:hAnsi="宋体"/>
                <w:color w:val="auto"/>
                <w:sz w:val="24"/>
                <w:lang w:val="en-US" w:eastAsia="zh-CN"/>
              </w:rPr>
              <w:t>0096</w:t>
            </w:r>
            <w:r>
              <w:rPr>
                <w:rFonts w:hint="eastAsia" w:hAnsi="宋体"/>
                <w:color w:val="auto"/>
                <w:sz w:val="24"/>
              </w:rPr>
              <w:t>t/a，NH</w:t>
            </w:r>
            <w:r>
              <w:rPr>
                <w:rFonts w:hint="eastAsia" w:hAnsi="宋体"/>
                <w:color w:val="auto"/>
                <w:sz w:val="24"/>
                <w:vertAlign w:val="subscript"/>
              </w:rPr>
              <w:t>3</w:t>
            </w:r>
            <w:r>
              <w:rPr>
                <w:rFonts w:hint="eastAsia" w:hAnsi="宋体"/>
                <w:color w:val="auto"/>
                <w:sz w:val="24"/>
              </w:rPr>
              <w:t>-N：0.00</w:t>
            </w:r>
            <w:r>
              <w:rPr>
                <w:rFonts w:hint="eastAsia" w:hAnsi="宋体"/>
                <w:color w:val="auto"/>
                <w:sz w:val="24"/>
                <w:lang w:val="en-US" w:eastAsia="zh-CN"/>
              </w:rPr>
              <w:t>05</w:t>
            </w:r>
            <w:r>
              <w:rPr>
                <w:rFonts w:hint="eastAsia" w:hAnsi="宋体"/>
                <w:color w:val="auto"/>
                <w:sz w:val="24"/>
              </w:rPr>
              <w:t>t/a，VOCs：0.05</w:t>
            </w:r>
            <w:r>
              <w:rPr>
                <w:rFonts w:hint="eastAsia" w:hAnsi="宋体"/>
                <w:color w:val="auto"/>
                <w:sz w:val="24"/>
                <w:lang w:val="en-US" w:eastAsia="zh-CN"/>
              </w:rPr>
              <w:t>5</w:t>
            </w:r>
            <w:r>
              <w:rPr>
                <w:rFonts w:hint="eastAsia" w:hAnsi="宋体"/>
                <w:color w:val="auto"/>
                <w:sz w:val="24"/>
              </w:rPr>
              <w:t>t/a，工业烟粉尘：</w:t>
            </w:r>
            <w:r>
              <w:rPr>
                <w:rFonts w:hint="eastAsia" w:hAnsi="宋体"/>
                <w:color w:val="auto"/>
                <w:sz w:val="24"/>
                <w:lang w:val="en-US" w:eastAsia="zh-CN"/>
              </w:rPr>
              <w:t>0.127</w:t>
            </w:r>
            <w:r>
              <w:rPr>
                <w:rFonts w:hint="eastAsia" w:hAnsi="宋体"/>
                <w:color w:val="auto"/>
                <w:sz w:val="24"/>
              </w:rPr>
              <w:t>t/a。各污染物亩均排放强度如下，COD</w:t>
            </w:r>
            <w:r>
              <w:rPr>
                <w:rFonts w:hint="eastAsia" w:hAnsi="宋体"/>
                <w:color w:val="auto"/>
                <w:sz w:val="24"/>
                <w:vertAlign w:val="subscript"/>
              </w:rPr>
              <w:t>Cr</w:t>
            </w:r>
            <w:r>
              <w:rPr>
                <w:rFonts w:hint="eastAsia" w:hAnsi="宋体"/>
                <w:color w:val="auto"/>
                <w:sz w:val="24"/>
              </w:rPr>
              <w:t>亩均排放强度：0.00</w:t>
            </w:r>
            <w:r>
              <w:rPr>
                <w:rFonts w:hint="eastAsia" w:hAnsi="宋体"/>
                <w:color w:val="auto"/>
                <w:sz w:val="24"/>
                <w:lang w:val="en-US" w:eastAsia="zh-CN"/>
              </w:rPr>
              <w:t>26</w:t>
            </w:r>
            <w:r>
              <w:rPr>
                <w:rFonts w:hint="eastAsia" w:hAnsi="宋体"/>
                <w:color w:val="auto"/>
                <w:sz w:val="24"/>
              </w:rPr>
              <w:t>吨/亩，NH</w:t>
            </w:r>
            <w:r>
              <w:rPr>
                <w:rFonts w:hint="eastAsia" w:hAnsi="宋体"/>
                <w:color w:val="auto"/>
                <w:sz w:val="24"/>
                <w:vertAlign w:val="subscript"/>
              </w:rPr>
              <w:t>3</w:t>
            </w:r>
            <w:r>
              <w:rPr>
                <w:rFonts w:hint="eastAsia" w:hAnsi="宋体"/>
                <w:color w:val="auto"/>
                <w:sz w:val="24"/>
              </w:rPr>
              <w:t>-N亩均排放强度：0.000</w:t>
            </w:r>
            <w:r>
              <w:rPr>
                <w:rFonts w:hint="eastAsia" w:hAnsi="宋体"/>
                <w:color w:val="auto"/>
                <w:sz w:val="24"/>
                <w:lang w:val="en-US" w:eastAsia="zh-CN"/>
              </w:rPr>
              <w:t>1</w:t>
            </w:r>
            <w:r>
              <w:rPr>
                <w:rFonts w:hint="eastAsia" w:hAnsi="宋体"/>
                <w:color w:val="auto"/>
                <w:sz w:val="24"/>
              </w:rPr>
              <w:t>吨/亩，VOC</w:t>
            </w:r>
            <w:r>
              <w:rPr>
                <w:rFonts w:hint="eastAsia" w:hAnsi="宋体"/>
                <w:color w:val="auto"/>
                <w:sz w:val="24"/>
                <w:vertAlign w:val="subscript"/>
              </w:rPr>
              <w:t>S</w:t>
            </w:r>
            <w:r>
              <w:rPr>
                <w:rFonts w:hint="eastAsia" w:hAnsi="宋体"/>
                <w:color w:val="auto"/>
                <w:sz w:val="24"/>
              </w:rPr>
              <w:t>亩均排放强度：0.0</w:t>
            </w:r>
            <w:r>
              <w:rPr>
                <w:rFonts w:hint="eastAsia" w:hAnsi="宋体"/>
                <w:color w:val="auto"/>
                <w:sz w:val="24"/>
                <w:lang w:val="en-US" w:eastAsia="zh-CN"/>
              </w:rPr>
              <w:t>149</w:t>
            </w:r>
            <w:r>
              <w:rPr>
                <w:rFonts w:hint="eastAsia" w:hAnsi="宋体"/>
                <w:color w:val="auto"/>
                <w:sz w:val="24"/>
              </w:rPr>
              <w:t>吨/亩，工业烟粉尘亩均排放强度：</w:t>
            </w:r>
            <w:r>
              <w:rPr>
                <w:rFonts w:hint="eastAsia" w:hAnsi="宋体"/>
                <w:color w:val="auto"/>
                <w:sz w:val="24"/>
                <w:lang w:val="en-US" w:eastAsia="zh-CN"/>
              </w:rPr>
              <w:t>0.0343</w:t>
            </w:r>
            <w:r>
              <w:rPr>
                <w:rFonts w:hint="eastAsia" w:hAnsi="宋体"/>
                <w:color w:val="auto"/>
                <w:sz w:val="24"/>
              </w:rPr>
              <w:t>吨/亩项目主要污染物亩均排放强度之和为：</w:t>
            </w:r>
            <w:r>
              <w:rPr>
                <w:rFonts w:hint="eastAsia" w:hAnsi="宋体"/>
                <w:color w:val="auto"/>
                <w:sz w:val="24"/>
                <w:lang w:val="en-US" w:eastAsia="zh-CN"/>
              </w:rPr>
              <w:t>0.0519</w:t>
            </w:r>
            <w:r>
              <w:rPr>
                <w:rFonts w:hint="eastAsia" w:hAnsi="宋体"/>
                <w:color w:val="auto"/>
                <w:sz w:val="24"/>
              </w:rPr>
              <w:t>吨/亩。</w:t>
            </w:r>
          </w:p>
          <w:p w14:paraId="7C2E3879">
            <w:pPr>
              <w:pStyle w:val="2"/>
              <w:spacing w:line="440" w:lineRule="exact"/>
              <w:ind w:firstLine="0" w:firstLineChars="0"/>
              <w:rPr>
                <w:rFonts w:hAnsi="宋体"/>
                <w:b/>
                <w:color w:val="auto"/>
                <w:sz w:val="24"/>
              </w:rPr>
            </w:pPr>
            <w:r>
              <w:rPr>
                <w:rFonts w:hint="eastAsia" w:hAnsi="宋体"/>
                <w:b/>
                <w:color w:val="auto"/>
                <w:sz w:val="24"/>
              </w:rPr>
              <w:t>1.3.14与</w:t>
            </w:r>
            <w:r>
              <w:rPr>
                <w:rFonts w:hAnsi="宋体"/>
                <w:b/>
                <w:color w:val="auto"/>
                <w:sz w:val="24"/>
              </w:rPr>
              <w:t>《湖州市国、省控地表水监测断面管理办法》符合性分析</w:t>
            </w:r>
          </w:p>
          <w:p w14:paraId="07969770">
            <w:pPr>
              <w:spacing w:line="440" w:lineRule="exact"/>
              <w:rPr>
                <w:b/>
                <w:color w:val="auto"/>
                <w:sz w:val="24"/>
              </w:rPr>
            </w:pPr>
            <w:r>
              <w:rPr>
                <w:rFonts w:hint="eastAsia" w:hAnsi="宋体"/>
                <w:b/>
                <w:color w:val="auto"/>
                <w:sz w:val="24"/>
              </w:rPr>
              <w:t xml:space="preserve">    </w:t>
            </w:r>
            <w:r>
              <w:rPr>
                <w:color w:val="auto"/>
                <w:sz w:val="24"/>
                <w:szCs w:val="22"/>
              </w:rPr>
              <w:t>本项目3km范围内</w:t>
            </w:r>
            <w:r>
              <w:rPr>
                <w:rFonts w:hint="eastAsia"/>
                <w:color w:val="auto"/>
                <w:sz w:val="24"/>
                <w:szCs w:val="22"/>
              </w:rPr>
              <w:t>无国、省控地表水监测断面</w:t>
            </w:r>
            <w:r>
              <w:rPr>
                <w:color w:val="auto"/>
                <w:sz w:val="24"/>
                <w:szCs w:val="22"/>
              </w:rPr>
              <w:t>。由于本项目无生产废水排放，仅排放生活污水，生活污水经化粪池预处理后通过污水管网纳入安吉净源污水处理有限公司城北污水处理厂，对监测结果不会产生影响。</w:t>
            </w:r>
          </w:p>
          <w:p w14:paraId="23DDD7DD">
            <w:pPr>
              <w:spacing w:line="440" w:lineRule="exact"/>
              <w:rPr>
                <w:b/>
                <w:color w:val="auto"/>
                <w:sz w:val="24"/>
              </w:rPr>
            </w:pPr>
            <w:r>
              <w:rPr>
                <w:rFonts w:hint="eastAsia"/>
                <w:b/>
                <w:color w:val="auto"/>
                <w:sz w:val="24"/>
              </w:rPr>
              <w:t>1</w:t>
            </w:r>
            <w:r>
              <w:rPr>
                <w:b/>
                <w:color w:val="auto"/>
                <w:sz w:val="24"/>
              </w:rPr>
              <w:t>.</w:t>
            </w:r>
            <w:r>
              <w:rPr>
                <w:rFonts w:hint="eastAsia"/>
                <w:b/>
                <w:color w:val="auto"/>
                <w:sz w:val="24"/>
              </w:rPr>
              <w:t>4</w:t>
            </w:r>
            <w:r>
              <w:rPr>
                <w:rFonts w:hAnsi="宋体"/>
                <w:b/>
                <w:color w:val="auto"/>
                <w:sz w:val="24"/>
              </w:rPr>
              <w:t>建设项目其他部门审批要求符合性分析</w:t>
            </w:r>
          </w:p>
          <w:p w14:paraId="2BE312BA">
            <w:pPr>
              <w:spacing w:line="440" w:lineRule="exact"/>
              <w:rPr>
                <w:color w:val="auto"/>
                <w:sz w:val="24"/>
              </w:rPr>
            </w:pPr>
            <w:r>
              <w:rPr>
                <w:rFonts w:hint="eastAsia"/>
                <w:b/>
                <w:color w:val="auto"/>
                <w:sz w:val="24"/>
              </w:rPr>
              <w:t>1</w:t>
            </w:r>
            <w:r>
              <w:rPr>
                <w:b/>
                <w:color w:val="auto"/>
                <w:sz w:val="24"/>
              </w:rPr>
              <w:t>.</w:t>
            </w:r>
            <w:r>
              <w:rPr>
                <w:rFonts w:hint="eastAsia"/>
                <w:b/>
                <w:color w:val="auto"/>
                <w:sz w:val="24"/>
              </w:rPr>
              <w:t>4</w:t>
            </w:r>
            <w:r>
              <w:rPr>
                <w:b/>
                <w:color w:val="auto"/>
                <w:sz w:val="24"/>
              </w:rPr>
              <w:t>.1</w:t>
            </w:r>
            <w:r>
              <w:rPr>
                <w:rFonts w:hAnsi="宋体"/>
                <w:b/>
                <w:color w:val="auto"/>
                <w:sz w:val="24"/>
              </w:rPr>
              <w:t>建设项目符合国家和省产业政策等的要求</w:t>
            </w:r>
          </w:p>
          <w:p w14:paraId="17DFE5C2">
            <w:pPr>
              <w:spacing w:line="440" w:lineRule="exact"/>
              <w:ind w:firstLine="480" w:firstLineChars="200"/>
              <w:rPr>
                <w:color w:val="auto"/>
                <w:sz w:val="24"/>
              </w:rPr>
            </w:pPr>
            <w:r>
              <w:rPr>
                <w:rFonts w:hAnsi="宋体"/>
                <w:color w:val="auto"/>
                <w:sz w:val="24"/>
              </w:rPr>
              <w:t>本项目属于</w:t>
            </w:r>
            <w:r>
              <w:rPr>
                <w:rFonts w:hint="eastAsia" w:hAnsi="宋体"/>
                <w:color w:val="auto"/>
                <w:sz w:val="24"/>
                <w:lang w:eastAsia="zh-CN"/>
              </w:rPr>
              <w:t>塑料</w:t>
            </w:r>
            <w:r>
              <w:rPr>
                <w:rFonts w:hint="eastAsia" w:hAnsi="宋体"/>
                <w:color w:val="auto"/>
                <w:sz w:val="24"/>
              </w:rPr>
              <w:t>制</w:t>
            </w:r>
            <w:r>
              <w:rPr>
                <w:rFonts w:hint="eastAsia" w:hAnsi="宋体"/>
                <w:color w:val="auto"/>
                <w:sz w:val="24"/>
                <w:lang w:eastAsia="zh-CN"/>
              </w:rPr>
              <w:t>品</w:t>
            </w:r>
            <w:r>
              <w:rPr>
                <w:rFonts w:hint="eastAsia" w:hAnsi="宋体"/>
                <w:color w:val="auto"/>
                <w:sz w:val="24"/>
              </w:rPr>
              <w:t>业</w:t>
            </w:r>
            <w:r>
              <w:rPr>
                <w:rFonts w:hAnsi="宋体"/>
                <w:color w:val="auto"/>
                <w:sz w:val="24"/>
              </w:rPr>
              <w:t>，对照国家发改委《产业结构调整指导目录（</w:t>
            </w:r>
            <w:r>
              <w:rPr>
                <w:color w:val="auto"/>
                <w:sz w:val="24"/>
              </w:rPr>
              <w:t>2019</w:t>
            </w:r>
            <w:r>
              <w:rPr>
                <w:rFonts w:hAnsi="宋体"/>
                <w:color w:val="auto"/>
                <w:sz w:val="24"/>
              </w:rPr>
              <w:t>年本</w:t>
            </w:r>
            <w:r>
              <w:rPr>
                <w:rFonts w:hint="eastAsia" w:hAnsi="宋体"/>
                <w:color w:val="auto"/>
                <w:sz w:val="24"/>
                <w:lang w:eastAsia="zh-CN"/>
              </w:rPr>
              <w:t>，</w:t>
            </w:r>
            <w:r>
              <w:rPr>
                <w:rFonts w:hint="eastAsia" w:hAnsi="宋体"/>
                <w:color w:val="auto"/>
                <w:sz w:val="24"/>
                <w:lang w:val="en-US" w:eastAsia="zh-CN"/>
              </w:rPr>
              <w:t>2021修正</w:t>
            </w:r>
            <w:r>
              <w:rPr>
                <w:rFonts w:hAnsi="宋体"/>
                <w:color w:val="auto"/>
                <w:sz w:val="24"/>
              </w:rPr>
              <w:t>）》，本项目符合产业政策；对照《湖州市产业发展导向目录（</w:t>
            </w:r>
            <w:r>
              <w:rPr>
                <w:color w:val="auto"/>
                <w:sz w:val="24"/>
              </w:rPr>
              <w:t>2012</w:t>
            </w:r>
            <w:r>
              <w:rPr>
                <w:rFonts w:hAnsi="宋体"/>
                <w:color w:val="auto"/>
                <w:sz w:val="24"/>
              </w:rPr>
              <w:t>年本）》，本项目符合产业政策。</w:t>
            </w:r>
          </w:p>
          <w:p w14:paraId="7A6D663C">
            <w:pPr>
              <w:spacing w:line="440" w:lineRule="exact"/>
              <w:ind w:firstLine="480" w:firstLineChars="200"/>
              <w:rPr>
                <w:rFonts w:hAnsi="宋体"/>
                <w:color w:val="auto"/>
                <w:sz w:val="24"/>
              </w:rPr>
            </w:pPr>
            <w:r>
              <w:rPr>
                <w:rFonts w:hAnsi="宋体"/>
                <w:color w:val="auto"/>
                <w:sz w:val="24"/>
              </w:rPr>
              <w:t>综上所述，本项目符合产业政策。</w:t>
            </w:r>
          </w:p>
          <w:p w14:paraId="5A98BB6C">
            <w:pPr>
              <w:spacing w:line="440" w:lineRule="exact"/>
              <w:rPr>
                <w:color w:val="auto"/>
                <w:sz w:val="24"/>
              </w:rPr>
            </w:pPr>
            <w:r>
              <w:rPr>
                <w:rFonts w:hint="eastAsia"/>
                <w:b/>
                <w:color w:val="auto"/>
                <w:sz w:val="24"/>
              </w:rPr>
              <w:t>1</w:t>
            </w:r>
            <w:r>
              <w:rPr>
                <w:b/>
                <w:color w:val="auto"/>
                <w:sz w:val="24"/>
              </w:rPr>
              <w:t>.</w:t>
            </w:r>
            <w:r>
              <w:rPr>
                <w:rFonts w:hint="eastAsia"/>
                <w:b/>
                <w:color w:val="auto"/>
                <w:sz w:val="24"/>
              </w:rPr>
              <w:t>4</w:t>
            </w:r>
            <w:r>
              <w:rPr>
                <w:b/>
                <w:color w:val="auto"/>
                <w:sz w:val="24"/>
              </w:rPr>
              <w:t>.2</w:t>
            </w:r>
            <w:r>
              <w:rPr>
                <w:rFonts w:hAnsi="宋体"/>
                <w:b/>
                <w:color w:val="auto"/>
                <w:sz w:val="24"/>
              </w:rPr>
              <w:t>建设项目符合主体功能区规划、土地利用总体规划、城乡规划的要求</w:t>
            </w:r>
          </w:p>
          <w:p w14:paraId="64B39DC0">
            <w:pPr>
              <w:pStyle w:val="3"/>
              <w:spacing w:line="440" w:lineRule="exact"/>
              <w:rPr>
                <w:rFonts w:eastAsia="宋体"/>
                <w:color w:val="auto"/>
              </w:rPr>
            </w:pPr>
            <w:r>
              <w:rPr>
                <w:rFonts w:hint="eastAsia" w:eastAsia="宋体"/>
                <w:color w:val="auto"/>
                <w:lang w:eastAsia="zh-CN"/>
              </w:rPr>
              <w:t>安吉联红五金制品厂年产100万套塑料配件、30万套五金配件迁建项目</w:t>
            </w:r>
            <w:r>
              <w:rPr>
                <w:rFonts w:eastAsia="宋体"/>
                <w:color w:val="auto"/>
              </w:rPr>
              <w:t>选址于</w:t>
            </w:r>
            <w:r>
              <w:rPr>
                <w:rFonts w:hint="eastAsia" w:eastAsia="宋体"/>
                <w:color w:val="auto"/>
              </w:rPr>
              <w:t>安吉县</w:t>
            </w:r>
            <w:r>
              <w:rPr>
                <w:rFonts w:hint="eastAsia" w:eastAsia="宋体"/>
                <w:color w:val="auto"/>
                <w:lang w:eastAsia="zh-CN"/>
              </w:rPr>
              <w:t>天荒坪镇白水湾工业园（安吉县春风木制品厂）</w:t>
            </w:r>
            <w:r>
              <w:rPr>
                <w:rFonts w:hint="eastAsia" w:eastAsia="宋体"/>
                <w:color w:val="auto"/>
              </w:rPr>
              <w:t>，地块属于工业用地，</w:t>
            </w:r>
            <w:r>
              <w:rPr>
                <w:rFonts w:eastAsia="宋体"/>
                <w:color w:val="auto"/>
              </w:rPr>
              <w:t>土地使用规划合理，本项目符合土地利用总体规划及当地城镇总体规划。</w:t>
            </w:r>
          </w:p>
          <w:p w14:paraId="524A131E">
            <w:pPr>
              <w:autoSpaceDE w:val="0"/>
              <w:autoSpaceDN w:val="0"/>
              <w:adjustRightInd w:val="0"/>
              <w:snapToGrid w:val="0"/>
              <w:spacing w:line="420" w:lineRule="exact"/>
              <w:rPr>
                <w:b/>
                <w:color w:val="auto"/>
                <w:kern w:val="0"/>
                <w:sz w:val="24"/>
              </w:rPr>
            </w:pPr>
            <w:r>
              <w:rPr>
                <w:rFonts w:hint="eastAsia"/>
                <w:b/>
                <w:color w:val="auto"/>
                <w:kern w:val="0"/>
                <w:sz w:val="24"/>
              </w:rPr>
              <w:t xml:space="preserve">1.5 </w:t>
            </w:r>
            <w:r>
              <w:rPr>
                <w:rFonts w:hAnsi="宋体"/>
                <w:b/>
                <w:color w:val="auto"/>
                <w:kern w:val="0"/>
                <w:sz w:val="24"/>
              </w:rPr>
              <w:t>环评类别判定</w:t>
            </w:r>
          </w:p>
          <w:p w14:paraId="4FCB19B5">
            <w:pPr>
              <w:pStyle w:val="3"/>
              <w:spacing w:line="420" w:lineRule="exact"/>
              <w:rPr>
                <w:rFonts w:eastAsia="宋体"/>
                <w:color w:val="auto"/>
              </w:rPr>
            </w:pPr>
            <w:r>
              <w:rPr>
                <w:rFonts w:hint="eastAsia" w:eastAsia="宋体"/>
                <w:color w:val="auto"/>
              </w:rPr>
              <w:t>对照生态环境保护部令第16号《建设项目环境影响评价分类管理名录（2021版）》，本项目属于本项目属于</w:t>
            </w:r>
            <w:r>
              <w:rPr>
                <w:rFonts w:hint="eastAsia" w:eastAsia="宋体"/>
                <w:color w:val="auto"/>
                <w:lang w:val="en-US" w:eastAsia="zh-CN"/>
              </w:rPr>
              <w:t>“二十六，橡胶和塑料制品业 29，53.塑料制品业 292”，本项目未使用再生塑料，无电镀工艺的，未使用溶剂型胶粘剂和溶剂型涂料和“三十，金属制品业 33，建筑、安全用金属制品制造 335”</w:t>
            </w:r>
            <w:r>
              <w:rPr>
                <w:rFonts w:hint="eastAsia" w:eastAsia="宋体"/>
                <w:color w:val="auto"/>
              </w:rPr>
              <w:t>，本项目无电镀工艺和未使用溶剂型涂料，因此本项目应编制环境影响报告表。</w:t>
            </w:r>
          </w:p>
          <w:p w14:paraId="5639F443">
            <w:pPr>
              <w:pStyle w:val="130"/>
              <w:widowControl w:val="0"/>
              <w:adjustRightInd/>
              <w:spacing w:line="360" w:lineRule="exact"/>
              <w:ind w:firstLine="482" w:firstLineChars="0"/>
              <w:jc w:val="center"/>
              <w:rPr>
                <w:rFonts w:hAnsi="宋体" w:eastAsia="宋体"/>
                <w:b/>
                <w:color w:val="auto"/>
                <w:sz w:val="21"/>
              </w:rPr>
            </w:pPr>
          </w:p>
          <w:p w14:paraId="30A66069">
            <w:pPr>
              <w:pStyle w:val="130"/>
              <w:widowControl w:val="0"/>
              <w:adjustRightInd/>
              <w:spacing w:line="360" w:lineRule="exact"/>
              <w:ind w:firstLine="482" w:firstLineChars="0"/>
              <w:jc w:val="center"/>
              <w:rPr>
                <w:rFonts w:hAnsi="宋体" w:eastAsia="宋体"/>
                <w:b/>
                <w:color w:val="auto"/>
                <w:sz w:val="21"/>
              </w:rPr>
            </w:pPr>
          </w:p>
          <w:p w14:paraId="35946D38">
            <w:pPr>
              <w:pStyle w:val="130"/>
              <w:widowControl w:val="0"/>
              <w:adjustRightInd/>
              <w:spacing w:line="360" w:lineRule="exact"/>
              <w:ind w:firstLine="482" w:firstLineChars="0"/>
              <w:jc w:val="center"/>
              <w:rPr>
                <w:rFonts w:hAnsi="宋体" w:eastAsia="宋体"/>
                <w:b/>
                <w:color w:val="auto"/>
                <w:sz w:val="21"/>
              </w:rPr>
            </w:pPr>
          </w:p>
          <w:p w14:paraId="097DF66C">
            <w:pPr>
              <w:pStyle w:val="130"/>
              <w:widowControl w:val="0"/>
              <w:adjustRightInd/>
              <w:spacing w:line="360" w:lineRule="exact"/>
              <w:ind w:firstLine="482" w:firstLineChars="0"/>
              <w:jc w:val="center"/>
              <w:rPr>
                <w:rFonts w:hAnsi="宋体" w:eastAsia="宋体"/>
                <w:b/>
                <w:color w:val="auto"/>
                <w:sz w:val="21"/>
              </w:rPr>
            </w:pPr>
          </w:p>
          <w:p w14:paraId="3CC10D2A">
            <w:pPr>
              <w:pStyle w:val="130"/>
              <w:widowControl w:val="0"/>
              <w:adjustRightInd/>
              <w:spacing w:line="360" w:lineRule="exact"/>
              <w:ind w:firstLine="482" w:firstLineChars="0"/>
              <w:jc w:val="center"/>
              <w:rPr>
                <w:rFonts w:hAnsi="宋体" w:eastAsia="宋体"/>
                <w:b/>
                <w:color w:val="auto"/>
                <w:sz w:val="21"/>
              </w:rPr>
            </w:pPr>
          </w:p>
          <w:p w14:paraId="4C84BD9C">
            <w:pPr>
              <w:pStyle w:val="130"/>
              <w:widowControl w:val="0"/>
              <w:adjustRightInd/>
              <w:spacing w:line="360" w:lineRule="exact"/>
              <w:ind w:firstLine="482" w:firstLineChars="0"/>
              <w:jc w:val="center"/>
              <w:rPr>
                <w:rFonts w:hAnsi="宋体" w:eastAsia="宋体"/>
                <w:b/>
                <w:color w:val="auto"/>
                <w:sz w:val="21"/>
              </w:rPr>
            </w:pPr>
            <w:r>
              <w:rPr>
                <w:rFonts w:hAnsi="宋体" w:eastAsia="宋体"/>
                <w:b/>
                <w:color w:val="auto"/>
                <w:sz w:val="21"/>
              </w:rPr>
              <w:t>表</w:t>
            </w:r>
            <w:r>
              <w:rPr>
                <w:rFonts w:eastAsia="宋体"/>
                <w:b/>
                <w:color w:val="auto"/>
                <w:sz w:val="21"/>
              </w:rPr>
              <w:t>1-1</w:t>
            </w:r>
            <w:r>
              <w:rPr>
                <w:rFonts w:hint="eastAsia" w:eastAsia="宋体"/>
                <w:b/>
                <w:color w:val="auto"/>
                <w:sz w:val="21"/>
              </w:rPr>
              <w:t xml:space="preserve">4  </w:t>
            </w:r>
            <w:r>
              <w:rPr>
                <w:rFonts w:hAnsi="宋体" w:eastAsia="宋体"/>
                <w:b/>
                <w:color w:val="auto"/>
                <w:sz w:val="21"/>
              </w:rPr>
              <w:t>环评类别判定依据</w:t>
            </w:r>
          </w:p>
          <w:tbl>
            <w:tblPr>
              <w:tblStyle w:val="37"/>
              <w:tblW w:w="69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2425"/>
              <w:gridCol w:w="1394"/>
              <w:gridCol w:w="1595"/>
              <w:gridCol w:w="594"/>
              <w:gridCol w:w="962"/>
            </w:tblGrid>
            <w:tr w14:paraId="30A01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1739" w:type="pct"/>
                  <w:tcBorders>
                    <w:left w:val="single" w:color="auto" w:sz="4" w:space="0"/>
                    <w:tl2br w:val="single" w:color="auto" w:sz="4" w:space="0"/>
                  </w:tcBorders>
                  <w:vAlign w:val="center"/>
                </w:tcPr>
                <w:p w14:paraId="64C1D30E">
                  <w:pPr>
                    <w:jc w:val="right"/>
                    <w:rPr>
                      <w:b/>
                      <w:bCs/>
                      <w:color w:val="auto"/>
                      <w:szCs w:val="21"/>
                    </w:rPr>
                  </w:pPr>
                  <w:r>
                    <w:rPr>
                      <w:rFonts w:hAnsi="宋体"/>
                      <w:b/>
                      <w:bCs/>
                      <w:color w:val="auto"/>
                      <w:szCs w:val="21"/>
                    </w:rPr>
                    <w:t>环评类别</w:t>
                  </w:r>
                </w:p>
                <w:p w14:paraId="48078B3E">
                  <w:pPr>
                    <w:jc w:val="left"/>
                    <w:rPr>
                      <w:b/>
                      <w:bCs/>
                      <w:color w:val="auto"/>
                      <w:szCs w:val="21"/>
                    </w:rPr>
                  </w:pPr>
                  <w:r>
                    <w:rPr>
                      <w:rFonts w:hAnsi="宋体"/>
                      <w:b/>
                      <w:bCs/>
                      <w:color w:val="auto"/>
                      <w:szCs w:val="21"/>
                    </w:rPr>
                    <w:t>项目类别</w:t>
                  </w:r>
                </w:p>
              </w:tc>
              <w:tc>
                <w:tcPr>
                  <w:tcW w:w="1000" w:type="pct"/>
                  <w:vAlign w:val="center"/>
                </w:tcPr>
                <w:p w14:paraId="78B9B1E3">
                  <w:pPr>
                    <w:jc w:val="center"/>
                    <w:rPr>
                      <w:b/>
                      <w:bCs/>
                      <w:color w:val="auto"/>
                      <w:szCs w:val="21"/>
                    </w:rPr>
                  </w:pPr>
                  <w:r>
                    <w:rPr>
                      <w:rFonts w:hAnsi="宋体"/>
                      <w:b/>
                      <w:bCs/>
                      <w:color w:val="auto"/>
                      <w:szCs w:val="21"/>
                    </w:rPr>
                    <w:t>报告书</w:t>
                  </w:r>
                </w:p>
              </w:tc>
              <w:tc>
                <w:tcPr>
                  <w:tcW w:w="1144" w:type="pct"/>
                  <w:shd w:val="clear" w:color="auto" w:fill="D7D7D7" w:themeFill="background1" w:themeFillShade="D8"/>
                  <w:vAlign w:val="center"/>
                </w:tcPr>
                <w:p w14:paraId="46C81251">
                  <w:pPr>
                    <w:jc w:val="center"/>
                    <w:rPr>
                      <w:b/>
                      <w:bCs/>
                      <w:color w:val="auto"/>
                      <w:szCs w:val="21"/>
                    </w:rPr>
                  </w:pPr>
                  <w:r>
                    <w:rPr>
                      <w:rFonts w:hAnsi="宋体"/>
                      <w:b/>
                      <w:bCs/>
                      <w:color w:val="auto"/>
                      <w:szCs w:val="21"/>
                    </w:rPr>
                    <w:t>报告表</w:t>
                  </w:r>
                </w:p>
              </w:tc>
              <w:tc>
                <w:tcPr>
                  <w:tcW w:w="426" w:type="pct"/>
                  <w:vAlign w:val="center"/>
                </w:tcPr>
                <w:p w14:paraId="152586F6">
                  <w:pPr>
                    <w:jc w:val="center"/>
                    <w:rPr>
                      <w:b/>
                      <w:bCs/>
                      <w:color w:val="auto"/>
                      <w:szCs w:val="21"/>
                    </w:rPr>
                  </w:pPr>
                  <w:r>
                    <w:rPr>
                      <w:rFonts w:hAnsi="宋体"/>
                      <w:b/>
                      <w:bCs/>
                      <w:color w:val="auto"/>
                      <w:szCs w:val="21"/>
                    </w:rPr>
                    <w:t>登记表</w:t>
                  </w:r>
                </w:p>
              </w:tc>
              <w:tc>
                <w:tcPr>
                  <w:tcW w:w="690" w:type="pct"/>
                  <w:vAlign w:val="center"/>
                </w:tcPr>
                <w:p w14:paraId="311DCDA9">
                  <w:pPr>
                    <w:jc w:val="center"/>
                    <w:rPr>
                      <w:b/>
                      <w:bCs/>
                      <w:color w:val="auto"/>
                      <w:szCs w:val="21"/>
                    </w:rPr>
                  </w:pPr>
                  <w:r>
                    <w:rPr>
                      <w:rFonts w:hAnsi="宋体"/>
                      <w:b/>
                      <w:bCs/>
                      <w:color w:val="auto"/>
                      <w:szCs w:val="21"/>
                    </w:rPr>
                    <w:t>本栏目环境敏感区含义</w:t>
                  </w:r>
                </w:p>
              </w:tc>
            </w:tr>
            <w:tr w14:paraId="0C5C7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5000" w:type="pct"/>
                  <w:gridSpan w:val="5"/>
                  <w:shd w:val="clear" w:color="auto" w:fill="D7D7D7" w:themeFill="background1" w:themeFillShade="D8"/>
                  <w:vAlign w:val="center"/>
                </w:tcPr>
                <w:p w14:paraId="322BFADE">
                  <w:pPr>
                    <w:jc w:val="left"/>
                    <w:rPr>
                      <w:bCs/>
                      <w:color w:val="auto"/>
                      <w:szCs w:val="21"/>
                    </w:rPr>
                  </w:pPr>
                  <w:r>
                    <w:rPr>
                      <w:bCs/>
                      <w:color w:val="auto"/>
                      <w:szCs w:val="21"/>
                    </w:rPr>
                    <w:t>二十六，橡胶和塑料制品业 29</w:t>
                  </w:r>
                </w:p>
              </w:tc>
            </w:tr>
            <w:tr w14:paraId="150FD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1739" w:type="pct"/>
                  <w:shd w:val="clear" w:color="auto" w:fill="auto"/>
                  <w:vAlign w:val="center"/>
                </w:tcPr>
                <w:p w14:paraId="61E34DBC">
                  <w:pPr>
                    <w:jc w:val="center"/>
                    <w:rPr>
                      <w:bCs/>
                      <w:color w:val="auto"/>
                      <w:szCs w:val="21"/>
                    </w:rPr>
                  </w:pPr>
                  <w:r>
                    <w:rPr>
                      <w:bCs/>
                      <w:color w:val="auto"/>
                      <w:szCs w:val="21"/>
                    </w:rPr>
                    <w:t>53.塑料制品业 292</w:t>
                  </w:r>
                </w:p>
              </w:tc>
              <w:tc>
                <w:tcPr>
                  <w:tcW w:w="1000" w:type="pct"/>
                  <w:shd w:val="clear" w:color="auto" w:fill="auto"/>
                  <w:vAlign w:val="center"/>
                </w:tcPr>
                <w:p w14:paraId="5CF8395B">
                  <w:pPr>
                    <w:jc w:val="both"/>
                    <w:rPr>
                      <w:bCs/>
                      <w:color w:val="auto"/>
                      <w:szCs w:val="21"/>
                    </w:rPr>
                  </w:pPr>
                  <w:r>
                    <w:rPr>
                      <w:rFonts w:hint="eastAsia" w:ascii="Times New Roman" w:hAnsi="宋体" w:eastAsia="宋体" w:cs="Times New Roman"/>
                      <w:bCs/>
                      <w:color w:val="auto"/>
                      <w:szCs w:val="21"/>
                    </w:rPr>
                    <w:t>以再生塑料为原料生产的；有电镀工艺的；年用溶剂型胶粘剂10吨及以上的</w:t>
                  </w:r>
                  <w:r>
                    <w:rPr>
                      <w:rFonts w:hint="eastAsia" w:ascii="Times New Roman" w:hAnsi="宋体" w:eastAsia="宋体" w:cs="Times New Roman"/>
                      <w:bCs/>
                      <w:color w:val="auto"/>
                      <w:szCs w:val="21"/>
                      <w:lang w:eastAsia="zh-CN"/>
                    </w:rPr>
                    <w:t>；</w:t>
                  </w:r>
                  <w:r>
                    <w:rPr>
                      <w:rFonts w:hint="eastAsia" w:ascii="Times New Roman" w:hAnsi="宋体" w:eastAsia="宋体" w:cs="Times New Roman"/>
                      <w:bCs/>
                      <w:color w:val="auto"/>
                      <w:szCs w:val="21"/>
                    </w:rPr>
                    <w:t>年用溶剂型</w:t>
                  </w:r>
                  <w:r>
                    <w:rPr>
                      <w:bCs/>
                      <w:color w:val="auto"/>
                      <w:szCs w:val="21"/>
                    </w:rPr>
                    <w:t xml:space="preserve"> 涂料（含稀释剂）10 吨及以上的</w:t>
                  </w:r>
                </w:p>
              </w:tc>
              <w:tc>
                <w:tcPr>
                  <w:tcW w:w="1144" w:type="pct"/>
                  <w:shd w:val="clear" w:color="auto" w:fill="D7D7D7" w:themeFill="background1" w:themeFillShade="D8"/>
                  <w:vAlign w:val="center"/>
                </w:tcPr>
                <w:p w14:paraId="1843F8CD">
                  <w:pPr>
                    <w:jc w:val="center"/>
                    <w:rPr>
                      <w:bCs/>
                      <w:color w:val="auto"/>
                      <w:szCs w:val="21"/>
                    </w:rPr>
                  </w:pPr>
                  <w:r>
                    <w:rPr>
                      <w:rFonts w:hint="eastAsia" w:hAnsi="宋体"/>
                      <w:bCs/>
                      <w:color w:val="auto"/>
                      <w:szCs w:val="21"/>
                    </w:rPr>
                    <w:t>其他（仅分割、组装的除外；</w:t>
                  </w:r>
                  <w:r>
                    <w:rPr>
                      <w:rFonts w:hAnsi="宋体"/>
                      <w:bCs/>
                      <w:color w:val="auto"/>
                      <w:szCs w:val="21"/>
                    </w:rPr>
                    <w:t>年用</w:t>
                  </w:r>
                  <w:r>
                    <w:rPr>
                      <w:rFonts w:hint="eastAsia" w:hAnsi="宋体"/>
                      <w:bCs/>
                      <w:color w:val="auto"/>
                      <w:szCs w:val="21"/>
                    </w:rPr>
                    <w:t>非溶剂型低VOC</w:t>
                  </w:r>
                  <w:r>
                    <w:rPr>
                      <w:rFonts w:hint="eastAsia" w:hAnsi="宋体"/>
                      <w:bCs/>
                      <w:color w:val="auto"/>
                      <w:szCs w:val="21"/>
                      <w:vertAlign w:val="subscript"/>
                    </w:rPr>
                    <w:t>S</w:t>
                  </w:r>
                  <w:r>
                    <w:rPr>
                      <w:rFonts w:hint="eastAsia" w:hAnsi="宋体"/>
                      <w:bCs/>
                      <w:color w:val="auto"/>
                      <w:szCs w:val="21"/>
                    </w:rPr>
                    <w:t>含量涂料10吨以下的除外）</w:t>
                  </w:r>
                </w:p>
              </w:tc>
              <w:tc>
                <w:tcPr>
                  <w:tcW w:w="426" w:type="pct"/>
                  <w:vAlign w:val="center"/>
                </w:tcPr>
                <w:p w14:paraId="3F0B92E2">
                  <w:pPr>
                    <w:jc w:val="center"/>
                    <w:rPr>
                      <w:bCs/>
                      <w:color w:val="auto"/>
                      <w:szCs w:val="21"/>
                    </w:rPr>
                  </w:pPr>
                  <w:r>
                    <w:rPr>
                      <w:bCs/>
                      <w:color w:val="auto"/>
                      <w:szCs w:val="21"/>
                    </w:rPr>
                    <w:t>/</w:t>
                  </w:r>
                </w:p>
              </w:tc>
              <w:tc>
                <w:tcPr>
                  <w:tcW w:w="690" w:type="pct"/>
                  <w:vAlign w:val="center"/>
                </w:tcPr>
                <w:p w14:paraId="38AD38D9">
                  <w:pPr>
                    <w:jc w:val="center"/>
                    <w:rPr>
                      <w:bCs/>
                      <w:color w:val="auto"/>
                      <w:szCs w:val="21"/>
                    </w:rPr>
                  </w:pPr>
                  <w:r>
                    <w:rPr>
                      <w:bCs/>
                      <w:color w:val="auto"/>
                      <w:szCs w:val="21"/>
                    </w:rPr>
                    <w:t>/</w:t>
                  </w:r>
                </w:p>
              </w:tc>
            </w:tr>
            <w:tr w14:paraId="45488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5000" w:type="pct"/>
                  <w:gridSpan w:val="5"/>
                  <w:shd w:val="clear" w:color="auto" w:fill="D7D7D7" w:themeFill="background1" w:themeFillShade="D8"/>
                  <w:vAlign w:val="center"/>
                </w:tcPr>
                <w:p w14:paraId="2B5CC1BC">
                  <w:pPr>
                    <w:jc w:val="both"/>
                    <w:rPr>
                      <w:bCs/>
                      <w:color w:val="auto"/>
                      <w:szCs w:val="21"/>
                    </w:rPr>
                  </w:pPr>
                  <w:r>
                    <w:rPr>
                      <w:rFonts w:hint="eastAsia"/>
                      <w:color w:val="auto"/>
                      <w:szCs w:val="21"/>
                    </w:rPr>
                    <w:t>三十，金属制品业33</w:t>
                  </w:r>
                </w:p>
              </w:tc>
            </w:tr>
            <w:tr w14:paraId="01ED2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69" w:hRule="atLeast"/>
              </w:trPr>
              <w:tc>
                <w:tcPr>
                  <w:tcW w:w="1739" w:type="pct"/>
                  <w:shd w:val="clear" w:color="auto" w:fill="auto"/>
                  <w:vAlign w:val="center"/>
                </w:tcPr>
                <w:p w14:paraId="717A9946">
                  <w:pPr>
                    <w:jc w:val="center"/>
                    <w:rPr>
                      <w:rFonts w:hint="eastAsia"/>
                      <w:bCs/>
                      <w:color w:val="auto"/>
                      <w:szCs w:val="21"/>
                    </w:rPr>
                  </w:pPr>
                  <w:r>
                    <w:rPr>
                      <w:color w:val="auto"/>
                      <w:kern w:val="0"/>
                      <w:szCs w:val="21"/>
                    </w:rPr>
                    <w:t>66</w:t>
                  </w:r>
                  <w:r>
                    <w:rPr>
                      <w:bCs/>
                      <w:color w:val="auto"/>
                      <w:szCs w:val="21"/>
                    </w:rPr>
                    <w:t>.</w:t>
                  </w:r>
                  <w:r>
                    <w:rPr>
                      <w:color w:val="auto"/>
                      <w:kern w:val="0"/>
                      <w:szCs w:val="21"/>
                    </w:rPr>
                    <w:t>结构性金属制品制造331；金属工具制造332；集装箱及金属包装容器制造 333；金属丝绳及其制品制造334；建筑、安全用金属制品制造 335；搪瓷制品制造 337；金属制日用品制造 338</w:t>
                  </w:r>
                </w:p>
              </w:tc>
              <w:tc>
                <w:tcPr>
                  <w:tcW w:w="1000" w:type="pct"/>
                  <w:shd w:val="clear" w:color="auto" w:fill="auto"/>
                  <w:vAlign w:val="center"/>
                </w:tcPr>
                <w:p w14:paraId="6CD4CBD6">
                  <w:pPr>
                    <w:autoSpaceDE w:val="0"/>
                    <w:autoSpaceDN w:val="0"/>
                    <w:adjustRightInd w:val="0"/>
                    <w:jc w:val="left"/>
                    <w:rPr>
                      <w:rFonts w:hAnsi="宋体"/>
                      <w:bCs/>
                      <w:color w:val="auto"/>
                      <w:szCs w:val="21"/>
                    </w:rPr>
                  </w:pPr>
                  <w:r>
                    <w:rPr>
                      <w:color w:val="auto"/>
                      <w:kern w:val="0"/>
                      <w:szCs w:val="21"/>
                    </w:rPr>
                    <w:t>有电镀工艺的；年用溶剂型涂料（含稀释剂）10吨及以上的</w:t>
                  </w:r>
                </w:p>
              </w:tc>
              <w:tc>
                <w:tcPr>
                  <w:tcW w:w="1144" w:type="pct"/>
                  <w:shd w:val="clear" w:color="auto" w:fill="D7D7D7" w:themeFill="background1" w:themeFillShade="D8"/>
                  <w:vAlign w:val="center"/>
                </w:tcPr>
                <w:p w14:paraId="2F9F3C29">
                  <w:pPr>
                    <w:autoSpaceDE w:val="0"/>
                    <w:autoSpaceDN w:val="0"/>
                    <w:adjustRightInd w:val="0"/>
                    <w:jc w:val="left"/>
                    <w:rPr>
                      <w:rFonts w:hint="eastAsia" w:hAnsi="宋体"/>
                      <w:bCs/>
                      <w:color w:val="auto"/>
                      <w:szCs w:val="21"/>
                    </w:rPr>
                  </w:pPr>
                  <w:r>
                    <w:rPr>
                      <w:color w:val="auto"/>
                      <w:kern w:val="0"/>
                      <w:szCs w:val="21"/>
                    </w:rPr>
                    <w:t>其他（仅分割、焊接、组装的除外；年用非溶剂型低VOCs含量涂料10吨以下的除外）</w:t>
                  </w:r>
                </w:p>
              </w:tc>
              <w:tc>
                <w:tcPr>
                  <w:tcW w:w="426" w:type="pct"/>
                  <w:vAlign w:val="center"/>
                </w:tcPr>
                <w:p w14:paraId="402D49A0">
                  <w:pPr>
                    <w:jc w:val="center"/>
                    <w:rPr>
                      <w:bCs/>
                      <w:color w:val="auto"/>
                      <w:szCs w:val="21"/>
                    </w:rPr>
                  </w:pPr>
                  <w:r>
                    <w:rPr>
                      <w:bCs/>
                      <w:color w:val="auto"/>
                      <w:szCs w:val="21"/>
                    </w:rPr>
                    <w:t>/</w:t>
                  </w:r>
                </w:p>
              </w:tc>
              <w:tc>
                <w:tcPr>
                  <w:tcW w:w="690" w:type="pct"/>
                  <w:vAlign w:val="center"/>
                </w:tcPr>
                <w:p w14:paraId="4B03FCEA">
                  <w:pPr>
                    <w:jc w:val="center"/>
                    <w:rPr>
                      <w:bCs/>
                      <w:color w:val="auto"/>
                      <w:szCs w:val="21"/>
                    </w:rPr>
                  </w:pPr>
                  <w:r>
                    <w:rPr>
                      <w:bCs/>
                      <w:color w:val="auto"/>
                      <w:szCs w:val="21"/>
                    </w:rPr>
                    <w:t>/</w:t>
                  </w:r>
                </w:p>
              </w:tc>
            </w:tr>
          </w:tbl>
          <w:p w14:paraId="7A4625B3">
            <w:pPr>
              <w:widowControl/>
              <w:spacing w:line="420" w:lineRule="exact"/>
              <w:ind w:firstLine="480" w:firstLineChars="200"/>
              <w:jc w:val="left"/>
              <w:rPr>
                <w:color w:val="auto"/>
                <w:sz w:val="24"/>
              </w:rPr>
            </w:pPr>
            <w:r>
              <w:rPr>
                <w:color w:val="auto"/>
                <w:sz w:val="24"/>
              </w:rPr>
              <w:t>根据</w:t>
            </w:r>
            <w:r>
              <w:rPr>
                <w:rFonts w:hint="eastAsia"/>
                <w:bCs/>
                <w:color w:val="auto"/>
                <w:sz w:val="24"/>
              </w:rPr>
              <w:t>关于发布《生态环境部审批环境影响评价文件的建设项目目录（2019年本）》的公告</w:t>
            </w:r>
            <w:r>
              <w:rPr>
                <w:color w:val="auto"/>
                <w:sz w:val="24"/>
              </w:rPr>
              <w:t>（</w:t>
            </w:r>
            <w:r>
              <w:rPr>
                <w:rFonts w:hint="eastAsia"/>
                <w:color w:val="auto"/>
                <w:sz w:val="24"/>
              </w:rPr>
              <w:t>生态环境部</w:t>
            </w:r>
            <w:r>
              <w:rPr>
                <w:color w:val="auto"/>
                <w:sz w:val="24"/>
              </w:rPr>
              <w:t>201</w:t>
            </w:r>
            <w:r>
              <w:rPr>
                <w:rFonts w:hint="eastAsia"/>
                <w:color w:val="auto"/>
                <w:sz w:val="24"/>
              </w:rPr>
              <w:t>9</w:t>
            </w:r>
            <w:r>
              <w:rPr>
                <w:color w:val="auto"/>
                <w:sz w:val="24"/>
              </w:rPr>
              <w:t>年第</w:t>
            </w:r>
            <w:r>
              <w:rPr>
                <w:rFonts w:hint="eastAsia"/>
                <w:color w:val="auto"/>
                <w:sz w:val="24"/>
              </w:rPr>
              <w:t>8</w:t>
            </w:r>
            <w:r>
              <w:rPr>
                <w:color w:val="auto"/>
                <w:sz w:val="24"/>
              </w:rPr>
              <w:t>号）</w:t>
            </w:r>
            <w:r>
              <w:rPr>
                <w:rFonts w:hint="eastAsia"/>
                <w:color w:val="auto"/>
                <w:sz w:val="24"/>
              </w:rPr>
              <w:t>、</w:t>
            </w:r>
            <w:r>
              <w:rPr>
                <w:color w:val="auto"/>
                <w:sz w:val="24"/>
              </w:rPr>
              <w:t>《浙江省</w:t>
            </w:r>
            <w:r>
              <w:rPr>
                <w:rFonts w:hint="eastAsia"/>
                <w:color w:val="auto"/>
                <w:sz w:val="24"/>
                <w:lang w:val="en-US" w:eastAsia="zh-CN"/>
              </w:rPr>
              <w:t>生态环境</w:t>
            </w:r>
            <w:r>
              <w:rPr>
                <w:color w:val="auto"/>
                <w:sz w:val="24"/>
              </w:rPr>
              <w:t>厅关于发布&lt;省</w:t>
            </w:r>
            <w:r>
              <w:rPr>
                <w:rFonts w:hint="eastAsia"/>
                <w:color w:val="auto"/>
                <w:sz w:val="24"/>
              </w:rPr>
              <w:t>生态</w:t>
            </w:r>
            <w:r>
              <w:rPr>
                <w:color w:val="auto"/>
                <w:sz w:val="24"/>
              </w:rPr>
              <w:t>环境主管部门负责审批环境影响评价文件的建设项目清单（</w:t>
            </w:r>
            <w:r>
              <w:rPr>
                <w:rFonts w:hint="eastAsia"/>
                <w:color w:val="auto"/>
                <w:sz w:val="24"/>
              </w:rPr>
              <w:t>2023</w:t>
            </w:r>
            <w:r>
              <w:rPr>
                <w:color w:val="auto"/>
                <w:sz w:val="24"/>
              </w:rPr>
              <w:t>年本）》（</w:t>
            </w:r>
            <w:r>
              <w:rPr>
                <w:rFonts w:hint="eastAsia"/>
                <w:color w:val="auto"/>
                <w:sz w:val="24"/>
              </w:rPr>
              <w:t>浙环发〔2023〕33号</w:t>
            </w:r>
            <w:r>
              <w:rPr>
                <w:color w:val="auto"/>
                <w:sz w:val="24"/>
              </w:rPr>
              <w:t>以及</w:t>
            </w:r>
            <w:r>
              <w:rPr>
                <w:color w:val="auto"/>
                <w:kern w:val="0"/>
                <w:sz w:val="24"/>
              </w:rPr>
              <w:t>《</w:t>
            </w:r>
            <w:r>
              <w:rPr>
                <w:rFonts w:hint="eastAsia"/>
                <w:color w:val="auto"/>
                <w:kern w:val="0"/>
                <w:sz w:val="24"/>
              </w:rPr>
              <w:t>湖州市生态环境局关于建设项目环评文件审批事权划分的通知</w:t>
            </w:r>
            <w:r>
              <w:rPr>
                <w:color w:val="auto"/>
                <w:kern w:val="0"/>
                <w:sz w:val="24"/>
              </w:rPr>
              <w:t>》（</w:t>
            </w:r>
            <w:r>
              <w:rPr>
                <w:rFonts w:hint="eastAsia"/>
                <w:color w:val="auto"/>
                <w:kern w:val="0"/>
                <w:sz w:val="24"/>
              </w:rPr>
              <w:t>湖环发</w:t>
            </w:r>
            <w:r>
              <w:rPr>
                <w:rFonts w:hint="eastAsia"/>
                <w:color w:val="auto"/>
                <w:sz w:val="24"/>
              </w:rPr>
              <w:t>〔</w:t>
            </w:r>
            <w:r>
              <w:rPr>
                <w:rFonts w:hint="eastAsia"/>
                <w:color w:val="auto"/>
                <w:kern w:val="0"/>
                <w:sz w:val="24"/>
              </w:rPr>
              <w:t>2023</w:t>
            </w:r>
            <w:r>
              <w:rPr>
                <w:rFonts w:hint="eastAsia"/>
                <w:color w:val="auto"/>
                <w:sz w:val="24"/>
              </w:rPr>
              <w:t>〕</w:t>
            </w:r>
            <w:r>
              <w:rPr>
                <w:rFonts w:hint="eastAsia"/>
                <w:color w:val="auto"/>
                <w:kern w:val="0"/>
                <w:sz w:val="24"/>
              </w:rPr>
              <w:t>14号</w:t>
            </w:r>
            <w:r>
              <w:rPr>
                <w:color w:val="auto"/>
                <w:kern w:val="0"/>
                <w:sz w:val="24"/>
              </w:rPr>
              <w:t>）</w:t>
            </w:r>
            <w:r>
              <w:rPr>
                <w:rFonts w:hAnsi="宋体"/>
                <w:color w:val="auto"/>
                <w:sz w:val="24"/>
              </w:rPr>
              <w:t>等文件规定</w:t>
            </w:r>
            <w:r>
              <w:rPr>
                <w:color w:val="auto"/>
                <w:sz w:val="24"/>
              </w:rPr>
              <w:t>，项目不属于</w:t>
            </w:r>
            <w:r>
              <w:rPr>
                <w:rFonts w:hint="eastAsia"/>
                <w:color w:val="auto"/>
                <w:sz w:val="24"/>
                <w:lang w:val="en-US" w:eastAsia="zh-CN"/>
              </w:rPr>
              <w:t>生态环境部</w:t>
            </w:r>
            <w:r>
              <w:rPr>
                <w:color w:val="auto"/>
                <w:sz w:val="24"/>
              </w:rPr>
              <w:t>审批目录、也不属于</w:t>
            </w:r>
            <w:r>
              <w:rPr>
                <w:rFonts w:hint="eastAsia"/>
                <w:color w:val="auto"/>
                <w:sz w:val="24"/>
              </w:rPr>
              <w:t>省生态环境厅、设区市生态环境局</w:t>
            </w:r>
            <w:r>
              <w:rPr>
                <w:color w:val="auto"/>
                <w:sz w:val="24"/>
              </w:rPr>
              <w:t>负责审批的目录，因此本项目环评由湖州市生态环境局安吉分局负责审批。</w:t>
            </w:r>
          </w:p>
          <w:p w14:paraId="7F3FA04E">
            <w:pPr>
              <w:pStyle w:val="3"/>
              <w:spacing w:line="430" w:lineRule="exact"/>
              <w:rPr>
                <w:rFonts w:hAnsi="宋体"/>
                <w:color w:val="auto"/>
              </w:rPr>
            </w:pPr>
            <w:r>
              <w:rPr>
                <w:rFonts w:hAnsi="宋体" w:eastAsia="宋体"/>
                <w:color w:val="auto"/>
              </w:rPr>
              <w:t>按照《中华人民共和国环境保护法》、《建设项目环境保护管理条例》和《建设项目环境影响评价分类管理名录》等法律法规要求，</w:t>
            </w:r>
            <w:r>
              <w:rPr>
                <w:rFonts w:hint="eastAsia" w:hAnsi="宋体" w:eastAsia="宋体"/>
                <w:color w:val="auto"/>
                <w:lang w:eastAsia="zh-CN"/>
              </w:rPr>
              <w:t>安吉联红五金制品厂</w:t>
            </w:r>
            <w:r>
              <w:rPr>
                <w:rFonts w:hAnsi="宋体" w:eastAsia="宋体"/>
                <w:color w:val="auto"/>
              </w:rPr>
              <w:t>特委托</w:t>
            </w:r>
            <w:r>
              <w:rPr>
                <w:rFonts w:hint="eastAsia" w:hAnsi="宋体" w:eastAsia="宋体"/>
                <w:color w:val="auto"/>
                <w:lang w:eastAsia="zh-CN"/>
              </w:rPr>
              <w:t>浙江辉志环保科技有限公司</w:t>
            </w:r>
            <w:r>
              <w:rPr>
                <w:rFonts w:hAnsi="宋体" w:eastAsia="宋体"/>
                <w:color w:val="auto"/>
              </w:rPr>
              <w:t>对其</w:t>
            </w:r>
            <w:r>
              <w:rPr>
                <w:rFonts w:hint="eastAsia" w:hAnsi="宋体" w:eastAsia="宋体"/>
                <w:color w:val="auto"/>
                <w:lang w:eastAsia="zh-CN"/>
              </w:rPr>
              <w:t>年产100万套塑料配件、30万套五金配件迁建项目</w:t>
            </w:r>
            <w:r>
              <w:rPr>
                <w:rFonts w:hAnsi="宋体" w:eastAsia="宋体"/>
                <w:color w:val="auto"/>
              </w:rPr>
              <w:t>进行环境影响评价。我单位在现场踏勘、资料收集的基础上，按照</w:t>
            </w:r>
            <w:r>
              <w:rPr>
                <w:rFonts w:hint="eastAsia" w:hAnsi="宋体" w:eastAsia="宋体"/>
                <w:color w:val="auto"/>
              </w:rPr>
              <w:t>《建设项目环境影响报告表编制技术指南（污染影响类）（试行）》等文件</w:t>
            </w:r>
            <w:r>
              <w:rPr>
                <w:rFonts w:hAnsi="宋体" w:eastAsia="宋体"/>
                <w:color w:val="auto"/>
              </w:rPr>
              <w:t>的要求，并通过对有关资料的整理分析和计算，编制该环境影响</w:t>
            </w:r>
            <w:r>
              <w:rPr>
                <w:rFonts w:hint="eastAsia" w:hAnsi="宋体" w:eastAsia="宋体"/>
                <w:color w:val="auto"/>
              </w:rPr>
              <w:t>报告</w:t>
            </w:r>
            <w:r>
              <w:rPr>
                <w:rFonts w:hAnsi="宋体" w:eastAsia="宋体"/>
                <w:color w:val="auto"/>
              </w:rPr>
              <w:t>表。</w:t>
            </w:r>
          </w:p>
        </w:tc>
      </w:tr>
    </w:tbl>
    <w:p w14:paraId="0E18DEFF">
      <w:pPr>
        <w:pStyle w:val="2"/>
        <w:rPr>
          <w:color w:val="auto"/>
        </w:rPr>
        <w:sectPr>
          <w:headerReference r:id="rId3" w:type="default"/>
          <w:footerReference r:id="rId4" w:type="default"/>
          <w:pgSz w:w="11906" w:h="16838"/>
          <w:pgMar w:top="1701" w:right="1701" w:bottom="1701" w:left="1701" w:header="851" w:footer="1077" w:gutter="0"/>
          <w:pgBorders>
            <w:top w:val="none" w:sz="0" w:space="0"/>
            <w:left w:val="none" w:sz="0" w:space="0"/>
            <w:bottom w:val="none" w:sz="0" w:space="0"/>
            <w:right w:val="none" w:sz="0" w:space="0"/>
          </w:pgBorders>
          <w:pgNumType w:start="1"/>
          <w:cols w:space="720" w:num="1"/>
          <w:docGrid w:linePitch="312" w:charSpace="0"/>
        </w:sectPr>
      </w:pPr>
    </w:p>
    <w:p w14:paraId="49773FDF">
      <w:pPr>
        <w:pStyle w:val="32"/>
        <w:spacing w:before="0" w:beforeAutospacing="0" w:after="0" w:afterAutospacing="0"/>
        <w:jc w:val="center"/>
        <w:outlineLvl w:val="0"/>
        <w:rPr>
          <w:rFonts w:ascii="Times New Roman" w:hAnsi="Times New Roman"/>
          <w:snapToGrid w:val="0"/>
          <w:color w:val="auto"/>
          <w:sz w:val="30"/>
          <w:szCs w:val="30"/>
        </w:rPr>
      </w:pPr>
      <w:bookmarkStart w:id="3" w:name="_Toc3092"/>
      <w:bookmarkStart w:id="4" w:name="_Toc9934"/>
      <w:r>
        <w:rPr>
          <w:rFonts w:ascii="Times New Roman"/>
          <w:snapToGrid w:val="0"/>
          <w:color w:val="auto"/>
          <w:sz w:val="30"/>
          <w:szCs w:val="30"/>
        </w:rPr>
        <w:t>二、建设项目工程分析</w:t>
      </w:r>
      <w:bookmarkEnd w:id="3"/>
      <w:bookmarkEnd w:id="4"/>
    </w:p>
    <w:tbl>
      <w:tblPr>
        <w:tblStyle w:val="37"/>
        <w:tblW w:w="9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48"/>
      </w:tblGrid>
      <w:tr w14:paraId="418A3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1" w:hRule="atLeast"/>
          <w:jc w:val="center"/>
        </w:trPr>
        <w:tc>
          <w:tcPr>
            <w:tcW w:w="456" w:type="dxa"/>
            <w:vAlign w:val="center"/>
          </w:tcPr>
          <w:p w14:paraId="1617CD6D">
            <w:pPr>
              <w:pStyle w:val="32"/>
              <w:adjustRightInd w:val="0"/>
              <w:snapToGrid w:val="0"/>
              <w:spacing w:before="0" w:beforeAutospacing="0" w:after="0" w:afterAutospacing="0"/>
              <w:jc w:val="center"/>
              <w:rPr>
                <w:rFonts w:ascii="Times New Roman" w:hAnsi="Times New Roman"/>
                <w:color w:val="auto"/>
                <w:sz w:val="21"/>
                <w:szCs w:val="21"/>
              </w:rPr>
            </w:pPr>
            <w:r>
              <w:rPr>
                <w:rFonts w:ascii="Times New Roman"/>
                <w:color w:val="auto"/>
                <w:szCs w:val="24"/>
              </w:rPr>
              <w:t>建设内容</w:t>
            </w:r>
          </w:p>
        </w:tc>
        <w:tc>
          <w:tcPr>
            <w:tcW w:w="8748" w:type="dxa"/>
          </w:tcPr>
          <w:p w14:paraId="524D8C91">
            <w:pPr>
              <w:adjustRightInd w:val="0"/>
              <w:snapToGrid w:val="0"/>
              <w:spacing w:line="440" w:lineRule="exact"/>
              <w:rPr>
                <w:rFonts w:hAnsi="宋体"/>
                <w:b/>
                <w:color w:val="auto"/>
                <w:sz w:val="24"/>
              </w:rPr>
            </w:pPr>
            <w:r>
              <w:rPr>
                <w:rFonts w:hint="eastAsia" w:hAnsi="宋体"/>
                <w:b/>
                <w:color w:val="auto"/>
                <w:sz w:val="24"/>
              </w:rPr>
              <w:t>2.1 本项目工程分析</w:t>
            </w:r>
          </w:p>
          <w:p w14:paraId="4F4355D1">
            <w:pPr>
              <w:adjustRightInd w:val="0"/>
              <w:snapToGrid w:val="0"/>
              <w:spacing w:line="440" w:lineRule="exact"/>
              <w:rPr>
                <w:b/>
                <w:color w:val="auto"/>
                <w:sz w:val="24"/>
              </w:rPr>
            </w:pPr>
            <w:r>
              <w:rPr>
                <w:rFonts w:hint="eastAsia" w:hAnsi="宋体"/>
                <w:b/>
                <w:color w:val="auto"/>
                <w:sz w:val="24"/>
              </w:rPr>
              <w:t>2.1.1</w:t>
            </w:r>
            <w:r>
              <w:rPr>
                <w:rFonts w:hAnsi="宋体"/>
                <w:b/>
                <w:color w:val="auto"/>
                <w:sz w:val="24"/>
              </w:rPr>
              <w:t>主要建设内容</w:t>
            </w:r>
          </w:p>
          <w:p w14:paraId="325426BB">
            <w:pPr>
              <w:adjustRightInd w:val="0"/>
              <w:snapToGrid w:val="0"/>
              <w:spacing w:line="440" w:lineRule="exact"/>
              <w:ind w:firstLine="480" w:firstLineChars="200"/>
              <w:rPr>
                <w:rFonts w:hAnsi="宋体"/>
                <w:color w:val="auto"/>
                <w:sz w:val="24"/>
              </w:rPr>
            </w:pPr>
            <w:r>
              <w:rPr>
                <w:rFonts w:hint="eastAsia" w:cs="Times New Roman"/>
                <w:color w:val="auto"/>
                <w:sz w:val="24"/>
                <w:lang w:val="en-US" w:eastAsia="zh-CN"/>
              </w:rPr>
              <w:t>安吉联红五金制品厂租用安吉恒铭家具有限公司位于安吉县天荒坪镇白水湾工业园区的闲置厂房实施家具塑料配件和家具金属配件的生产。2020年07月，企业委托杭州竞陵环保科技有限公司编制完成《安吉联红五金制品厂年产100万套家具塑料配件、30万套家具金属配件建设项目环境影响报告表》并于2020年08月通过湖州市生态环境局安吉分局审批（湖安环建2020]99号）。</w:t>
            </w:r>
            <w:r>
              <w:rPr>
                <w:rFonts w:hint="eastAsia" w:ascii="Times New Roman" w:hAnsi="宋体" w:cs="Times New Roman"/>
                <w:color w:val="auto"/>
                <w:sz w:val="24"/>
                <w:szCs w:val="24"/>
              </w:rPr>
              <w:t>202</w:t>
            </w:r>
            <w:r>
              <w:rPr>
                <w:rFonts w:hint="eastAsia" w:ascii="Times New Roman" w:hAnsi="宋体" w:cs="Times New Roman"/>
                <w:color w:val="auto"/>
                <w:sz w:val="24"/>
                <w:szCs w:val="24"/>
                <w:lang w:val="en-US" w:eastAsia="zh-CN"/>
              </w:rPr>
              <w:t>0</w:t>
            </w:r>
            <w:r>
              <w:rPr>
                <w:rFonts w:hint="eastAsia" w:ascii="Times New Roman" w:hAnsi="宋体" w:cs="Times New Roman"/>
                <w:color w:val="auto"/>
                <w:sz w:val="24"/>
                <w:szCs w:val="24"/>
              </w:rPr>
              <w:t>年</w:t>
            </w:r>
            <w:r>
              <w:rPr>
                <w:rFonts w:hint="eastAsia" w:ascii="Times New Roman" w:hAnsi="宋体" w:cs="Times New Roman"/>
                <w:color w:val="auto"/>
                <w:sz w:val="24"/>
                <w:szCs w:val="24"/>
                <w:lang w:val="en-US" w:eastAsia="zh-CN"/>
              </w:rPr>
              <w:t>9</w:t>
            </w:r>
            <w:r>
              <w:rPr>
                <w:rFonts w:hint="eastAsia" w:ascii="Times New Roman" w:hAnsi="宋体" w:cs="Times New Roman"/>
                <w:color w:val="auto"/>
                <w:sz w:val="24"/>
                <w:szCs w:val="24"/>
              </w:rPr>
              <w:t>月，企业组织验收小组，完成了该项目环境保护设施</w:t>
            </w:r>
            <w:r>
              <w:rPr>
                <w:color w:val="auto"/>
                <w:sz w:val="24"/>
              </w:rPr>
              <w:t>自主验收</w:t>
            </w:r>
            <w:r>
              <w:rPr>
                <w:rFonts w:hint="eastAsia"/>
                <w:color w:val="auto"/>
                <w:sz w:val="24"/>
                <w:lang w:eastAsia="zh-CN"/>
              </w:rPr>
              <w:t>，</w:t>
            </w:r>
            <w:r>
              <w:rPr>
                <w:rFonts w:hint="eastAsia" w:hAnsi="宋体" w:eastAsia="宋体"/>
                <w:bCs/>
                <w:color w:val="auto"/>
                <w:sz w:val="24"/>
                <w:lang w:val="zh-CN" w:eastAsia="zh-CN"/>
              </w:rPr>
              <w:t>企业于2020年</w:t>
            </w:r>
            <w:r>
              <w:rPr>
                <w:rFonts w:hint="eastAsia" w:hAnsi="宋体" w:eastAsia="宋体"/>
                <w:bCs/>
                <w:color w:val="auto"/>
                <w:sz w:val="24"/>
                <w:lang w:val="en-US" w:eastAsia="zh-CN"/>
              </w:rPr>
              <w:t>4</w:t>
            </w:r>
            <w:r>
              <w:rPr>
                <w:rFonts w:hint="eastAsia" w:hAnsi="宋体" w:eastAsia="宋体"/>
                <w:bCs/>
                <w:color w:val="auto"/>
                <w:sz w:val="24"/>
                <w:lang w:val="zh-CN" w:eastAsia="zh-CN"/>
              </w:rPr>
              <w:t>月</w:t>
            </w:r>
            <w:r>
              <w:rPr>
                <w:rFonts w:hint="eastAsia" w:hAnsi="宋体" w:eastAsia="宋体"/>
                <w:bCs/>
                <w:color w:val="auto"/>
                <w:sz w:val="24"/>
                <w:lang w:val="en-US" w:eastAsia="zh-CN"/>
              </w:rPr>
              <w:t>12</w:t>
            </w:r>
            <w:r>
              <w:rPr>
                <w:rFonts w:hint="eastAsia" w:hAnsi="宋体" w:eastAsia="宋体"/>
                <w:bCs/>
                <w:color w:val="auto"/>
                <w:sz w:val="24"/>
                <w:lang w:val="zh-CN" w:eastAsia="zh-CN"/>
              </w:rPr>
              <w:t>日完成排污登记，登记编号：91330523L18376201N001W。</w:t>
            </w:r>
            <w:r>
              <w:rPr>
                <w:rFonts w:hint="eastAsia"/>
                <w:color w:val="auto"/>
                <w:sz w:val="24"/>
              </w:rPr>
              <w:t>有效期为2020年</w:t>
            </w:r>
            <w:r>
              <w:rPr>
                <w:rFonts w:hint="eastAsia"/>
                <w:color w:val="auto"/>
                <w:sz w:val="24"/>
                <w:lang w:val="en-US" w:eastAsia="zh-CN"/>
              </w:rPr>
              <w:t>4</w:t>
            </w:r>
            <w:r>
              <w:rPr>
                <w:rFonts w:hint="eastAsia"/>
                <w:color w:val="auto"/>
                <w:sz w:val="24"/>
              </w:rPr>
              <w:t>月</w:t>
            </w:r>
            <w:r>
              <w:rPr>
                <w:rFonts w:hint="eastAsia"/>
                <w:color w:val="auto"/>
                <w:sz w:val="24"/>
                <w:lang w:val="en-US" w:eastAsia="zh-CN"/>
              </w:rPr>
              <w:t>12</w:t>
            </w:r>
            <w:r>
              <w:rPr>
                <w:rFonts w:hint="eastAsia"/>
                <w:color w:val="auto"/>
                <w:sz w:val="24"/>
              </w:rPr>
              <w:t>日至2025年</w:t>
            </w:r>
            <w:r>
              <w:rPr>
                <w:rFonts w:hint="eastAsia"/>
                <w:color w:val="auto"/>
                <w:sz w:val="24"/>
                <w:lang w:val="en-US" w:eastAsia="zh-CN"/>
              </w:rPr>
              <w:t>4</w:t>
            </w:r>
            <w:r>
              <w:rPr>
                <w:rFonts w:hint="eastAsia"/>
                <w:color w:val="auto"/>
                <w:sz w:val="24"/>
              </w:rPr>
              <w:t>月</w:t>
            </w:r>
            <w:r>
              <w:rPr>
                <w:rFonts w:hint="eastAsia"/>
                <w:color w:val="auto"/>
                <w:sz w:val="24"/>
                <w:lang w:val="en-US" w:eastAsia="zh-CN"/>
              </w:rPr>
              <w:t>11</w:t>
            </w:r>
            <w:r>
              <w:rPr>
                <w:rFonts w:hint="eastAsia"/>
                <w:color w:val="auto"/>
                <w:sz w:val="24"/>
              </w:rPr>
              <w:t>日。</w:t>
            </w:r>
          </w:p>
          <w:p w14:paraId="697BB9E8">
            <w:pPr>
              <w:adjustRightInd w:val="0"/>
              <w:snapToGrid w:val="0"/>
              <w:spacing w:line="440" w:lineRule="exact"/>
              <w:ind w:firstLine="480" w:firstLineChars="200"/>
              <w:rPr>
                <w:rFonts w:hAnsi="宋体"/>
                <w:color w:val="auto"/>
                <w:sz w:val="24"/>
              </w:rPr>
            </w:pPr>
            <w:r>
              <w:rPr>
                <w:rFonts w:hint="eastAsia" w:hAnsi="宋体"/>
                <w:color w:val="auto"/>
                <w:sz w:val="24"/>
                <w:lang w:val="en-US" w:eastAsia="zh-CN"/>
              </w:rPr>
              <w:t>因发展原因，企业</w:t>
            </w:r>
            <w:r>
              <w:rPr>
                <w:rFonts w:hint="eastAsia" w:hAnsi="宋体"/>
                <w:color w:val="auto"/>
                <w:sz w:val="24"/>
              </w:rPr>
              <w:t>拟租赁</w:t>
            </w:r>
            <w:r>
              <w:rPr>
                <w:rFonts w:hint="eastAsia"/>
                <w:color w:val="auto"/>
                <w:sz w:val="24"/>
                <w:lang w:eastAsia="zh-CN"/>
              </w:rPr>
              <w:t>安吉县春风木制品厂</w:t>
            </w:r>
            <w:r>
              <w:rPr>
                <w:rFonts w:hint="eastAsia" w:hAnsi="宋体"/>
                <w:color w:val="auto"/>
                <w:sz w:val="24"/>
              </w:rPr>
              <w:t>位于</w:t>
            </w:r>
            <w:r>
              <w:rPr>
                <w:color w:val="auto"/>
                <w:sz w:val="24"/>
              </w:rPr>
              <w:t>安吉县</w:t>
            </w:r>
            <w:r>
              <w:rPr>
                <w:rFonts w:hint="eastAsia"/>
                <w:color w:val="auto"/>
                <w:sz w:val="24"/>
                <w:lang w:eastAsia="zh-CN"/>
              </w:rPr>
              <w:t>天荒坪镇白水湾工业园区</w:t>
            </w:r>
            <w:r>
              <w:rPr>
                <w:rFonts w:hint="eastAsia" w:hAnsi="宋体"/>
                <w:color w:val="auto"/>
                <w:sz w:val="24"/>
              </w:rPr>
              <w:t>的闲置厂房</w:t>
            </w:r>
            <w:r>
              <w:rPr>
                <w:rFonts w:hint="eastAsia" w:hAnsi="宋体"/>
                <w:color w:val="auto"/>
                <w:sz w:val="24"/>
                <w:lang w:val="en-US" w:eastAsia="zh-CN"/>
              </w:rPr>
              <w:t>2500m</w:t>
            </w:r>
            <w:r>
              <w:rPr>
                <w:rFonts w:hint="eastAsia" w:hAnsi="宋体"/>
                <w:color w:val="auto"/>
                <w:sz w:val="24"/>
                <w:vertAlign w:val="superscript"/>
                <w:lang w:val="en-US" w:eastAsia="zh-CN"/>
              </w:rPr>
              <w:t>2</w:t>
            </w:r>
            <w:r>
              <w:rPr>
                <w:rFonts w:hint="eastAsia" w:hAnsi="宋体"/>
                <w:color w:val="auto"/>
                <w:sz w:val="24"/>
              </w:rPr>
              <w:t>，</w:t>
            </w:r>
            <w:r>
              <w:rPr>
                <w:rFonts w:hint="eastAsia" w:hAnsi="宋体"/>
                <w:color w:val="auto"/>
                <w:sz w:val="24"/>
                <w:lang w:eastAsia="zh-CN"/>
              </w:rPr>
              <w:t>进行生产</w:t>
            </w:r>
            <w:r>
              <w:rPr>
                <w:rFonts w:hint="eastAsia" w:hAnsi="宋体"/>
                <w:color w:val="auto"/>
                <w:sz w:val="24"/>
              </w:rPr>
              <w:t>，</w:t>
            </w:r>
            <w:r>
              <w:rPr>
                <w:rFonts w:hint="eastAsia" w:hAnsi="宋体"/>
                <w:color w:val="auto"/>
                <w:sz w:val="24"/>
                <w:lang w:eastAsia="zh-CN"/>
              </w:rPr>
              <w:t>搬迁后不新增设备，生产内容保持不变，建成投产后仍保持年产</w:t>
            </w:r>
            <w:r>
              <w:rPr>
                <w:rFonts w:hint="eastAsia" w:hAnsi="宋体"/>
                <w:color w:val="auto"/>
                <w:sz w:val="24"/>
                <w:lang w:val="en-US" w:eastAsia="zh-CN"/>
              </w:rPr>
              <w:t>100万套塑料配件、30万套五金配件</w:t>
            </w:r>
            <w:r>
              <w:rPr>
                <w:rFonts w:hint="eastAsia" w:hAnsi="宋体"/>
                <w:color w:val="auto"/>
                <w:sz w:val="24"/>
              </w:rPr>
              <w:t>的</w:t>
            </w:r>
            <w:r>
              <w:rPr>
                <w:rFonts w:hint="eastAsia" w:hAnsi="宋体"/>
                <w:color w:val="auto"/>
                <w:sz w:val="24"/>
                <w:lang w:eastAsia="zh-CN"/>
              </w:rPr>
              <w:t>生产规模不变，</w:t>
            </w:r>
            <w:r>
              <w:rPr>
                <w:rFonts w:hAnsi="宋体"/>
                <w:color w:val="auto"/>
                <w:sz w:val="24"/>
              </w:rPr>
              <w:t>该项目经</w:t>
            </w:r>
            <w:r>
              <w:rPr>
                <w:rFonts w:hint="eastAsia" w:hAnsi="宋体"/>
                <w:color w:val="auto"/>
                <w:sz w:val="24"/>
              </w:rPr>
              <w:t>安吉县经济和信息化局</w:t>
            </w:r>
            <w:r>
              <w:rPr>
                <w:rFonts w:hAnsi="宋体"/>
                <w:color w:val="auto"/>
                <w:sz w:val="24"/>
              </w:rPr>
              <w:t>出具项目备案通知书，项目</w:t>
            </w:r>
            <w:r>
              <w:rPr>
                <w:rFonts w:hint="eastAsia" w:hAnsi="宋体"/>
                <w:color w:val="auto"/>
                <w:sz w:val="24"/>
              </w:rPr>
              <w:t>备案通知书</w:t>
            </w:r>
            <w:r>
              <w:rPr>
                <w:rFonts w:hAnsi="宋体"/>
                <w:color w:val="auto"/>
                <w:sz w:val="24"/>
              </w:rPr>
              <w:t>代码：</w:t>
            </w:r>
            <w:r>
              <w:rPr>
                <w:rFonts w:hint="eastAsia"/>
                <w:color w:val="FF0000"/>
                <w:sz w:val="24"/>
                <w:lang w:eastAsia="zh-CN"/>
              </w:rPr>
              <w:t>2307-330523-07-02-497309</w:t>
            </w:r>
            <w:r>
              <w:rPr>
                <w:rFonts w:hint="eastAsia" w:hAnsi="宋体"/>
                <w:color w:val="auto"/>
                <w:sz w:val="24"/>
              </w:rPr>
              <w:t>。</w:t>
            </w:r>
          </w:p>
          <w:p w14:paraId="7910D98A">
            <w:pPr>
              <w:adjustRightInd w:val="0"/>
              <w:snapToGrid w:val="0"/>
              <w:spacing w:line="440" w:lineRule="exact"/>
              <w:ind w:firstLine="480" w:firstLineChars="200"/>
              <w:rPr>
                <w:color w:val="auto"/>
                <w:sz w:val="24"/>
              </w:rPr>
            </w:pPr>
            <w:r>
              <w:rPr>
                <w:rFonts w:hint="eastAsia" w:hAnsi="宋体"/>
                <w:color w:val="auto"/>
                <w:sz w:val="24"/>
              </w:rPr>
              <w:t>项目</w:t>
            </w:r>
            <w:r>
              <w:rPr>
                <w:rFonts w:hAnsi="宋体"/>
                <w:color w:val="auto"/>
                <w:sz w:val="24"/>
              </w:rPr>
              <w:t>主要建设内容见表</w:t>
            </w:r>
            <w:r>
              <w:rPr>
                <w:color w:val="auto"/>
                <w:sz w:val="24"/>
              </w:rPr>
              <w:t>2-</w:t>
            </w:r>
            <w:r>
              <w:rPr>
                <w:rFonts w:hint="eastAsia"/>
                <w:color w:val="auto"/>
                <w:sz w:val="24"/>
              </w:rPr>
              <w:t>1</w:t>
            </w:r>
            <w:r>
              <w:rPr>
                <w:rFonts w:hAnsi="宋体"/>
                <w:color w:val="auto"/>
                <w:sz w:val="24"/>
              </w:rPr>
              <w:t>。</w:t>
            </w:r>
          </w:p>
          <w:p w14:paraId="657785D3">
            <w:pPr>
              <w:pStyle w:val="119"/>
              <w:rPr>
                <w:rFonts w:hAnsi="宋体" w:eastAsia="宋体"/>
                <w:color w:val="auto"/>
              </w:rPr>
            </w:pPr>
            <w:r>
              <w:rPr>
                <w:rFonts w:hAnsi="宋体" w:eastAsia="宋体"/>
                <w:color w:val="auto"/>
              </w:rPr>
              <w:t>表</w:t>
            </w:r>
            <w:r>
              <w:rPr>
                <w:rFonts w:eastAsia="宋体"/>
                <w:color w:val="auto"/>
              </w:rPr>
              <w:t>2-</w:t>
            </w:r>
            <w:r>
              <w:rPr>
                <w:rFonts w:hint="eastAsia" w:eastAsia="宋体"/>
                <w:color w:val="auto"/>
              </w:rPr>
              <w:t>1</w:t>
            </w:r>
            <w:r>
              <w:rPr>
                <w:rFonts w:eastAsia="宋体"/>
                <w:color w:val="auto"/>
              </w:rPr>
              <w:t xml:space="preserve">  </w:t>
            </w:r>
            <w:r>
              <w:rPr>
                <w:rFonts w:hint="eastAsia" w:eastAsia="宋体"/>
                <w:color w:val="auto"/>
              </w:rPr>
              <w:t>项目</w:t>
            </w:r>
            <w:r>
              <w:rPr>
                <w:rFonts w:hAnsi="宋体" w:eastAsia="宋体"/>
                <w:color w:val="auto"/>
              </w:rPr>
              <w:t>主要建设内容</w:t>
            </w:r>
          </w:p>
          <w:tbl>
            <w:tblPr>
              <w:tblStyle w:val="3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477"/>
              <w:gridCol w:w="6342"/>
            </w:tblGrid>
            <w:tr w14:paraId="3893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3" w:type="dxa"/>
                  <w:gridSpan w:val="2"/>
                  <w:vAlign w:val="center"/>
                </w:tcPr>
                <w:p w14:paraId="27DBC8C5">
                  <w:pPr>
                    <w:jc w:val="center"/>
                    <w:rPr>
                      <w:b/>
                      <w:color w:val="auto"/>
                      <w:szCs w:val="21"/>
                    </w:rPr>
                  </w:pPr>
                  <w:r>
                    <w:rPr>
                      <w:rFonts w:hAnsi="宋体"/>
                      <w:b/>
                      <w:color w:val="auto"/>
                      <w:szCs w:val="21"/>
                    </w:rPr>
                    <w:t>项目名称</w:t>
                  </w:r>
                </w:p>
              </w:tc>
              <w:tc>
                <w:tcPr>
                  <w:tcW w:w="6342" w:type="dxa"/>
                  <w:vAlign w:val="center"/>
                </w:tcPr>
                <w:p w14:paraId="53CF6DD3">
                  <w:pPr>
                    <w:jc w:val="center"/>
                    <w:rPr>
                      <w:rFonts w:hint="eastAsia" w:eastAsia="宋体"/>
                      <w:b/>
                      <w:color w:val="auto"/>
                      <w:szCs w:val="21"/>
                      <w:lang w:eastAsia="zh-CN"/>
                    </w:rPr>
                  </w:pPr>
                  <w:r>
                    <w:rPr>
                      <w:rFonts w:hint="eastAsia"/>
                      <w:color w:val="auto"/>
                      <w:szCs w:val="21"/>
                      <w:lang w:eastAsia="zh-CN"/>
                    </w:rPr>
                    <w:t>年产100万套塑料配件、30万套五金配件迁建项目</w:t>
                  </w:r>
                </w:p>
              </w:tc>
            </w:tr>
            <w:tr w14:paraId="0FCE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3" w:type="dxa"/>
                  <w:gridSpan w:val="2"/>
                  <w:vAlign w:val="center"/>
                </w:tcPr>
                <w:p w14:paraId="6DEC17D4">
                  <w:pPr>
                    <w:jc w:val="center"/>
                    <w:rPr>
                      <w:rFonts w:hAnsi="宋体"/>
                      <w:b/>
                      <w:color w:val="auto"/>
                      <w:szCs w:val="21"/>
                    </w:rPr>
                  </w:pPr>
                  <w:r>
                    <w:rPr>
                      <w:b/>
                      <w:bCs/>
                      <w:color w:val="auto"/>
                      <w:szCs w:val="21"/>
                    </w:rPr>
                    <w:t>建设单位</w:t>
                  </w:r>
                </w:p>
              </w:tc>
              <w:tc>
                <w:tcPr>
                  <w:tcW w:w="6342" w:type="dxa"/>
                  <w:vAlign w:val="center"/>
                </w:tcPr>
                <w:p w14:paraId="36460EC3">
                  <w:pPr>
                    <w:jc w:val="center"/>
                    <w:rPr>
                      <w:rFonts w:hint="eastAsia" w:hAnsi="宋体" w:eastAsia="宋体"/>
                      <w:b/>
                      <w:color w:val="auto"/>
                      <w:szCs w:val="21"/>
                      <w:lang w:eastAsia="zh-CN"/>
                    </w:rPr>
                  </w:pPr>
                  <w:r>
                    <w:rPr>
                      <w:rFonts w:hint="eastAsia"/>
                      <w:color w:val="auto"/>
                      <w:szCs w:val="21"/>
                      <w:lang w:eastAsia="zh-CN"/>
                    </w:rPr>
                    <w:t>安吉联红五金制品厂</w:t>
                  </w:r>
                </w:p>
              </w:tc>
            </w:tr>
            <w:tr w14:paraId="57AE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3" w:type="dxa"/>
                  <w:gridSpan w:val="2"/>
                  <w:vAlign w:val="center"/>
                </w:tcPr>
                <w:p w14:paraId="4ACA616E">
                  <w:pPr>
                    <w:jc w:val="center"/>
                    <w:rPr>
                      <w:b/>
                      <w:bCs/>
                      <w:color w:val="auto"/>
                      <w:szCs w:val="21"/>
                    </w:rPr>
                  </w:pPr>
                  <w:r>
                    <w:rPr>
                      <w:b/>
                      <w:bCs/>
                      <w:color w:val="auto"/>
                      <w:szCs w:val="21"/>
                    </w:rPr>
                    <w:t>项目总投资</w:t>
                  </w:r>
                </w:p>
              </w:tc>
              <w:tc>
                <w:tcPr>
                  <w:tcW w:w="6342" w:type="dxa"/>
                  <w:vAlign w:val="center"/>
                </w:tcPr>
                <w:p w14:paraId="0EE40776">
                  <w:pPr>
                    <w:jc w:val="center"/>
                    <w:rPr>
                      <w:color w:val="auto"/>
                      <w:szCs w:val="21"/>
                    </w:rPr>
                  </w:pPr>
                  <w:r>
                    <w:rPr>
                      <w:rFonts w:hint="eastAsia"/>
                      <w:color w:val="auto"/>
                      <w:szCs w:val="21"/>
                      <w:lang w:val="en-US" w:eastAsia="zh-CN"/>
                    </w:rPr>
                    <w:t>700</w:t>
                  </w:r>
                  <w:r>
                    <w:rPr>
                      <w:rFonts w:hint="eastAsia"/>
                      <w:color w:val="auto"/>
                      <w:szCs w:val="21"/>
                    </w:rPr>
                    <w:t>万元</w:t>
                  </w:r>
                </w:p>
              </w:tc>
            </w:tr>
            <w:tr w14:paraId="3A47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restart"/>
                  <w:vAlign w:val="center"/>
                </w:tcPr>
                <w:p w14:paraId="16D104C2">
                  <w:pPr>
                    <w:jc w:val="center"/>
                    <w:rPr>
                      <w:rFonts w:hAnsi="宋体"/>
                      <w:color w:val="auto"/>
                      <w:szCs w:val="21"/>
                    </w:rPr>
                  </w:pPr>
                  <w:r>
                    <w:rPr>
                      <w:rFonts w:hAnsi="宋体"/>
                      <w:color w:val="auto"/>
                      <w:szCs w:val="21"/>
                    </w:rPr>
                    <w:t>主体</w:t>
                  </w:r>
                </w:p>
                <w:p w14:paraId="210422A5">
                  <w:pPr>
                    <w:jc w:val="center"/>
                    <w:rPr>
                      <w:color w:val="auto"/>
                      <w:szCs w:val="21"/>
                    </w:rPr>
                  </w:pPr>
                  <w:r>
                    <w:rPr>
                      <w:rFonts w:hAnsi="宋体"/>
                      <w:color w:val="auto"/>
                      <w:szCs w:val="21"/>
                    </w:rPr>
                    <w:t>工程</w:t>
                  </w:r>
                </w:p>
              </w:tc>
              <w:tc>
                <w:tcPr>
                  <w:tcW w:w="1477" w:type="dxa"/>
                  <w:vMerge w:val="restart"/>
                  <w:vAlign w:val="center"/>
                </w:tcPr>
                <w:p w14:paraId="3F63C0AE">
                  <w:pPr>
                    <w:jc w:val="center"/>
                    <w:rPr>
                      <w:color w:val="auto"/>
                      <w:szCs w:val="21"/>
                    </w:rPr>
                  </w:pPr>
                  <w:r>
                    <w:rPr>
                      <w:rFonts w:hint="eastAsia"/>
                      <w:color w:val="auto"/>
                      <w:szCs w:val="21"/>
                    </w:rPr>
                    <w:t>1#生产厂房</w:t>
                  </w:r>
                </w:p>
                <w:p w14:paraId="12E701C3">
                  <w:pPr>
                    <w:pStyle w:val="2"/>
                    <w:ind w:firstLine="0" w:firstLineChars="0"/>
                    <w:jc w:val="center"/>
                    <w:rPr>
                      <w:color w:val="auto"/>
                    </w:rPr>
                  </w:pPr>
                  <w:r>
                    <w:rPr>
                      <w:rFonts w:hint="eastAsia"/>
                      <w:color w:val="auto"/>
                    </w:rPr>
                    <w:t>（共5层，本项目租用</w:t>
                  </w:r>
                  <w:r>
                    <w:rPr>
                      <w:rFonts w:hint="eastAsia"/>
                      <w:color w:val="auto"/>
                      <w:lang w:val="en-US" w:eastAsia="zh-CN"/>
                    </w:rPr>
                    <w:t>1</w:t>
                  </w:r>
                  <w:r>
                    <w:rPr>
                      <w:rFonts w:hint="eastAsia"/>
                      <w:color w:val="auto"/>
                    </w:rPr>
                    <w:t>层）</w:t>
                  </w:r>
                </w:p>
              </w:tc>
              <w:tc>
                <w:tcPr>
                  <w:tcW w:w="6342" w:type="dxa"/>
                  <w:vAlign w:val="center"/>
                </w:tcPr>
                <w:p w14:paraId="3839EA06">
                  <w:pPr>
                    <w:jc w:val="left"/>
                    <w:rPr>
                      <w:rFonts w:hint="eastAsia" w:eastAsia="宋体"/>
                      <w:color w:val="auto"/>
                      <w:szCs w:val="21"/>
                      <w:lang w:eastAsia="zh-CN"/>
                    </w:rPr>
                  </w:pPr>
                  <w:r>
                    <w:rPr>
                      <w:rFonts w:hint="eastAsia"/>
                      <w:color w:val="auto"/>
                      <w:szCs w:val="21"/>
                      <w:lang w:val="en-US" w:eastAsia="zh-CN"/>
                    </w:rPr>
                    <w:t>1</w:t>
                  </w:r>
                  <w:r>
                    <w:rPr>
                      <w:rFonts w:hint="eastAsia"/>
                      <w:color w:val="auto"/>
                      <w:szCs w:val="21"/>
                    </w:rPr>
                    <w:t>层设置有</w:t>
                  </w:r>
                  <w:r>
                    <w:rPr>
                      <w:rFonts w:hint="eastAsia"/>
                      <w:color w:val="auto"/>
                      <w:szCs w:val="21"/>
                      <w:lang w:eastAsia="zh-CN"/>
                    </w:rPr>
                    <w:t>办公区域、五金车间、注塑车间、成品仓库及半成品仓库。</w:t>
                  </w:r>
                </w:p>
              </w:tc>
            </w:tr>
            <w:tr w14:paraId="7136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vAlign w:val="center"/>
                </w:tcPr>
                <w:p w14:paraId="790263FC">
                  <w:pPr>
                    <w:jc w:val="center"/>
                    <w:rPr>
                      <w:rFonts w:hAnsi="宋体"/>
                      <w:color w:val="auto"/>
                      <w:szCs w:val="21"/>
                    </w:rPr>
                  </w:pPr>
                </w:p>
              </w:tc>
              <w:tc>
                <w:tcPr>
                  <w:tcW w:w="1477" w:type="dxa"/>
                  <w:vMerge w:val="continue"/>
                  <w:vAlign w:val="center"/>
                </w:tcPr>
                <w:p w14:paraId="3BD10086">
                  <w:pPr>
                    <w:jc w:val="center"/>
                    <w:rPr>
                      <w:color w:val="auto"/>
                      <w:szCs w:val="21"/>
                    </w:rPr>
                  </w:pPr>
                </w:p>
              </w:tc>
              <w:tc>
                <w:tcPr>
                  <w:tcW w:w="6342" w:type="dxa"/>
                  <w:vAlign w:val="center"/>
                </w:tcPr>
                <w:p w14:paraId="446451F4">
                  <w:pPr>
                    <w:jc w:val="left"/>
                    <w:rPr>
                      <w:color w:val="auto"/>
                      <w:szCs w:val="21"/>
                    </w:rPr>
                  </w:pPr>
                  <w:r>
                    <w:rPr>
                      <w:rFonts w:hint="eastAsia"/>
                      <w:color w:val="auto"/>
                      <w:szCs w:val="21"/>
                    </w:rPr>
                    <w:t>该1#生产厂房</w:t>
                  </w:r>
                  <w:r>
                    <w:rPr>
                      <w:rFonts w:hint="eastAsia"/>
                      <w:color w:val="auto"/>
                      <w:szCs w:val="21"/>
                      <w:lang w:val="en-US" w:eastAsia="zh-CN"/>
                    </w:rPr>
                    <w:t>2</w:t>
                  </w:r>
                  <w:r>
                    <w:rPr>
                      <w:rFonts w:hint="eastAsia"/>
                      <w:color w:val="auto"/>
                      <w:szCs w:val="21"/>
                    </w:rPr>
                    <w:t>～5层均为</w:t>
                  </w:r>
                  <w:r>
                    <w:rPr>
                      <w:rFonts w:hint="eastAsia"/>
                      <w:color w:val="auto"/>
                      <w:szCs w:val="21"/>
                      <w:lang w:eastAsia="zh-CN"/>
                    </w:rPr>
                    <w:t>安吉县春风木制品厂</w:t>
                  </w:r>
                  <w:r>
                    <w:rPr>
                      <w:rFonts w:hint="eastAsia"/>
                      <w:color w:val="auto"/>
                      <w:szCs w:val="21"/>
                    </w:rPr>
                    <w:t>生产车间，不属于本项目生产车间。</w:t>
                  </w:r>
                </w:p>
              </w:tc>
            </w:tr>
            <w:tr w14:paraId="0493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vAlign w:val="center"/>
                </w:tcPr>
                <w:p w14:paraId="7DBCDA22">
                  <w:pPr>
                    <w:jc w:val="center"/>
                    <w:rPr>
                      <w:rFonts w:hAnsi="宋体"/>
                      <w:color w:val="auto"/>
                      <w:szCs w:val="21"/>
                    </w:rPr>
                  </w:pPr>
                </w:p>
              </w:tc>
              <w:tc>
                <w:tcPr>
                  <w:tcW w:w="1477" w:type="dxa"/>
                  <w:vAlign w:val="center"/>
                </w:tcPr>
                <w:p w14:paraId="22321C53">
                  <w:pPr>
                    <w:jc w:val="center"/>
                    <w:rPr>
                      <w:color w:val="auto"/>
                      <w:szCs w:val="21"/>
                    </w:rPr>
                  </w:pPr>
                  <w:r>
                    <w:rPr>
                      <w:rFonts w:hint="eastAsia"/>
                      <w:color w:val="auto"/>
                      <w:szCs w:val="21"/>
                    </w:rPr>
                    <w:t>一般固废仓库</w:t>
                  </w:r>
                </w:p>
              </w:tc>
              <w:tc>
                <w:tcPr>
                  <w:tcW w:w="6342" w:type="dxa"/>
                  <w:vAlign w:val="center"/>
                </w:tcPr>
                <w:p w14:paraId="40FEB1B6">
                  <w:pPr>
                    <w:jc w:val="left"/>
                    <w:rPr>
                      <w:color w:val="auto"/>
                      <w:szCs w:val="21"/>
                    </w:rPr>
                  </w:pPr>
                  <w:r>
                    <w:rPr>
                      <w:rFonts w:hint="eastAsia"/>
                      <w:color w:val="auto"/>
                      <w:szCs w:val="21"/>
                    </w:rPr>
                    <w:t>项目一般固废仓库位于</w:t>
                  </w:r>
                  <w:r>
                    <w:rPr>
                      <w:rFonts w:hint="eastAsia"/>
                      <w:color w:val="auto"/>
                      <w:szCs w:val="21"/>
                      <w:lang w:val="en-US" w:eastAsia="zh-CN"/>
                    </w:rPr>
                    <w:t>1</w:t>
                  </w:r>
                  <w:r>
                    <w:rPr>
                      <w:rFonts w:hint="eastAsia"/>
                      <w:color w:val="auto"/>
                      <w:szCs w:val="21"/>
                    </w:rPr>
                    <w:t>层车间内部</w:t>
                  </w:r>
                  <w:r>
                    <w:rPr>
                      <w:rFonts w:hint="eastAsia"/>
                      <w:color w:val="auto"/>
                      <w:szCs w:val="21"/>
                      <w:lang w:eastAsia="zh-CN"/>
                    </w:rPr>
                    <w:t>东北侧</w:t>
                  </w:r>
                  <w:r>
                    <w:rPr>
                      <w:rFonts w:hint="eastAsia"/>
                      <w:color w:val="auto"/>
                      <w:szCs w:val="21"/>
                    </w:rPr>
                    <w:t>区域。</w:t>
                  </w:r>
                </w:p>
              </w:tc>
            </w:tr>
            <w:tr w14:paraId="4E02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vAlign w:val="center"/>
                </w:tcPr>
                <w:p w14:paraId="3002F0EA">
                  <w:pPr>
                    <w:jc w:val="center"/>
                    <w:rPr>
                      <w:rFonts w:hAnsi="宋体"/>
                      <w:color w:val="auto"/>
                      <w:szCs w:val="21"/>
                    </w:rPr>
                  </w:pPr>
                </w:p>
              </w:tc>
              <w:tc>
                <w:tcPr>
                  <w:tcW w:w="1477" w:type="dxa"/>
                  <w:vAlign w:val="center"/>
                </w:tcPr>
                <w:p w14:paraId="494606B7">
                  <w:pPr>
                    <w:jc w:val="center"/>
                    <w:rPr>
                      <w:color w:val="auto"/>
                      <w:szCs w:val="21"/>
                    </w:rPr>
                  </w:pPr>
                  <w:r>
                    <w:rPr>
                      <w:rFonts w:hint="eastAsia"/>
                      <w:color w:val="auto"/>
                      <w:szCs w:val="21"/>
                    </w:rPr>
                    <w:t>危废仓库</w:t>
                  </w:r>
                </w:p>
              </w:tc>
              <w:tc>
                <w:tcPr>
                  <w:tcW w:w="6342" w:type="dxa"/>
                  <w:vAlign w:val="center"/>
                </w:tcPr>
                <w:p w14:paraId="1A559241">
                  <w:pPr>
                    <w:jc w:val="left"/>
                    <w:rPr>
                      <w:color w:val="auto"/>
                      <w:szCs w:val="21"/>
                    </w:rPr>
                  </w:pPr>
                  <w:r>
                    <w:rPr>
                      <w:rFonts w:hint="eastAsia"/>
                      <w:color w:val="auto"/>
                      <w:szCs w:val="21"/>
                    </w:rPr>
                    <w:t>项目设有1个10m</w:t>
                  </w:r>
                  <w:r>
                    <w:rPr>
                      <w:rFonts w:hint="eastAsia"/>
                      <w:color w:val="auto"/>
                      <w:szCs w:val="21"/>
                      <w:vertAlign w:val="superscript"/>
                    </w:rPr>
                    <w:t>2</w:t>
                  </w:r>
                  <w:r>
                    <w:rPr>
                      <w:rFonts w:hint="eastAsia"/>
                      <w:color w:val="auto"/>
                      <w:szCs w:val="21"/>
                    </w:rPr>
                    <w:t>危废仓库位于</w:t>
                  </w:r>
                  <w:r>
                    <w:rPr>
                      <w:rFonts w:hint="eastAsia"/>
                      <w:color w:val="auto"/>
                      <w:szCs w:val="21"/>
                      <w:lang w:val="en-US" w:eastAsia="zh-CN"/>
                    </w:rPr>
                    <w:t>1</w:t>
                  </w:r>
                  <w:r>
                    <w:rPr>
                      <w:rFonts w:hint="eastAsia"/>
                      <w:color w:val="auto"/>
                      <w:szCs w:val="21"/>
                    </w:rPr>
                    <w:t>层车间内部</w:t>
                  </w:r>
                  <w:r>
                    <w:rPr>
                      <w:rFonts w:hint="eastAsia"/>
                      <w:color w:val="auto"/>
                      <w:szCs w:val="21"/>
                      <w:lang w:eastAsia="zh-CN"/>
                    </w:rPr>
                    <w:t>东北侧</w:t>
                  </w:r>
                  <w:r>
                    <w:rPr>
                      <w:rFonts w:hint="eastAsia"/>
                      <w:color w:val="auto"/>
                      <w:szCs w:val="21"/>
                    </w:rPr>
                    <w:t>区域。</w:t>
                  </w:r>
                </w:p>
              </w:tc>
            </w:tr>
            <w:tr w14:paraId="54F7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restart"/>
                  <w:vAlign w:val="center"/>
                </w:tcPr>
                <w:p w14:paraId="3FC16DA7">
                  <w:pPr>
                    <w:jc w:val="center"/>
                    <w:rPr>
                      <w:rFonts w:hAnsi="宋体"/>
                      <w:color w:val="auto"/>
                      <w:szCs w:val="21"/>
                    </w:rPr>
                  </w:pPr>
                  <w:r>
                    <w:rPr>
                      <w:rFonts w:hAnsi="宋体"/>
                      <w:color w:val="auto"/>
                      <w:szCs w:val="21"/>
                    </w:rPr>
                    <w:t>公用</w:t>
                  </w:r>
                </w:p>
                <w:p w14:paraId="6885E6E2">
                  <w:pPr>
                    <w:jc w:val="center"/>
                    <w:rPr>
                      <w:color w:val="auto"/>
                      <w:szCs w:val="21"/>
                    </w:rPr>
                  </w:pPr>
                  <w:r>
                    <w:rPr>
                      <w:rFonts w:hAnsi="宋体"/>
                      <w:color w:val="auto"/>
                      <w:szCs w:val="21"/>
                    </w:rPr>
                    <w:t>工程</w:t>
                  </w:r>
                </w:p>
              </w:tc>
              <w:tc>
                <w:tcPr>
                  <w:tcW w:w="1477" w:type="dxa"/>
                  <w:vAlign w:val="center"/>
                </w:tcPr>
                <w:p w14:paraId="1D909088">
                  <w:pPr>
                    <w:jc w:val="center"/>
                    <w:rPr>
                      <w:color w:val="auto"/>
                      <w:szCs w:val="21"/>
                    </w:rPr>
                  </w:pPr>
                  <w:r>
                    <w:rPr>
                      <w:rFonts w:hAnsi="宋体"/>
                      <w:color w:val="auto"/>
                      <w:szCs w:val="21"/>
                    </w:rPr>
                    <w:t>给水</w:t>
                  </w:r>
                </w:p>
              </w:tc>
              <w:tc>
                <w:tcPr>
                  <w:tcW w:w="6342" w:type="dxa"/>
                  <w:vAlign w:val="center"/>
                </w:tcPr>
                <w:p w14:paraId="2E684157">
                  <w:pPr>
                    <w:jc w:val="left"/>
                    <w:rPr>
                      <w:color w:val="auto"/>
                      <w:szCs w:val="21"/>
                    </w:rPr>
                  </w:pPr>
                  <w:r>
                    <w:rPr>
                      <w:rFonts w:hAnsi="宋体"/>
                      <w:color w:val="auto"/>
                      <w:szCs w:val="21"/>
                    </w:rPr>
                    <w:t>项目给水均来自当地自来水厂进行供给</w:t>
                  </w:r>
                  <w:r>
                    <w:rPr>
                      <w:rFonts w:hint="eastAsia" w:hAnsi="宋体"/>
                      <w:color w:val="auto"/>
                      <w:szCs w:val="21"/>
                    </w:rPr>
                    <w:t>。</w:t>
                  </w:r>
                </w:p>
              </w:tc>
            </w:tr>
            <w:tr w14:paraId="6F9C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vAlign w:val="center"/>
                </w:tcPr>
                <w:p w14:paraId="3B967996">
                  <w:pPr>
                    <w:jc w:val="center"/>
                    <w:rPr>
                      <w:color w:val="auto"/>
                      <w:szCs w:val="21"/>
                    </w:rPr>
                  </w:pPr>
                </w:p>
              </w:tc>
              <w:tc>
                <w:tcPr>
                  <w:tcW w:w="1477" w:type="dxa"/>
                  <w:vMerge w:val="restart"/>
                  <w:vAlign w:val="center"/>
                </w:tcPr>
                <w:p w14:paraId="359BF9C7">
                  <w:pPr>
                    <w:jc w:val="center"/>
                    <w:rPr>
                      <w:color w:val="auto"/>
                      <w:szCs w:val="21"/>
                    </w:rPr>
                  </w:pPr>
                  <w:r>
                    <w:rPr>
                      <w:rFonts w:hAnsi="宋体"/>
                      <w:color w:val="auto"/>
                      <w:szCs w:val="21"/>
                    </w:rPr>
                    <w:t>排水</w:t>
                  </w:r>
                </w:p>
              </w:tc>
              <w:tc>
                <w:tcPr>
                  <w:tcW w:w="6342" w:type="dxa"/>
                  <w:vAlign w:val="center"/>
                </w:tcPr>
                <w:p w14:paraId="2F3475F5">
                  <w:pPr>
                    <w:jc w:val="left"/>
                    <w:rPr>
                      <w:rFonts w:hint="eastAsia" w:eastAsia="宋体"/>
                      <w:color w:val="auto"/>
                      <w:szCs w:val="21"/>
                      <w:lang w:eastAsia="zh-CN"/>
                    </w:rPr>
                  </w:pPr>
                  <w:r>
                    <w:rPr>
                      <w:rFonts w:hint="eastAsia" w:hAnsi="宋体"/>
                      <w:color w:val="auto"/>
                      <w:szCs w:val="21"/>
                      <w:lang w:eastAsia="zh-CN"/>
                    </w:rPr>
                    <w:t>厂区实行雨污分流，</w:t>
                  </w:r>
                  <w:r>
                    <w:rPr>
                      <w:rFonts w:hint="eastAsia" w:hAnsi="宋体"/>
                      <w:color w:val="auto"/>
                      <w:szCs w:val="21"/>
                    </w:rPr>
                    <w:t>生活污水经化粪池消化处理后通过污水管网排入安吉净源污水处理有限公司城北污水处理厂集中处理</w:t>
                  </w:r>
                  <w:r>
                    <w:rPr>
                      <w:rFonts w:hint="eastAsia" w:hAnsi="宋体"/>
                      <w:color w:val="auto"/>
                      <w:szCs w:val="21"/>
                      <w:lang w:eastAsia="zh-CN"/>
                    </w:rPr>
                    <w:t>；</w:t>
                  </w:r>
                </w:p>
              </w:tc>
            </w:tr>
            <w:tr w14:paraId="5F74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vAlign w:val="center"/>
                </w:tcPr>
                <w:p w14:paraId="6438B88C">
                  <w:pPr>
                    <w:jc w:val="center"/>
                    <w:rPr>
                      <w:color w:val="auto"/>
                      <w:szCs w:val="21"/>
                    </w:rPr>
                  </w:pPr>
                </w:p>
              </w:tc>
              <w:tc>
                <w:tcPr>
                  <w:tcW w:w="1477" w:type="dxa"/>
                  <w:vMerge w:val="continue"/>
                  <w:vAlign w:val="center"/>
                </w:tcPr>
                <w:p w14:paraId="0C95B7DD">
                  <w:pPr>
                    <w:jc w:val="center"/>
                    <w:rPr>
                      <w:color w:val="auto"/>
                      <w:szCs w:val="21"/>
                    </w:rPr>
                  </w:pPr>
                </w:p>
              </w:tc>
              <w:tc>
                <w:tcPr>
                  <w:tcW w:w="6342" w:type="dxa"/>
                  <w:vAlign w:val="center"/>
                </w:tcPr>
                <w:p w14:paraId="787C1F96">
                  <w:pPr>
                    <w:jc w:val="left"/>
                    <w:rPr>
                      <w:color w:val="auto"/>
                      <w:szCs w:val="21"/>
                    </w:rPr>
                  </w:pPr>
                  <w:r>
                    <w:rPr>
                      <w:rFonts w:hAnsi="宋体"/>
                      <w:color w:val="auto"/>
                      <w:szCs w:val="21"/>
                    </w:rPr>
                    <w:t>雨水排至</w:t>
                  </w:r>
                  <w:r>
                    <w:rPr>
                      <w:rFonts w:hint="eastAsia" w:hAnsi="宋体"/>
                      <w:color w:val="auto"/>
                      <w:szCs w:val="21"/>
                    </w:rPr>
                    <w:t>附近道路雨水管网。</w:t>
                  </w:r>
                </w:p>
              </w:tc>
            </w:tr>
            <w:tr w14:paraId="7764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vAlign w:val="center"/>
                </w:tcPr>
                <w:p w14:paraId="53F8E602">
                  <w:pPr>
                    <w:jc w:val="center"/>
                    <w:rPr>
                      <w:color w:val="auto"/>
                      <w:szCs w:val="21"/>
                    </w:rPr>
                  </w:pPr>
                </w:p>
              </w:tc>
              <w:tc>
                <w:tcPr>
                  <w:tcW w:w="1477" w:type="dxa"/>
                  <w:vAlign w:val="center"/>
                </w:tcPr>
                <w:p w14:paraId="4A0CE054">
                  <w:pPr>
                    <w:jc w:val="center"/>
                    <w:rPr>
                      <w:color w:val="auto"/>
                      <w:szCs w:val="21"/>
                    </w:rPr>
                  </w:pPr>
                  <w:r>
                    <w:rPr>
                      <w:rFonts w:hAnsi="宋体"/>
                      <w:color w:val="auto"/>
                      <w:szCs w:val="21"/>
                    </w:rPr>
                    <w:t>供电</w:t>
                  </w:r>
                </w:p>
              </w:tc>
              <w:tc>
                <w:tcPr>
                  <w:tcW w:w="6342" w:type="dxa"/>
                  <w:vAlign w:val="center"/>
                </w:tcPr>
                <w:p w14:paraId="4499CCF0">
                  <w:pPr>
                    <w:jc w:val="left"/>
                    <w:rPr>
                      <w:color w:val="auto"/>
                      <w:szCs w:val="21"/>
                    </w:rPr>
                  </w:pPr>
                  <w:r>
                    <w:rPr>
                      <w:rFonts w:hAnsi="宋体"/>
                      <w:color w:val="auto"/>
                      <w:szCs w:val="21"/>
                    </w:rPr>
                    <w:t>由当地电网供给，预计年耗电量约</w:t>
                  </w:r>
                  <w:r>
                    <w:rPr>
                      <w:rFonts w:hint="eastAsia"/>
                      <w:color w:val="auto"/>
                      <w:szCs w:val="21"/>
                      <w:lang w:val="en-US" w:eastAsia="zh-CN"/>
                    </w:rPr>
                    <w:t>30</w:t>
                  </w:r>
                  <w:r>
                    <w:rPr>
                      <w:rFonts w:hAnsi="宋体"/>
                      <w:color w:val="auto"/>
                      <w:szCs w:val="21"/>
                    </w:rPr>
                    <w:t>万</w:t>
                  </w:r>
                  <w:r>
                    <w:rPr>
                      <w:color w:val="auto"/>
                      <w:szCs w:val="21"/>
                    </w:rPr>
                    <w:t>kwh</w:t>
                  </w:r>
                  <w:r>
                    <w:rPr>
                      <w:rFonts w:hAnsi="宋体"/>
                      <w:color w:val="auto"/>
                      <w:szCs w:val="21"/>
                    </w:rPr>
                    <w:t>。</w:t>
                  </w:r>
                </w:p>
              </w:tc>
            </w:tr>
            <w:tr w14:paraId="6599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restart"/>
                  <w:vAlign w:val="center"/>
                </w:tcPr>
                <w:p w14:paraId="448B34F2">
                  <w:pPr>
                    <w:jc w:val="center"/>
                    <w:rPr>
                      <w:rFonts w:hAnsi="宋体"/>
                      <w:color w:val="auto"/>
                      <w:szCs w:val="21"/>
                    </w:rPr>
                  </w:pPr>
                  <w:r>
                    <w:rPr>
                      <w:rFonts w:hAnsi="宋体"/>
                      <w:color w:val="auto"/>
                      <w:szCs w:val="21"/>
                    </w:rPr>
                    <w:t>环保</w:t>
                  </w:r>
                </w:p>
                <w:p w14:paraId="00B74F19">
                  <w:pPr>
                    <w:jc w:val="center"/>
                    <w:rPr>
                      <w:color w:val="auto"/>
                      <w:szCs w:val="21"/>
                    </w:rPr>
                  </w:pPr>
                  <w:r>
                    <w:rPr>
                      <w:rFonts w:hAnsi="宋体"/>
                      <w:color w:val="auto"/>
                      <w:szCs w:val="21"/>
                    </w:rPr>
                    <w:t>工程</w:t>
                  </w:r>
                </w:p>
              </w:tc>
              <w:tc>
                <w:tcPr>
                  <w:tcW w:w="1477" w:type="dxa"/>
                  <w:vAlign w:val="center"/>
                </w:tcPr>
                <w:p w14:paraId="13C36F03">
                  <w:pPr>
                    <w:jc w:val="center"/>
                    <w:rPr>
                      <w:color w:val="auto"/>
                      <w:szCs w:val="21"/>
                    </w:rPr>
                  </w:pPr>
                  <w:r>
                    <w:rPr>
                      <w:rFonts w:hAnsi="宋体"/>
                      <w:color w:val="auto"/>
                      <w:szCs w:val="21"/>
                    </w:rPr>
                    <w:t>废气治理</w:t>
                  </w:r>
                </w:p>
              </w:tc>
              <w:tc>
                <w:tcPr>
                  <w:tcW w:w="6342" w:type="dxa"/>
                  <w:vAlign w:val="center"/>
                </w:tcPr>
                <w:p w14:paraId="43C32A23">
                  <w:pPr>
                    <w:jc w:val="left"/>
                    <w:rPr>
                      <w:color w:val="auto"/>
                      <w:szCs w:val="21"/>
                    </w:rPr>
                  </w:pPr>
                  <w:r>
                    <w:rPr>
                      <w:rFonts w:hint="eastAsia" w:hAnsi="宋体"/>
                      <w:color w:val="auto"/>
                      <w:szCs w:val="21"/>
                      <w:lang w:eastAsia="zh-CN"/>
                    </w:rPr>
                    <w:t>注塑</w:t>
                  </w:r>
                  <w:r>
                    <w:rPr>
                      <w:rFonts w:hint="eastAsia" w:hAnsi="宋体"/>
                      <w:color w:val="auto"/>
                      <w:szCs w:val="21"/>
                    </w:rPr>
                    <w:t>废气经收集并经双道活性炭处理后通过不低于30m高排气筒（</w:t>
                  </w:r>
                  <w:r>
                    <w:rPr>
                      <w:rFonts w:hAnsi="宋体"/>
                      <w:color w:val="auto"/>
                      <w:szCs w:val="21"/>
                    </w:rPr>
                    <w:t>DA00</w:t>
                  </w:r>
                  <w:r>
                    <w:rPr>
                      <w:rFonts w:hint="eastAsia" w:hAnsi="宋体"/>
                      <w:color w:val="auto"/>
                      <w:szCs w:val="21"/>
                    </w:rPr>
                    <w:t>1）排放</w:t>
                  </w:r>
                  <w:r>
                    <w:rPr>
                      <w:rFonts w:hint="eastAsia" w:hAnsi="宋体"/>
                      <w:color w:val="auto"/>
                      <w:szCs w:val="21"/>
                      <w:lang w:eastAsia="zh-CN"/>
                    </w:rPr>
                    <w:t>；焊接打磨废气经移动式焊烟净化器处理后无组织排放；金属粉尘经移动式布袋除尘器收集处理后无组织排放。</w:t>
                  </w:r>
                </w:p>
              </w:tc>
            </w:tr>
            <w:tr w14:paraId="76C3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vAlign w:val="center"/>
                </w:tcPr>
                <w:p w14:paraId="195D3C74">
                  <w:pPr>
                    <w:jc w:val="center"/>
                    <w:rPr>
                      <w:rFonts w:hAnsi="宋体"/>
                      <w:color w:val="auto"/>
                      <w:szCs w:val="21"/>
                    </w:rPr>
                  </w:pPr>
                </w:p>
              </w:tc>
              <w:tc>
                <w:tcPr>
                  <w:tcW w:w="1477" w:type="dxa"/>
                  <w:vAlign w:val="center"/>
                </w:tcPr>
                <w:p w14:paraId="5BA7736F">
                  <w:pPr>
                    <w:jc w:val="center"/>
                    <w:rPr>
                      <w:rFonts w:hAnsi="宋体"/>
                      <w:color w:val="auto"/>
                      <w:szCs w:val="21"/>
                    </w:rPr>
                  </w:pPr>
                  <w:r>
                    <w:rPr>
                      <w:rFonts w:hint="eastAsia" w:hAnsi="宋体"/>
                      <w:color w:val="auto"/>
                      <w:szCs w:val="21"/>
                    </w:rPr>
                    <w:t>废水治理</w:t>
                  </w:r>
                </w:p>
              </w:tc>
              <w:tc>
                <w:tcPr>
                  <w:tcW w:w="6342" w:type="dxa"/>
                  <w:vAlign w:val="center"/>
                </w:tcPr>
                <w:p w14:paraId="0786AFA7">
                  <w:pPr>
                    <w:jc w:val="left"/>
                    <w:rPr>
                      <w:rFonts w:hint="eastAsia" w:hAnsi="宋体" w:eastAsia="宋体"/>
                      <w:color w:val="auto"/>
                      <w:szCs w:val="21"/>
                      <w:lang w:eastAsia="zh-CN"/>
                    </w:rPr>
                  </w:pPr>
                  <w:r>
                    <w:rPr>
                      <w:rFonts w:hint="eastAsia" w:hAnsi="宋体"/>
                      <w:color w:val="auto"/>
                      <w:szCs w:val="21"/>
                    </w:rPr>
                    <w:t>生活污水经化粪池消化处理后通过市政污水管网排入安吉净源污水处理有限公司城北污水厂集中处理</w:t>
                  </w:r>
                  <w:r>
                    <w:rPr>
                      <w:rFonts w:hint="eastAsia" w:hAnsi="宋体"/>
                      <w:color w:val="auto"/>
                      <w:szCs w:val="21"/>
                      <w:lang w:eastAsia="zh-CN"/>
                    </w:rPr>
                    <w:t>；注塑冷却水循环使用，定期添加，不排放。</w:t>
                  </w:r>
                </w:p>
              </w:tc>
            </w:tr>
            <w:tr w14:paraId="7641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vAlign w:val="center"/>
                </w:tcPr>
                <w:p w14:paraId="5A969AAB">
                  <w:pPr>
                    <w:jc w:val="center"/>
                    <w:rPr>
                      <w:rFonts w:hAnsi="宋体"/>
                      <w:color w:val="auto"/>
                      <w:szCs w:val="21"/>
                    </w:rPr>
                  </w:pPr>
                </w:p>
              </w:tc>
              <w:tc>
                <w:tcPr>
                  <w:tcW w:w="1477" w:type="dxa"/>
                  <w:vAlign w:val="center"/>
                </w:tcPr>
                <w:p w14:paraId="09D9CB66">
                  <w:pPr>
                    <w:jc w:val="center"/>
                    <w:rPr>
                      <w:color w:val="auto"/>
                      <w:szCs w:val="21"/>
                    </w:rPr>
                  </w:pPr>
                  <w:r>
                    <w:rPr>
                      <w:rFonts w:hAnsi="宋体"/>
                      <w:color w:val="auto"/>
                      <w:szCs w:val="21"/>
                    </w:rPr>
                    <w:t>固废治理</w:t>
                  </w:r>
                </w:p>
              </w:tc>
              <w:tc>
                <w:tcPr>
                  <w:tcW w:w="6342" w:type="dxa"/>
                  <w:vAlign w:val="center"/>
                </w:tcPr>
                <w:p w14:paraId="68C79FF6">
                  <w:pPr>
                    <w:rPr>
                      <w:color w:val="auto"/>
                      <w:szCs w:val="21"/>
                    </w:rPr>
                  </w:pPr>
                  <w:r>
                    <w:rPr>
                      <w:color w:val="auto"/>
                      <w:szCs w:val="21"/>
                    </w:rPr>
                    <w:t>产生的生活垃圾、一般固废和危废均能得到妥善处理。</w:t>
                  </w:r>
                </w:p>
              </w:tc>
            </w:tr>
            <w:tr w14:paraId="2B5E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vAlign w:val="center"/>
                </w:tcPr>
                <w:p w14:paraId="15AB6AE0">
                  <w:pPr>
                    <w:jc w:val="center"/>
                    <w:rPr>
                      <w:color w:val="auto"/>
                      <w:szCs w:val="21"/>
                    </w:rPr>
                  </w:pPr>
                </w:p>
              </w:tc>
              <w:tc>
                <w:tcPr>
                  <w:tcW w:w="1477" w:type="dxa"/>
                  <w:vAlign w:val="center"/>
                </w:tcPr>
                <w:p w14:paraId="624A1310">
                  <w:pPr>
                    <w:jc w:val="center"/>
                    <w:rPr>
                      <w:color w:val="auto"/>
                      <w:szCs w:val="21"/>
                    </w:rPr>
                  </w:pPr>
                  <w:r>
                    <w:rPr>
                      <w:rFonts w:hAnsi="宋体"/>
                      <w:color w:val="auto"/>
                      <w:szCs w:val="21"/>
                    </w:rPr>
                    <w:t>噪声防治</w:t>
                  </w:r>
                </w:p>
              </w:tc>
              <w:tc>
                <w:tcPr>
                  <w:tcW w:w="6342" w:type="dxa"/>
                  <w:vAlign w:val="center"/>
                </w:tcPr>
                <w:p w14:paraId="5F885F24">
                  <w:pPr>
                    <w:jc w:val="left"/>
                    <w:rPr>
                      <w:color w:val="auto"/>
                      <w:szCs w:val="21"/>
                    </w:rPr>
                  </w:pPr>
                  <w:r>
                    <w:rPr>
                      <w:rFonts w:hAnsi="宋体"/>
                      <w:color w:val="auto"/>
                      <w:szCs w:val="21"/>
                    </w:rPr>
                    <w:t>进行减震、隔声等措施</w:t>
                  </w:r>
                  <w:r>
                    <w:rPr>
                      <w:rFonts w:hint="eastAsia" w:hAnsi="宋体"/>
                      <w:color w:val="auto"/>
                      <w:szCs w:val="21"/>
                    </w:rPr>
                    <w:t>。</w:t>
                  </w:r>
                </w:p>
              </w:tc>
            </w:tr>
            <w:tr w14:paraId="4D7E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3" w:type="dxa"/>
                  <w:gridSpan w:val="2"/>
                  <w:vAlign w:val="center"/>
                </w:tcPr>
                <w:p w14:paraId="1CE67FFD">
                  <w:pPr>
                    <w:jc w:val="center"/>
                    <w:rPr>
                      <w:rFonts w:hAnsi="宋体"/>
                      <w:color w:val="auto"/>
                      <w:szCs w:val="21"/>
                    </w:rPr>
                  </w:pPr>
                  <w:r>
                    <w:rPr>
                      <w:rFonts w:hint="eastAsia"/>
                      <w:color w:val="auto"/>
                      <w:szCs w:val="21"/>
                    </w:rPr>
                    <w:t>储运工程</w:t>
                  </w:r>
                </w:p>
              </w:tc>
              <w:tc>
                <w:tcPr>
                  <w:tcW w:w="6342" w:type="dxa"/>
                  <w:vAlign w:val="center"/>
                </w:tcPr>
                <w:p w14:paraId="6525A32D">
                  <w:pPr>
                    <w:adjustRightInd w:val="0"/>
                    <w:snapToGrid w:val="0"/>
                    <w:rPr>
                      <w:rFonts w:hAnsi="宋体"/>
                      <w:color w:val="auto"/>
                      <w:szCs w:val="21"/>
                    </w:rPr>
                  </w:pPr>
                  <w:r>
                    <w:rPr>
                      <w:rFonts w:hint="eastAsia"/>
                      <w:color w:val="auto"/>
                      <w:szCs w:val="21"/>
                    </w:rPr>
                    <w:t>企业厂区内采用电装卸车运输，原料和成品仓储区位于生产厂区房内。</w:t>
                  </w:r>
                </w:p>
              </w:tc>
            </w:tr>
            <w:tr w14:paraId="688B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3" w:type="dxa"/>
                  <w:gridSpan w:val="2"/>
                  <w:vAlign w:val="center"/>
                </w:tcPr>
                <w:p w14:paraId="218A9976">
                  <w:pPr>
                    <w:jc w:val="center"/>
                    <w:rPr>
                      <w:rFonts w:hAnsi="宋体"/>
                      <w:color w:val="auto"/>
                      <w:szCs w:val="21"/>
                    </w:rPr>
                  </w:pPr>
                  <w:r>
                    <w:rPr>
                      <w:rFonts w:hint="eastAsia"/>
                      <w:color w:val="auto"/>
                      <w:szCs w:val="21"/>
                    </w:rPr>
                    <w:t>区域依托工程</w:t>
                  </w:r>
                </w:p>
              </w:tc>
              <w:tc>
                <w:tcPr>
                  <w:tcW w:w="6342" w:type="dxa"/>
                  <w:vAlign w:val="center"/>
                </w:tcPr>
                <w:p w14:paraId="6173FA42">
                  <w:pPr>
                    <w:adjustRightInd w:val="0"/>
                    <w:snapToGrid w:val="0"/>
                    <w:rPr>
                      <w:rFonts w:hAnsi="宋体"/>
                      <w:color w:val="auto"/>
                      <w:szCs w:val="21"/>
                    </w:rPr>
                  </w:pPr>
                  <w:r>
                    <w:rPr>
                      <w:color w:val="auto"/>
                      <w:szCs w:val="21"/>
                    </w:rPr>
                    <w:t>生活污水经化粪池预处理后通过污水管网排入安吉净源污水处理有限公司城北污水处理厂集中处理</w:t>
                  </w:r>
                  <w:r>
                    <w:rPr>
                      <w:rFonts w:hint="eastAsia"/>
                      <w:color w:val="auto"/>
                      <w:szCs w:val="21"/>
                    </w:rPr>
                    <w:t>。</w:t>
                  </w:r>
                </w:p>
              </w:tc>
            </w:tr>
          </w:tbl>
          <w:p w14:paraId="1ED61E9E">
            <w:pPr>
              <w:adjustRightInd w:val="0"/>
              <w:snapToGrid w:val="0"/>
              <w:spacing w:line="400" w:lineRule="exact"/>
              <w:rPr>
                <w:b/>
                <w:color w:val="auto"/>
                <w:sz w:val="24"/>
              </w:rPr>
            </w:pPr>
            <w:r>
              <w:rPr>
                <w:rFonts w:hint="eastAsia" w:hAnsi="宋体"/>
                <w:b/>
                <w:color w:val="auto"/>
                <w:sz w:val="24"/>
              </w:rPr>
              <w:t xml:space="preserve">2.1.2 </w:t>
            </w:r>
            <w:r>
              <w:rPr>
                <w:rFonts w:hAnsi="宋体"/>
                <w:b/>
                <w:color w:val="auto"/>
                <w:sz w:val="24"/>
              </w:rPr>
              <w:t>产品方案及生产规模</w:t>
            </w:r>
          </w:p>
          <w:p w14:paraId="7028B1F1">
            <w:pPr>
              <w:spacing w:line="400" w:lineRule="exact"/>
              <w:ind w:firstLine="480" w:firstLineChars="200"/>
              <w:rPr>
                <w:b/>
                <w:color w:val="auto"/>
                <w:szCs w:val="21"/>
              </w:rPr>
            </w:pPr>
            <w:r>
              <w:rPr>
                <w:rFonts w:hAnsi="宋体"/>
                <w:color w:val="auto"/>
                <w:sz w:val="24"/>
              </w:rPr>
              <w:t>本项目具体产品方案见下表</w:t>
            </w:r>
            <w:r>
              <w:rPr>
                <w:rFonts w:hint="eastAsia" w:hAnsi="宋体"/>
                <w:color w:val="auto"/>
                <w:sz w:val="24"/>
              </w:rPr>
              <w:t>2-2</w:t>
            </w:r>
            <w:r>
              <w:rPr>
                <w:rFonts w:hAnsi="宋体"/>
                <w:color w:val="auto"/>
                <w:sz w:val="24"/>
              </w:rPr>
              <w:t>。</w:t>
            </w:r>
          </w:p>
          <w:p w14:paraId="6C0585A4">
            <w:pPr>
              <w:spacing w:line="400" w:lineRule="exact"/>
              <w:jc w:val="center"/>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rPr>
              <w:t xml:space="preserve">2  </w:t>
            </w:r>
            <w:r>
              <w:rPr>
                <w:b/>
                <w:color w:val="auto"/>
                <w:szCs w:val="21"/>
              </w:rPr>
              <w:t>项目设计生产能力一览表</w:t>
            </w:r>
          </w:p>
          <w:tbl>
            <w:tblPr>
              <w:tblStyle w:val="3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2136"/>
              <w:gridCol w:w="2334"/>
              <w:gridCol w:w="2334"/>
            </w:tblGrid>
            <w:tr w14:paraId="06BE9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702" w:type="dxa"/>
                  <w:tcBorders>
                    <w:right w:val="single" w:color="auto" w:sz="4" w:space="0"/>
                  </w:tcBorders>
                  <w:vAlign w:val="center"/>
                </w:tcPr>
                <w:p w14:paraId="324123AB">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名称</w:t>
                  </w:r>
                </w:p>
              </w:tc>
              <w:tc>
                <w:tcPr>
                  <w:tcW w:w="2136" w:type="dxa"/>
                  <w:tcBorders>
                    <w:left w:val="single" w:color="auto" w:sz="4" w:space="0"/>
                  </w:tcBorders>
                  <w:vAlign w:val="center"/>
                </w:tcPr>
                <w:p w14:paraId="60007980">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原有项目</w:t>
                  </w:r>
                </w:p>
                <w:p w14:paraId="53355434">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设计年生产能力</w:t>
                  </w:r>
                </w:p>
              </w:tc>
              <w:tc>
                <w:tcPr>
                  <w:tcW w:w="2334" w:type="dxa"/>
                  <w:tcBorders>
                    <w:right w:val="single" w:color="auto" w:sz="4" w:space="0"/>
                  </w:tcBorders>
                  <w:vAlign w:val="center"/>
                </w:tcPr>
                <w:p w14:paraId="52D67B76">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本项目</w:t>
                  </w:r>
                  <w:r>
                    <w:rPr>
                      <w:rFonts w:hint="eastAsia" w:ascii="Times New Roman" w:hAnsi="Times New Roman" w:eastAsia="宋体" w:cs="Times New Roman"/>
                      <w:color w:val="auto"/>
                      <w:szCs w:val="21"/>
                    </w:rPr>
                    <w:t>新增生产能力</w:t>
                  </w:r>
                </w:p>
              </w:tc>
              <w:tc>
                <w:tcPr>
                  <w:tcW w:w="2334" w:type="dxa"/>
                  <w:tcBorders>
                    <w:right w:val="single" w:color="auto" w:sz="4" w:space="0"/>
                  </w:tcBorders>
                  <w:vAlign w:val="center"/>
                </w:tcPr>
                <w:p w14:paraId="784E7D16">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本项目实施后</w:t>
                  </w:r>
                </w:p>
                <w:p w14:paraId="7C59AEE6">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全厂设计年生产能力</w:t>
                  </w:r>
                </w:p>
              </w:tc>
            </w:tr>
            <w:tr w14:paraId="2BB68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2" w:type="dxa"/>
                  <w:tcBorders>
                    <w:right w:val="single" w:color="auto" w:sz="4" w:space="0"/>
                  </w:tcBorders>
                  <w:vAlign w:val="center"/>
                </w:tcPr>
                <w:p w14:paraId="7940CC6D">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塑料配件</w:t>
                  </w:r>
                </w:p>
              </w:tc>
              <w:tc>
                <w:tcPr>
                  <w:tcW w:w="2136" w:type="dxa"/>
                  <w:tcBorders>
                    <w:left w:val="single" w:color="auto" w:sz="4" w:space="0"/>
                  </w:tcBorders>
                  <w:vAlign w:val="center"/>
                </w:tcPr>
                <w:p w14:paraId="0AC99D6E">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100</w:t>
                  </w:r>
                  <w:r>
                    <w:rPr>
                      <w:rFonts w:ascii="Times New Roman" w:hAnsi="Times New Roman" w:eastAsia="宋体" w:cs="Times New Roman"/>
                      <w:color w:val="auto"/>
                      <w:szCs w:val="21"/>
                    </w:rPr>
                    <w:t>万套</w:t>
                  </w:r>
                </w:p>
              </w:tc>
              <w:tc>
                <w:tcPr>
                  <w:tcW w:w="2334" w:type="dxa"/>
                  <w:tcBorders>
                    <w:right w:val="single" w:color="auto" w:sz="4" w:space="0"/>
                  </w:tcBorders>
                  <w:vAlign w:val="center"/>
                </w:tcPr>
                <w:p w14:paraId="1C6FDCE6">
                  <w:pPr>
                    <w:adjustRightInd w:val="0"/>
                    <w:snapToGrid w:val="0"/>
                    <w:jc w:val="center"/>
                    <w:rPr>
                      <w:rFonts w:ascii="Times New Roman" w:hAnsi="Times New Roman" w:eastAsia="宋体" w:cs="Times New Roman"/>
                      <w:color w:val="auto"/>
                      <w:szCs w:val="21"/>
                    </w:rPr>
                  </w:pPr>
                  <w:r>
                    <w:rPr>
                      <w:rFonts w:hint="eastAsia" w:cs="Times New Roman"/>
                      <w:color w:val="auto"/>
                      <w:szCs w:val="21"/>
                      <w:lang w:val="en-US" w:eastAsia="zh-CN"/>
                    </w:rPr>
                    <w:t>0</w:t>
                  </w:r>
                  <w:r>
                    <w:rPr>
                      <w:rFonts w:ascii="Times New Roman" w:hAnsi="Times New Roman" w:eastAsia="宋体" w:cs="Times New Roman"/>
                      <w:color w:val="auto"/>
                      <w:szCs w:val="21"/>
                    </w:rPr>
                    <w:t>万套</w:t>
                  </w:r>
                </w:p>
              </w:tc>
              <w:tc>
                <w:tcPr>
                  <w:tcW w:w="2334" w:type="dxa"/>
                  <w:tcBorders>
                    <w:right w:val="single" w:color="auto" w:sz="4" w:space="0"/>
                  </w:tcBorders>
                  <w:vAlign w:val="center"/>
                </w:tcPr>
                <w:p w14:paraId="579112CB">
                  <w:pPr>
                    <w:adjustRightInd w:val="0"/>
                    <w:snapToGrid w:val="0"/>
                    <w:jc w:val="center"/>
                    <w:rPr>
                      <w:rFonts w:ascii="Times New Roman" w:hAnsi="Times New Roman" w:eastAsia="宋体" w:cs="Times New Roman"/>
                      <w:color w:val="auto"/>
                      <w:szCs w:val="21"/>
                    </w:rPr>
                  </w:pPr>
                  <w:r>
                    <w:rPr>
                      <w:rFonts w:hint="eastAsia" w:cs="Times New Roman"/>
                      <w:color w:val="auto"/>
                      <w:szCs w:val="21"/>
                      <w:lang w:val="en-US" w:eastAsia="zh-CN"/>
                    </w:rPr>
                    <w:t>1</w:t>
                  </w:r>
                  <w:r>
                    <w:rPr>
                      <w:rFonts w:hint="eastAsia" w:ascii="Times New Roman" w:hAnsi="Times New Roman" w:eastAsia="宋体" w:cs="Times New Roman"/>
                      <w:color w:val="auto"/>
                      <w:szCs w:val="21"/>
                    </w:rPr>
                    <w:t>00万套</w:t>
                  </w:r>
                </w:p>
              </w:tc>
            </w:tr>
            <w:tr w14:paraId="6B49F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2" w:type="dxa"/>
                  <w:tcBorders>
                    <w:right w:val="single" w:color="auto" w:sz="4" w:space="0"/>
                  </w:tcBorders>
                  <w:vAlign w:val="center"/>
                </w:tcPr>
                <w:p w14:paraId="1E192092">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五金配件</w:t>
                  </w:r>
                </w:p>
              </w:tc>
              <w:tc>
                <w:tcPr>
                  <w:tcW w:w="2136" w:type="dxa"/>
                  <w:tcBorders>
                    <w:left w:val="single" w:color="auto" w:sz="4" w:space="0"/>
                  </w:tcBorders>
                  <w:vAlign w:val="center"/>
                </w:tcPr>
                <w:p w14:paraId="3EB1E74F">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ascii="Times New Roman" w:hAnsi="Times New Roman" w:eastAsia="宋体" w:cs="Times New Roman"/>
                      <w:color w:val="auto"/>
                      <w:szCs w:val="21"/>
                    </w:rPr>
                    <w:t>万套</w:t>
                  </w:r>
                </w:p>
              </w:tc>
              <w:tc>
                <w:tcPr>
                  <w:tcW w:w="2334" w:type="dxa"/>
                  <w:tcBorders>
                    <w:right w:val="single" w:color="auto" w:sz="4" w:space="0"/>
                  </w:tcBorders>
                  <w:vAlign w:val="center"/>
                </w:tcPr>
                <w:p w14:paraId="6A148928">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w:t>
                  </w:r>
                  <w:r>
                    <w:rPr>
                      <w:rFonts w:ascii="Times New Roman" w:hAnsi="Times New Roman" w:eastAsia="宋体" w:cs="Times New Roman"/>
                      <w:color w:val="auto"/>
                      <w:szCs w:val="21"/>
                    </w:rPr>
                    <w:t>万套</w:t>
                  </w:r>
                </w:p>
              </w:tc>
              <w:tc>
                <w:tcPr>
                  <w:tcW w:w="2334" w:type="dxa"/>
                  <w:tcBorders>
                    <w:right w:val="single" w:color="auto" w:sz="4" w:space="0"/>
                  </w:tcBorders>
                  <w:vAlign w:val="center"/>
                </w:tcPr>
                <w:p w14:paraId="73D1391F">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30万套</w:t>
                  </w:r>
                </w:p>
              </w:tc>
            </w:tr>
          </w:tbl>
          <w:p w14:paraId="027789F8">
            <w:pPr>
              <w:adjustRightInd w:val="0"/>
              <w:snapToGrid w:val="0"/>
              <w:spacing w:line="400" w:lineRule="exact"/>
              <w:rPr>
                <w:color w:val="auto"/>
                <w:szCs w:val="21"/>
              </w:rPr>
            </w:pPr>
            <w:r>
              <w:rPr>
                <w:rFonts w:hint="eastAsia" w:hAnsi="宋体"/>
                <w:b/>
                <w:color w:val="auto"/>
                <w:sz w:val="24"/>
              </w:rPr>
              <w:t xml:space="preserve">2.1.3 </w:t>
            </w:r>
            <w:r>
              <w:rPr>
                <w:rFonts w:hAnsi="宋体"/>
                <w:b/>
                <w:color w:val="auto"/>
                <w:sz w:val="24"/>
              </w:rPr>
              <w:t>主要设备</w:t>
            </w:r>
          </w:p>
          <w:p w14:paraId="380611A7">
            <w:pPr>
              <w:adjustRightInd w:val="0"/>
              <w:snapToGrid w:val="0"/>
              <w:spacing w:line="400" w:lineRule="exact"/>
              <w:ind w:firstLine="480" w:firstLineChars="200"/>
              <w:rPr>
                <w:color w:val="auto"/>
                <w:sz w:val="24"/>
              </w:rPr>
            </w:pPr>
            <w:r>
              <w:rPr>
                <w:rFonts w:hAnsi="宋体"/>
                <w:color w:val="auto"/>
                <w:sz w:val="24"/>
              </w:rPr>
              <w:t>本项目主要设备见表</w:t>
            </w:r>
            <w:r>
              <w:rPr>
                <w:color w:val="auto"/>
                <w:sz w:val="24"/>
              </w:rPr>
              <w:t>2-</w:t>
            </w:r>
            <w:r>
              <w:rPr>
                <w:rFonts w:hint="eastAsia"/>
                <w:color w:val="auto"/>
                <w:sz w:val="24"/>
              </w:rPr>
              <w:t>3</w:t>
            </w:r>
            <w:r>
              <w:rPr>
                <w:rFonts w:hAnsi="宋体"/>
                <w:color w:val="auto"/>
                <w:sz w:val="24"/>
              </w:rPr>
              <w:t>。</w:t>
            </w:r>
          </w:p>
          <w:p w14:paraId="3F76AB10">
            <w:pPr>
              <w:spacing w:beforeLines="30"/>
              <w:ind w:firstLine="420"/>
              <w:jc w:val="center"/>
              <w:rPr>
                <w:b/>
                <w:bCs/>
                <w:color w:val="auto"/>
              </w:rPr>
            </w:pPr>
            <w:r>
              <w:rPr>
                <w:b/>
                <w:bCs/>
                <w:color w:val="auto"/>
              </w:rPr>
              <w:t>表</w:t>
            </w:r>
            <w:r>
              <w:rPr>
                <w:rFonts w:hint="eastAsia"/>
                <w:b/>
                <w:bCs/>
                <w:color w:val="auto"/>
              </w:rPr>
              <w:t xml:space="preserve">2-3 </w:t>
            </w:r>
            <w:r>
              <w:rPr>
                <w:b/>
                <w:bCs/>
                <w:color w:val="auto"/>
              </w:rPr>
              <w:t xml:space="preserve"> 本项目主要生产设备一览表</w:t>
            </w:r>
          </w:p>
          <w:tbl>
            <w:tblPr>
              <w:tblStyle w:val="3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2070"/>
              <w:gridCol w:w="795"/>
              <w:gridCol w:w="1125"/>
              <w:gridCol w:w="1470"/>
              <w:gridCol w:w="1065"/>
              <w:gridCol w:w="1352"/>
            </w:tblGrid>
            <w:tr w14:paraId="3F8F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627" w:type="dxa"/>
                  <w:vAlign w:val="center"/>
                </w:tcPr>
                <w:p w14:paraId="672C982E">
                  <w:pPr>
                    <w:jc w:val="center"/>
                    <w:rPr>
                      <w:b/>
                      <w:color w:val="auto"/>
                      <w:szCs w:val="21"/>
                    </w:rPr>
                  </w:pPr>
                  <w:r>
                    <w:rPr>
                      <w:rFonts w:hAnsi="宋体"/>
                      <w:b/>
                      <w:color w:val="auto"/>
                      <w:szCs w:val="21"/>
                    </w:rPr>
                    <w:t>序号</w:t>
                  </w:r>
                </w:p>
              </w:tc>
              <w:tc>
                <w:tcPr>
                  <w:tcW w:w="2070" w:type="dxa"/>
                  <w:vAlign w:val="center"/>
                </w:tcPr>
                <w:p w14:paraId="773D181A">
                  <w:pPr>
                    <w:jc w:val="center"/>
                    <w:rPr>
                      <w:b/>
                      <w:color w:val="auto"/>
                      <w:szCs w:val="21"/>
                    </w:rPr>
                  </w:pPr>
                  <w:r>
                    <w:rPr>
                      <w:rFonts w:hAnsi="宋体"/>
                      <w:b/>
                      <w:color w:val="auto"/>
                      <w:szCs w:val="21"/>
                    </w:rPr>
                    <w:t>设备名称</w:t>
                  </w:r>
                </w:p>
              </w:tc>
              <w:tc>
                <w:tcPr>
                  <w:tcW w:w="795" w:type="dxa"/>
                  <w:vAlign w:val="center"/>
                </w:tcPr>
                <w:p w14:paraId="625A16DC">
                  <w:pPr>
                    <w:jc w:val="center"/>
                    <w:rPr>
                      <w:rFonts w:hint="eastAsia" w:eastAsia="宋体"/>
                      <w:b/>
                      <w:color w:val="auto"/>
                      <w:szCs w:val="21"/>
                      <w:lang w:eastAsia="zh-CN"/>
                    </w:rPr>
                  </w:pPr>
                  <w:r>
                    <w:rPr>
                      <w:rFonts w:hint="eastAsia" w:hAnsi="宋体"/>
                      <w:b/>
                      <w:color w:val="auto"/>
                      <w:szCs w:val="21"/>
                      <w:lang w:eastAsia="zh-CN"/>
                    </w:rPr>
                    <w:t>单位</w:t>
                  </w:r>
                </w:p>
              </w:tc>
              <w:tc>
                <w:tcPr>
                  <w:tcW w:w="1125" w:type="dxa"/>
                  <w:vAlign w:val="center"/>
                </w:tcPr>
                <w:p w14:paraId="18D7B9FC">
                  <w:pPr>
                    <w:jc w:val="center"/>
                    <w:rPr>
                      <w:b/>
                      <w:color w:val="auto"/>
                      <w:szCs w:val="21"/>
                    </w:rPr>
                  </w:pPr>
                  <w:r>
                    <w:rPr>
                      <w:rFonts w:hint="eastAsia"/>
                      <w:b/>
                      <w:color w:val="auto"/>
                      <w:szCs w:val="21"/>
                    </w:rPr>
                    <w:t>现有</w:t>
                  </w:r>
                  <w:r>
                    <w:rPr>
                      <w:b/>
                      <w:color w:val="auto"/>
                      <w:szCs w:val="21"/>
                    </w:rPr>
                    <w:t>项目</w:t>
                  </w:r>
                </w:p>
                <w:p w14:paraId="466034E5">
                  <w:pPr>
                    <w:jc w:val="center"/>
                    <w:rPr>
                      <w:rFonts w:hAnsi="宋体"/>
                      <w:b/>
                      <w:color w:val="auto"/>
                      <w:szCs w:val="21"/>
                    </w:rPr>
                  </w:pPr>
                  <w:r>
                    <w:rPr>
                      <w:rFonts w:hint="eastAsia"/>
                      <w:b/>
                      <w:color w:val="auto"/>
                      <w:szCs w:val="21"/>
                    </w:rPr>
                    <w:t>环评</w:t>
                  </w:r>
                  <w:r>
                    <w:rPr>
                      <w:b/>
                      <w:color w:val="auto"/>
                      <w:szCs w:val="21"/>
                    </w:rPr>
                    <w:t>设备</w:t>
                  </w:r>
                </w:p>
              </w:tc>
              <w:tc>
                <w:tcPr>
                  <w:tcW w:w="1470" w:type="dxa"/>
                  <w:vAlign w:val="center"/>
                </w:tcPr>
                <w:p w14:paraId="71E1C293">
                  <w:pPr>
                    <w:jc w:val="center"/>
                    <w:rPr>
                      <w:rFonts w:hint="eastAsia"/>
                      <w:b/>
                      <w:color w:val="auto"/>
                      <w:szCs w:val="21"/>
                    </w:rPr>
                  </w:pPr>
                  <w:r>
                    <w:rPr>
                      <w:rFonts w:hint="eastAsia"/>
                      <w:b/>
                      <w:color w:val="auto"/>
                      <w:szCs w:val="21"/>
                    </w:rPr>
                    <w:t>验收时</w:t>
                  </w:r>
                  <w:r>
                    <w:rPr>
                      <w:b/>
                      <w:color w:val="auto"/>
                      <w:szCs w:val="21"/>
                    </w:rPr>
                    <w:t>实际配置设备</w:t>
                  </w:r>
                </w:p>
              </w:tc>
              <w:tc>
                <w:tcPr>
                  <w:tcW w:w="1065" w:type="dxa"/>
                  <w:vAlign w:val="center"/>
                </w:tcPr>
                <w:p w14:paraId="73602A90">
                  <w:pPr>
                    <w:jc w:val="center"/>
                    <w:rPr>
                      <w:b/>
                      <w:color w:val="auto"/>
                      <w:szCs w:val="21"/>
                    </w:rPr>
                  </w:pPr>
                  <w:r>
                    <w:rPr>
                      <w:b/>
                      <w:color w:val="auto"/>
                      <w:szCs w:val="21"/>
                    </w:rPr>
                    <w:t>本项目</w:t>
                  </w:r>
                </w:p>
                <w:p w14:paraId="549B79A0">
                  <w:pPr>
                    <w:jc w:val="center"/>
                    <w:rPr>
                      <w:b/>
                      <w:color w:val="auto"/>
                      <w:szCs w:val="21"/>
                    </w:rPr>
                  </w:pPr>
                  <w:r>
                    <w:rPr>
                      <w:b/>
                      <w:color w:val="auto"/>
                      <w:szCs w:val="21"/>
                    </w:rPr>
                    <w:t>新增设备</w:t>
                  </w:r>
                </w:p>
              </w:tc>
              <w:tc>
                <w:tcPr>
                  <w:tcW w:w="1352" w:type="dxa"/>
                  <w:vAlign w:val="center"/>
                </w:tcPr>
                <w:p w14:paraId="0CE82B55">
                  <w:pPr>
                    <w:jc w:val="center"/>
                    <w:rPr>
                      <w:rFonts w:hint="eastAsia"/>
                      <w:b/>
                      <w:color w:val="auto"/>
                      <w:szCs w:val="21"/>
                    </w:rPr>
                  </w:pPr>
                  <w:r>
                    <w:rPr>
                      <w:b/>
                      <w:color w:val="auto"/>
                      <w:szCs w:val="21"/>
                    </w:rPr>
                    <w:t>本项目实施后设备数量</w:t>
                  </w:r>
                </w:p>
              </w:tc>
            </w:tr>
            <w:tr w14:paraId="2114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6EFF0FDB">
                  <w:pPr>
                    <w:jc w:val="center"/>
                    <w:rPr>
                      <w:color w:val="auto"/>
                      <w:szCs w:val="21"/>
                    </w:rPr>
                  </w:pPr>
                  <w:r>
                    <w:rPr>
                      <w:rFonts w:hint="eastAsia"/>
                      <w:color w:val="auto"/>
                      <w:szCs w:val="21"/>
                    </w:rPr>
                    <w:t>1</w:t>
                  </w:r>
                </w:p>
              </w:tc>
              <w:tc>
                <w:tcPr>
                  <w:tcW w:w="2070" w:type="dxa"/>
                  <w:vAlign w:val="center"/>
                </w:tcPr>
                <w:p w14:paraId="1FB01CB9">
                  <w:pPr>
                    <w:jc w:val="center"/>
                    <w:rPr>
                      <w:bCs/>
                      <w:color w:val="auto"/>
                      <w:szCs w:val="21"/>
                    </w:rPr>
                  </w:pPr>
                  <w:r>
                    <w:rPr>
                      <w:rFonts w:hint="eastAsia" w:ascii="Times New Roman" w:hAnsi="Times New Roman" w:eastAsiaTheme="minorEastAsia"/>
                      <w:sz w:val="21"/>
                      <w:szCs w:val="21"/>
                    </w:rPr>
                    <w:t>注塑机</w:t>
                  </w:r>
                </w:p>
              </w:tc>
              <w:tc>
                <w:tcPr>
                  <w:tcW w:w="795" w:type="dxa"/>
                  <w:vAlign w:val="center"/>
                </w:tcPr>
                <w:p w14:paraId="041850E2">
                  <w:pPr>
                    <w:jc w:val="center"/>
                    <w:rPr>
                      <w:color w:val="auto"/>
                      <w:szCs w:val="21"/>
                    </w:rPr>
                  </w:pPr>
                  <w:r>
                    <w:rPr>
                      <w:rFonts w:hint="eastAsia" w:ascii="Times New Roman" w:hAnsi="Times New Roman" w:eastAsiaTheme="minorEastAsia"/>
                      <w:sz w:val="21"/>
                      <w:szCs w:val="21"/>
                    </w:rPr>
                    <w:t>台</w:t>
                  </w:r>
                </w:p>
              </w:tc>
              <w:tc>
                <w:tcPr>
                  <w:tcW w:w="1125" w:type="dxa"/>
                  <w:vAlign w:val="center"/>
                </w:tcPr>
                <w:p w14:paraId="3DC8AE8A">
                  <w:pPr>
                    <w:jc w:val="center"/>
                    <w:rPr>
                      <w:rFonts w:hint="eastAsia" w:ascii="Times New Roman" w:hAnsi="Times New Roman" w:eastAsiaTheme="minorEastAsia"/>
                      <w:sz w:val="21"/>
                      <w:szCs w:val="21"/>
                    </w:rPr>
                  </w:pPr>
                  <w:r>
                    <w:rPr>
                      <w:rFonts w:hint="eastAsia"/>
                      <w:szCs w:val="21"/>
                    </w:rPr>
                    <w:t>13</w:t>
                  </w:r>
                </w:p>
              </w:tc>
              <w:tc>
                <w:tcPr>
                  <w:tcW w:w="1470" w:type="dxa"/>
                  <w:vAlign w:val="center"/>
                </w:tcPr>
                <w:p w14:paraId="15EE91FD">
                  <w:pPr>
                    <w:jc w:val="center"/>
                    <w:rPr>
                      <w:rFonts w:hint="eastAsia" w:ascii="Times New Roman" w:hAnsi="Times New Roman" w:eastAsiaTheme="minorEastAsia"/>
                      <w:sz w:val="21"/>
                      <w:szCs w:val="21"/>
                    </w:rPr>
                  </w:pPr>
                  <w:r>
                    <w:rPr>
                      <w:rFonts w:hint="eastAsia"/>
                      <w:szCs w:val="21"/>
                    </w:rPr>
                    <w:t>13</w:t>
                  </w:r>
                </w:p>
              </w:tc>
              <w:tc>
                <w:tcPr>
                  <w:tcW w:w="1065" w:type="dxa"/>
                  <w:vAlign w:val="center"/>
                </w:tcPr>
                <w:p w14:paraId="02AB3BA4">
                  <w:pPr>
                    <w:jc w:val="center"/>
                    <w:rPr>
                      <w:rFonts w:hint="default" w:ascii="Times New Roman" w:hAnsi="Times New Roman" w:cs="Times New Roman"/>
                      <w:color w:val="auto"/>
                      <w:szCs w:val="21"/>
                      <w:lang w:val="en-US" w:eastAsia="zh-CN"/>
                    </w:rPr>
                  </w:pPr>
                  <w:r>
                    <w:rPr>
                      <w:rFonts w:hint="eastAsia"/>
                      <w:color w:val="auto"/>
                      <w:szCs w:val="21"/>
                      <w:lang w:val="en-US" w:eastAsia="zh-CN"/>
                    </w:rPr>
                    <w:t>0</w:t>
                  </w:r>
                </w:p>
              </w:tc>
              <w:tc>
                <w:tcPr>
                  <w:tcW w:w="1352" w:type="dxa"/>
                  <w:vAlign w:val="center"/>
                </w:tcPr>
                <w:p w14:paraId="732704DD">
                  <w:pPr>
                    <w:jc w:val="center"/>
                    <w:rPr>
                      <w:rFonts w:hint="default" w:eastAsia="宋体"/>
                      <w:color w:val="auto"/>
                      <w:szCs w:val="21"/>
                      <w:lang w:val="en-US" w:eastAsia="zh-CN"/>
                    </w:rPr>
                  </w:pPr>
                  <w:r>
                    <w:rPr>
                      <w:rFonts w:hint="eastAsia"/>
                      <w:color w:val="auto"/>
                      <w:szCs w:val="21"/>
                      <w:lang w:val="en-US" w:eastAsia="zh-CN"/>
                    </w:rPr>
                    <w:t>20</w:t>
                  </w:r>
                </w:p>
              </w:tc>
            </w:tr>
            <w:tr w14:paraId="2BF9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3D12224D">
                  <w:pPr>
                    <w:jc w:val="center"/>
                    <w:rPr>
                      <w:color w:val="auto"/>
                      <w:szCs w:val="21"/>
                    </w:rPr>
                  </w:pPr>
                  <w:r>
                    <w:rPr>
                      <w:rFonts w:hint="eastAsia"/>
                      <w:color w:val="auto"/>
                      <w:szCs w:val="21"/>
                    </w:rPr>
                    <w:t>2</w:t>
                  </w:r>
                </w:p>
              </w:tc>
              <w:tc>
                <w:tcPr>
                  <w:tcW w:w="2070" w:type="dxa"/>
                  <w:vAlign w:val="center"/>
                </w:tcPr>
                <w:p w14:paraId="597F25A3">
                  <w:pPr>
                    <w:jc w:val="center"/>
                    <w:rPr>
                      <w:bCs/>
                      <w:color w:val="auto"/>
                      <w:szCs w:val="21"/>
                    </w:rPr>
                  </w:pPr>
                  <w:r>
                    <w:rPr>
                      <w:rFonts w:hint="eastAsia" w:ascii="Times New Roman" w:hAnsi="Times New Roman" w:eastAsiaTheme="minorEastAsia"/>
                      <w:sz w:val="21"/>
                      <w:szCs w:val="21"/>
                    </w:rPr>
                    <w:t>烘干机</w:t>
                  </w:r>
                </w:p>
              </w:tc>
              <w:tc>
                <w:tcPr>
                  <w:tcW w:w="795" w:type="dxa"/>
                  <w:vAlign w:val="center"/>
                </w:tcPr>
                <w:p w14:paraId="175B6A20">
                  <w:pPr>
                    <w:jc w:val="center"/>
                    <w:rPr>
                      <w:color w:val="auto"/>
                      <w:szCs w:val="21"/>
                    </w:rPr>
                  </w:pPr>
                  <w:r>
                    <w:rPr>
                      <w:rFonts w:hint="eastAsia" w:ascii="Times New Roman" w:hAnsi="Times New Roman" w:eastAsiaTheme="minorEastAsia"/>
                      <w:sz w:val="21"/>
                      <w:szCs w:val="21"/>
                    </w:rPr>
                    <w:t>台</w:t>
                  </w:r>
                </w:p>
              </w:tc>
              <w:tc>
                <w:tcPr>
                  <w:tcW w:w="1125" w:type="dxa"/>
                  <w:vAlign w:val="center"/>
                </w:tcPr>
                <w:p w14:paraId="746CE6D9">
                  <w:pPr>
                    <w:jc w:val="center"/>
                    <w:rPr>
                      <w:rFonts w:hint="eastAsia" w:ascii="Times New Roman" w:hAnsi="Times New Roman" w:eastAsiaTheme="minorEastAsia"/>
                      <w:sz w:val="21"/>
                      <w:szCs w:val="21"/>
                    </w:rPr>
                  </w:pPr>
                  <w:r>
                    <w:rPr>
                      <w:rFonts w:hint="eastAsia"/>
                      <w:szCs w:val="21"/>
                    </w:rPr>
                    <w:t>13</w:t>
                  </w:r>
                </w:p>
              </w:tc>
              <w:tc>
                <w:tcPr>
                  <w:tcW w:w="1470" w:type="dxa"/>
                  <w:vAlign w:val="center"/>
                </w:tcPr>
                <w:p w14:paraId="7E35C50A">
                  <w:pPr>
                    <w:jc w:val="center"/>
                    <w:rPr>
                      <w:rFonts w:hint="eastAsia" w:ascii="Times New Roman" w:hAnsi="Times New Roman" w:eastAsiaTheme="minorEastAsia"/>
                      <w:sz w:val="21"/>
                      <w:szCs w:val="21"/>
                    </w:rPr>
                  </w:pPr>
                  <w:r>
                    <w:rPr>
                      <w:rFonts w:hint="eastAsia"/>
                      <w:szCs w:val="21"/>
                    </w:rPr>
                    <w:t>13</w:t>
                  </w:r>
                </w:p>
              </w:tc>
              <w:tc>
                <w:tcPr>
                  <w:tcW w:w="1065" w:type="dxa"/>
                  <w:vAlign w:val="center"/>
                </w:tcPr>
                <w:p w14:paraId="55085630">
                  <w:pPr>
                    <w:jc w:val="center"/>
                    <w:rPr>
                      <w:rFonts w:hint="default" w:ascii="Times New Roman" w:hAnsi="Times New Roman" w:cs="Times New Roman"/>
                      <w:color w:val="auto"/>
                      <w:szCs w:val="21"/>
                      <w:lang w:val="en-US" w:eastAsia="zh-CN"/>
                    </w:rPr>
                  </w:pPr>
                  <w:r>
                    <w:rPr>
                      <w:rFonts w:hint="eastAsia"/>
                      <w:color w:val="auto"/>
                      <w:szCs w:val="21"/>
                      <w:lang w:val="en-US" w:eastAsia="zh-CN"/>
                    </w:rPr>
                    <w:t>0</w:t>
                  </w:r>
                </w:p>
              </w:tc>
              <w:tc>
                <w:tcPr>
                  <w:tcW w:w="1352" w:type="dxa"/>
                  <w:vAlign w:val="center"/>
                </w:tcPr>
                <w:p w14:paraId="6EA61205">
                  <w:pPr>
                    <w:jc w:val="center"/>
                    <w:rPr>
                      <w:rFonts w:hint="default" w:eastAsia="宋体"/>
                      <w:color w:val="auto"/>
                      <w:szCs w:val="21"/>
                      <w:lang w:val="en-US" w:eastAsia="zh-CN"/>
                    </w:rPr>
                  </w:pPr>
                  <w:r>
                    <w:rPr>
                      <w:rFonts w:hint="eastAsia"/>
                      <w:color w:val="auto"/>
                      <w:szCs w:val="21"/>
                      <w:lang w:val="en-US" w:eastAsia="zh-CN"/>
                    </w:rPr>
                    <w:t>20</w:t>
                  </w:r>
                </w:p>
              </w:tc>
            </w:tr>
            <w:tr w14:paraId="78F5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1966AD3F">
                  <w:pPr>
                    <w:jc w:val="center"/>
                    <w:rPr>
                      <w:rFonts w:hint="eastAsia" w:eastAsia="宋体"/>
                      <w:color w:val="auto"/>
                      <w:szCs w:val="21"/>
                      <w:lang w:eastAsia="zh-CN"/>
                    </w:rPr>
                  </w:pPr>
                  <w:r>
                    <w:rPr>
                      <w:rFonts w:hint="eastAsia"/>
                      <w:color w:val="auto"/>
                      <w:szCs w:val="21"/>
                      <w:lang w:val="en-US" w:eastAsia="zh-CN"/>
                    </w:rPr>
                    <w:t>3</w:t>
                  </w:r>
                </w:p>
              </w:tc>
              <w:tc>
                <w:tcPr>
                  <w:tcW w:w="2070" w:type="dxa"/>
                  <w:vAlign w:val="center"/>
                </w:tcPr>
                <w:p w14:paraId="7C8974F1">
                  <w:pPr>
                    <w:jc w:val="center"/>
                    <w:rPr>
                      <w:bCs/>
                      <w:color w:val="auto"/>
                      <w:szCs w:val="21"/>
                    </w:rPr>
                  </w:pPr>
                  <w:r>
                    <w:rPr>
                      <w:rFonts w:hint="eastAsia" w:ascii="Times New Roman" w:hAnsi="Times New Roman" w:eastAsiaTheme="minorEastAsia"/>
                      <w:sz w:val="21"/>
                      <w:szCs w:val="21"/>
                    </w:rPr>
                    <w:t>拌料机</w:t>
                  </w:r>
                </w:p>
              </w:tc>
              <w:tc>
                <w:tcPr>
                  <w:tcW w:w="795" w:type="dxa"/>
                  <w:vAlign w:val="center"/>
                </w:tcPr>
                <w:p w14:paraId="450B5A53">
                  <w:pPr>
                    <w:jc w:val="center"/>
                    <w:rPr>
                      <w:color w:val="auto"/>
                      <w:szCs w:val="21"/>
                    </w:rPr>
                  </w:pPr>
                  <w:r>
                    <w:rPr>
                      <w:rFonts w:hint="eastAsia" w:ascii="Times New Roman" w:hAnsi="Times New Roman" w:eastAsiaTheme="minorEastAsia"/>
                      <w:sz w:val="21"/>
                      <w:szCs w:val="21"/>
                    </w:rPr>
                    <w:t>台</w:t>
                  </w:r>
                </w:p>
              </w:tc>
              <w:tc>
                <w:tcPr>
                  <w:tcW w:w="1125" w:type="dxa"/>
                  <w:vAlign w:val="center"/>
                </w:tcPr>
                <w:p w14:paraId="3600069D">
                  <w:pPr>
                    <w:jc w:val="center"/>
                    <w:rPr>
                      <w:rFonts w:hint="eastAsia" w:ascii="Times New Roman" w:hAnsi="Times New Roman" w:eastAsiaTheme="minorEastAsia"/>
                      <w:sz w:val="21"/>
                      <w:szCs w:val="21"/>
                    </w:rPr>
                  </w:pPr>
                  <w:r>
                    <w:rPr>
                      <w:rFonts w:hint="eastAsia"/>
                      <w:szCs w:val="21"/>
                    </w:rPr>
                    <w:t>2</w:t>
                  </w:r>
                </w:p>
              </w:tc>
              <w:tc>
                <w:tcPr>
                  <w:tcW w:w="1470" w:type="dxa"/>
                  <w:vAlign w:val="center"/>
                </w:tcPr>
                <w:p w14:paraId="1431ADDE">
                  <w:pPr>
                    <w:jc w:val="center"/>
                    <w:rPr>
                      <w:rFonts w:hint="eastAsia" w:ascii="Times New Roman" w:hAnsi="Times New Roman" w:eastAsiaTheme="minorEastAsia"/>
                      <w:sz w:val="21"/>
                      <w:szCs w:val="21"/>
                    </w:rPr>
                  </w:pPr>
                  <w:r>
                    <w:rPr>
                      <w:rFonts w:hint="eastAsia"/>
                      <w:szCs w:val="21"/>
                    </w:rPr>
                    <w:t>2</w:t>
                  </w:r>
                </w:p>
              </w:tc>
              <w:tc>
                <w:tcPr>
                  <w:tcW w:w="1065" w:type="dxa"/>
                  <w:vAlign w:val="center"/>
                </w:tcPr>
                <w:p w14:paraId="59CFAC53">
                  <w:pPr>
                    <w:jc w:val="center"/>
                    <w:rPr>
                      <w:rFonts w:hint="default" w:ascii="Times New Roman" w:hAnsi="Times New Roman" w:cs="Times New Roman"/>
                      <w:color w:val="auto"/>
                      <w:szCs w:val="21"/>
                      <w:lang w:val="en-US" w:eastAsia="zh-CN"/>
                    </w:rPr>
                  </w:pPr>
                  <w:r>
                    <w:rPr>
                      <w:rFonts w:hint="eastAsia"/>
                      <w:color w:val="auto"/>
                      <w:szCs w:val="21"/>
                      <w:lang w:val="en-US" w:eastAsia="zh-CN"/>
                    </w:rPr>
                    <w:t>0</w:t>
                  </w:r>
                </w:p>
              </w:tc>
              <w:tc>
                <w:tcPr>
                  <w:tcW w:w="1352" w:type="dxa"/>
                  <w:vAlign w:val="center"/>
                </w:tcPr>
                <w:p w14:paraId="18777305">
                  <w:pPr>
                    <w:jc w:val="center"/>
                    <w:rPr>
                      <w:rFonts w:hint="default" w:eastAsia="宋体"/>
                      <w:color w:val="auto"/>
                      <w:szCs w:val="21"/>
                      <w:lang w:val="en-US" w:eastAsia="zh-CN"/>
                    </w:rPr>
                  </w:pPr>
                  <w:r>
                    <w:rPr>
                      <w:rFonts w:hint="eastAsia"/>
                      <w:color w:val="auto"/>
                      <w:szCs w:val="21"/>
                      <w:lang w:val="en-US" w:eastAsia="zh-CN"/>
                    </w:rPr>
                    <w:t>10</w:t>
                  </w:r>
                </w:p>
              </w:tc>
            </w:tr>
            <w:tr w14:paraId="2207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613B989A">
                  <w:pPr>
                    <w:jc w:val="center"/>
                    <w:rPr>
                      <w:color w:val="auto"/>
                      <w:szCs w:val="21"/>
                    </w:rPr>
                  </w:pPr>
                  <w:r>
                    <w:rPr>
                      <w:rFonts w:hint="eastAsia"/>
                      <w:color w:val="auto"/>
                      <w:szCs w:val="21"/>
                    </w:rPr>
                    <w:t>4</w:t>
                  </w:r>
                </w:p>
              </w:tc>
              <w:tc>
                <w:tcPr>
                  <w:tcW w:w="2070" w:type="dxa"/>
                  <w:vAlign w:val="center"/>
                </w:tcPr>
                <w:p w14:paraId="36B1A73A">
                  <w:pPr>
                    <w:jc w:val="center"/>
                    <w:rPr>
                      <w:bCs/>
                      <w:color w:val="auto"/>
                      <w:szCs w:val="21"/>
                    </w:rPr>
                  </w:pPr>
                  <w:r>
                    <w:rPr>
                      <w:rFonts w:hint="eastAsia" w:ascii="Times New Roman" w:hAnsi="Times New Roman" w:eastAsiaTheme="minorEastAsia"/>
                      <w:sz w:val="21"/>
                      <w:szCs w:val="21"/>
                    </w:rPr>
                    <w:t>冷却塔</w:t>
                  </w:r>
                </w:p>
              </w:tc>
              <w:tc>
                <w:tcPr>
                  <w:tcW w:w="795" w:type="dxa"/>
                  <w:vAlign w:val="center"/>
                </w:tcPr>
                <w:p w14:paraId="6C8ACE38">
                  <w:pPr>
                    <w:jc w:val="center"/>
                    <w:rPr>
                      <w:color w:val="auto"/>
                      <w:szCs w:val="21"/>
                    </w:rPr>
                  </w:pPr>
                  <w:r>
                    <w:rPr>
                      <w:rFonts w:hint="eastAsia" w:ascii="Times New Roman" w:hAnsi="Times New Roman" w:eastAsiaTheme="minorEastAsia"/>
                      <w:sz w:val="21"/>
                      <w:szCs w:val="21"/>
                    </w:rPr>
                    <w:t>台</w:t>
                  </w:r>
                </w:p>
              </w:tc>
              <w:tc>
                <w:tcPr>
                  <w:tcW w:w="1125" w:type="dxa"/>
                  <w:vAlign w:val="center"/>
                </w:tcPr>
                <w:p w14:paraId="6094575C">
                  <w:pPr>
                    <w:jc w:val="center"/>
                    <w:rPr>
                      <w:rFonts w:ascii="Times New Roman" w:hAnsi="Times New Roman" w:eastAsiaTheme="minorEastAsia"/>
                      <w:sz w:val="21"/>
                      <w:szCs w:val="21"/>
                    </w:rPr>
                  </w:pPr>
                  <w:r>
                    <w:rPr>
                      <w:szCs w:val="21"/>
                    </w:rPr>
                    <w:t>1</w:t>
                  </w:r>
                </w:p>
              </w:tc>
              <w:tc>
                <w:tcPr>
                  <w:tcW w:w="1470" w:type="dxa"/>
                  <w:vAlign w:val="center"/>
                </w:tcPr>
                <w:p w14:paraId="3E067B87">
                  <w:pPr>
                    <w:jc w:val="center"/>
                    <w:rPr>
                      <w:rFonts w:ascii="Times New Roman" w:hAnsi="Times New Roman" w:eastAsiaTheme="minorEastAsia"/>
                      <w:sz w:val="21"/>
                      <w:szCs w:val="21"/>
                    </w:rPr>
                  </w:pPr>
                  <w:r>
                    <w:rPr>
                      <w:szCs w:val="21"/>
                    </w:rPr>
                    <w:t>1</w:t>
                  </w:r>
                </w:p>
              </w:tc>
              <w:tc>
                <w:tcPr>
                  <w:tcW w:w="1065" w:type="dxa"/>
                  <w:vAlign w:val="center"/>
                </w:tcPr>
                <w:p w14:paraId="0F16AAA9">
                  <w:pPr>
                    <w:jc w:val="center"/>
                    <w:rPr>
                      <w:rFonts w:hint="default" w:eastAsia="宋体"/>
                      <w:color w:val="auto"/>
                      <w:szCs w:val="21"/>
                      <w:lang w:val="en-US" w:eastAsia="zh-CN"/>
                    </w:rPr>
                  </w:pPr>
                  <w:r>
                    <w:rPr>
                      <w:rFonts w:hint="eastAsia"/>
                      <w:color w:val="auto"/>
                      <w:szCs w:val="21"/>
                      <w:lang w:val="en-US" w:eastAsia="zh-CN"/>
                    </w:rPr>
                    <w:t>0</w:t>
                  </w:r>
                </w:p>
              </w:tc>
              <w:tc>
                <w:tcPr>
                  <w:tcW w:w="1352" w:type="dxa"/>
                  <w:vAlign w:val="center"/>
                </w:tcPr>
                <w:p w14:paraId="036C1B6E">
                  <w:pPr>
                    <w:jc w:val="center"/>
                    <w:rPr>
                      <w:rFonts w:hint="eastAsia" w:eastAsia="宋体"/>
                      <w:color w:val="auto"/>
                      <w:szCs w:val="21"/>
                      <w:lang w:val="en-US" w:eastAsia="zh-CN"/>
                    </w:rPr>
                  </w:pPr>
                  <w:r>
                    <w:rPr>
                      <w:rFonts w:hint="eastAsia"/>
                      <w:color w:val="auto"/>
                      <w:szCs w:val="21"/>
                      <w:lang w:val="en-US" w:eastAsia="zh-CN"/>
                    </w:rPr>
                    <w:t>1</w:t>
                  </w:r>
                </w:p>
              </w:tc>
            </w:tr>
            <w:tr w14:paraId="0C6E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722FBB73">
                  <w:pPr>
                    <w:jc w:val="center"/>
                    <w:rPr>
                      <w:color w:val="auto"/>
                      <w:szCs w:val="21"/>
                    </w:rPr>
                  </w:pPr>
                  <w:r>
                    <w:rPr>
                      <w:rFonts w:hint="eastAsia"/>
                      <w:color w:val="auto"/>
                      <w:szCs w:val="21"/>
                    </w:rPr>
                    <w:t>5</w:t>
                  </w:r>
                </w:p>
              </w:tc>
              <w:tc>
                <w:tcPr>
                  <w:tcW w:w="2070" w:type="dxa"/>
                  <w:vAlign w:val="center"/>
                </w:tcPr>
                <w:p w14:paraId="5BF9E865">
                  <w:pPr>
                    <w:jc w:val="center"/>
                    <w:rPr>
                      <w:bCs/>
                      <w:color w:val="auto"/>
                      <w:szCs w:val="21"/>
                    </w:rPr>
                  </w:pPr>
                  <w:r>
                    <w:rPr>
                      <w:rFonts w:hint="eastAsia" w:ascii="Times New Roman" w:hAnsi="Times New Roman" w:eastAsiaTheme="minorEastAsia"/>
                      <w:sz w:val="21"/>
                      <w:szCs w:val="21"/>
                    </w:rPr>
                    <w:t>行车</w:t>
                  </w:r>
                </w:p>
              </w:tc>
              <w:tc>
                <w:tcPr>
                  <w:tcW w:w="795" w:type="dxa"/>
                  <w:vAlign w:val="center"/>
                </w:tcPr>
                <w:p w14:paraId="1468B415">
                  <w:pPr>
                    <w:jc w:val="center"/>
                    <w:rPr>
                      <w:color w:val="auto"/>
                      <w:szCs w:val="21"/>
                    </w:rPr>
                  </w:pPr>
                  <w:r>
                    <w:rPr>
                      <w:rFonts w:hint="eastAsia" w:ascii="Times New Roman" w:hAnsi="Times New Roman" w:eastAsiaTheme="minorEastAsia"/>
                      <w:sz w:val="21"/>
                      <w:szCs w:val="21"/>
                    </w:rPr>
                    <w:t>台</w:t>
                  </w:r>
                </w:p>
              </w:tc>
              <w:tc>
                <w:tcPr>
                  <w:tcW w:w="1125" w:type="dxa"/>
                  <w:vAlign w:val="center"/>
                </w:tcPr>
                <w:p w14:paraId="128EA044">
                  <w:pPr>
                    <w:jc w:val="center"/>
                    <w:rPr>
                      <w:rFonts w:hint="eastAsia" w:ascii="Times New Roman" w:hAnsi="Times New Roman" w:eastAsiaTheme="minorEastAsia"/>
                      <w:sz w:val="21"/>
                      <w:szCs w:val="21"/>
                    </w:rPr>
                  </w:pPr>
                  <w:r>
                    <w:rPr>
                      <w:rFonts w:hint="eastAsia"/>
                      <w:szCs w:val="21"/>
                    </w:rPr>
                    <w:t>3</w:t>
                  </w:r>
                </w:p>
              </w:tc>
              <w:tc>
                <w:tcPr>
                  <w:tcW w:w="1470" w:type="dxa"/>
                  <w:vAlign w:val="center"/>
                </w:tcPr>
                <w:p w14:paraId="3BF0E5AA">
                  <w:pPr>
                    <w:jc w:val="center"/>
                    <w:rPr>
                      <w:rFonts w:hint="eastAsia" w:ascii="Times New Roman" w:hAnsi="Times New Roman" w:eastAsiaTheme="minorEastAsia"/>
                      <w:sz w:val="21"/>
                      <w:szCs w:val="21"/>
                    </w:rPr>
                  </w:pPr>
                  <w:r>
                    <w:rPr>
                      <w:rFonts w:hint="eastAsia"/>
                      <w:szCs w:val="21"/>
                    </w:rPr>
                    <w:t>3</w:t>
                  </w:r>
                </w:p>
              </w:tc>
              <w:tc>
                <w:tcPr>
                  <w:tcW w:w="1065" w:type="dxa"/>
                  <w:vAlign w:val="center"/>
                </w:tcPr>
                <w:p w14:paraId="350A3FBA">
                  <w:pPr>
                    <w:jc w:val="center"/>
                    <w:rPr>
                      <w:rFonts w:hint="default" w:eastAsia="宋体"/>
                      <w:color w:val="auto"/>
                      <w:szCs w:val="21"/>
                      <w:lang w:val="en-US" w:eastAsia="zh-CN"/>
                    </w:rPr>
                  </w:pPr>
                  <w:r>
                    <w:rPr>
                      <w:rFonts w:hint="eastAsia"/>
                      <w:color w:val="auto"/>
                      <w:szCs w:val="21"/>
                      <w:lang w:val="en-US" w:eastAsia="zh-CN"/>
                    </w:rPr>
                    <w:t>0</w:t>
                  </w:r>
                </w:p>
              </w:tc>
              <w:tc>
                <w:tcPr>
                  <w:tcW w:w="1352" w:type="dxa"/>
                  <w:vAlign w:val="center"/>
                </w:tcPr>
                <w:p w14:paraId="2665D532">
                  <w:pPr>
                    <w:jc w:val="center"/>
                    <w:rPr>
                      <w:rFonts w:hint="eastAsia" w:eastAsia="宋体"/>
                      <w:color w:val="auto"/>
                      <w:szCs w:val="21"/>
                      <w:lang w:val="en-US" w:eastAsia="zh-CN"/>
                    </w:rPr>
                  </w:pPr>
                  <w:r>
                    <w:rPr>
                      <w:rFonts w:hint="eastAsia"/>
                      <w:color w:val="auto"/>
                      <w:szCs w:val="21"/>
                      <w:lang w:val="en-US" w:eastAsia="zh-CN"/>
                    </w:rPr>
                    <w:t>3</w:t>
                  </w:r>
                </w:p>
              </w:tc>
            </w:tr>
            <w:tr w14:paraId="23DF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3C51203F">
                  <w:pPr>
                    <w:jc w:val="center"/>
                    <w:rPr>
                      <w:color w:val="auto"/>
                      <w:szCs w:val="21"/>
                    </w:rPr>
                  </w:pPr>
                  <w:r>
                    <w:rPr>
                      <w:rFonts w:hint="eastAsia"/>
                      <w:color w:val="auto"/>
                      <w:szCs w:val="21"/>
                    </w:rPr>
                    <w:t>6</w:t>
                  </w:r>
                </w:p>
              </w:tc>
              <w:tc>
                <w:tcPr>
                  <w:tcW w:w="2070" w:type="dxa"/>
                  <w:vAlign w:val="center"/>
                </w:tcPr>
                <w:p w14:paraId="4EBA3932">
                  <w:pPr>
                    <w:jc w:val="center"/>
                    <w:rPr>
                      <w:bCs/>
                      <w:color w:val="auto"/>
                      <w:szCs w:val="21"/>
                    </w:rPr>
                  </w:pPr>
                  <w:r>
                    <w:rPr>
                      <w:rFonts w:hint="eastAsia" w:ascii="Times New Roman" w:hAnsi="Times New Roman" w:eastAsiaTheme="minorEastAsia"/>
                      <w:sz w:val="21"/>
                      <w:szCs w:val="21"/>
                    </w:rPr>
                    <w:t>冲床</w:t>
                  </w:r>
                </w:p>
              </w:tc>
              <w:tc>
                <w:tcPr>
                  <w:tcW w:w="795" w:type="dxa"/>
                  <w:vAlign w:val="center"/>
                </w:tcPr>
                <w:p w14:paraId="02B3B0D7">
                  <w:pPr>
                    <w:jc w:val="center"/>
                    <w:rPr>
                      <w:color w:val="auto"/>
                      <w:szCs w:val="21"/>
                    </w:rPr>
                  </w:pPr>
                  <w:r>
                    <w:rPr>
                      <w:rFonts w:hint="eastAsia" w:ascii="Times New Roman" w:hAnsi="Times New Roman" w:eastAsiaTheme="minorEastAsia"/>
                      <w:sz w:val="21"/>
                      <w:szCs w:val="21"/>
                    </w:rPr>
                    <w:t>台</w:t>
                  </w:r>
                </w:p>
              </w:tc>
              <w:tc>
                <w:tcPr>
                  <w:tcW w:w="1125" w:type="dxa"/>
                  <w:vAlign w:val="center"/>
                </w:tcPr>
                <w:p w14:paraId="28BBBC77">
                  <w:pPr>
                    <w:jc w:val="center"/>
                    <w:rPr>
                      <w:rFonts w:hint="eastAsia" w:ascii="Times New Roman" w:hAnsi="Times New Roman" w:eastAsiaTheme="minorEastAsia"/>
                      <w:sz w:val="21"/>
                      <w:szCs w:val="21"/>
                    </w:rPr>
                  </w:pPr>
                  <w:r>
                    <w:rPr>
                      <w:rFonts w:hint="eastAsia"/>
                      <w:szCs w:val="21"/>
                    </w:rPr>
                    <w:t>7</w:t>
                  </w:r>
                </w:p>
              </w:tc>
              <w:tc>
                <w:tcPr>
                  <w:tcW w:w="1470" w:type="dxa"/>
                  <w:vAlign w:val="center"/>
                </w:tcPr>
                <w:p w14:paraId="4E14141D">
                  <w:pPr>
                    <w:jc w:val="center"/>
                    <w:rPr>
                      <w:rFonts w:hint="eastAsia" w:ascii="Times New Roman" w:hAnsi="Times New Roman" w:eastAsiaTheme="minorEastAsia"/>
                      <w:sz w:val="21"/>
                      <w:szCs w:val="21"/>
                    </w:rPr>
                  </w:pPr>
                  <w:r>
                    <w:rPr>
                      <w:rFonts w:hint="eastAsia"/>
                      <w:szCs w:val="21"/>
                    </w:rPr>
                    <w:t>7</w:t>
                  </w:r>
                </w:p>
              </w:tc>
              <w:tc>
                <w:tcPr>
                  <w:tcW w:w="1065" w:type="dxa"/>
                  <w:vAlign w:val="center"/>
                </w:tcPr>
                <w:p w14:paraId="26415E42">
                  <w:pPr>
                    <w:jc w:val="center"/>
                    <w:rPr>
                      <w:rFonts w:hint="eastAsia" w:eastAsia="宋体"/>
                      <w:color w:val="auto"/>
                      <w:szCs w:val="21"/>
                      <w:lang w:val="en-US" w:eastAsia="zh-CN"/>
                    </w:rPr>
                  </w:pPr>
                  <w:r>
                    <w:rPr>
                      <w:rFonts w:hint="eastAsia"/>
                      <w:color w:val="auto"/>
                      <w:szCs w:val="21"/>
                      <w:lang w:val="en-US" w:eastAsia="zh-CN"/>
                    </w:rPr>
                    <w:t>0</w:t>
                  </w:r>
                </w:p>
              </w:tc>
              <w:tc>
                <w:tcPr>
                  <w:tcW w:w="1352" w:type="dxa"/>
                  <w:vAlign w:val="center"/>
                </w:tcPr>
                <w:p w14:paraId="716502DC">
                  <w:pPr>
                    <w:jc w:val="center"/>
                    <w:rPr>
                      <w:rFonts w:hint="eastAsia" w:eastAsia="宋体"/>
                      <w:color w:val="auto"/>
                      <w:szCs w:val="21"/>
                      <w:lang w:val="en-US" w:eastAsia="zh-CN"/>
                    </w:rPr>
                  </w:pPr>
                  <w:r>
                    <w:rPr>
                      <w:rFonts w:hint="eastAsia"/>
                      <w:color w:val="auto"/>
                      <w:szCs w:val="21"/>
                      <w:lang w:val="en-US" w:eastAsia="zh-CN"/>
                    </w:rPr>
                    <w:t>7</w:t>
                  </w:r>
                </w:p>
              </w:tc>
            </w:tr>
            <w:tr w14:paraId="65AE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2D77BE3D">
                  <w:pPr>
                    <w:jc w:val="center"/>
                    <w:rPr>
                      <w:color w:val="auto"/>
                      <w:szCs w:val="21"/>
                    </w:rPr>
                  </w:pPr>
                  <w:r>
                    <w:rPr>
                      <w:rFonts w:hint="eastAsia"/>
                      <w:color w:val="auto"/>
                      <w:szCs w:val="21"/>
                    </w:rPr>
                    <w:t>7</w:t>
                  </w:r>
                </w:p>
              </w:tc>
              <w:tc>
                <w:tcPr>
                  <w:tcW w:w="2070" w:type="dxa"/>
                  <w:vAlign w:val="center"/>
                </w:tcPr>
                <w:p w14:paraId="03515E57">
                  <w:pPr>
                    <w:jc w:val="center"/>
                    <w:rPr>
                      <w:bCs/>
                      <w:color w:val="auto"/>
                      <w:szCs w:val="21"/>
                    </w:rPr>
                  </w:pPr>
                  <w:r>
                    <w:rPr>
                      <w:rFonts w:hint="eastAsia" w:ascii="Times New Roman" w:hAnsi="Times New Roman" w:eastAsiaTheme="minorEastAsia"/>
                      <w:sz w:val="21"/>
                      <w:szCs w:val="21"/>
                    </w:rPr>
                    <w:t>钻床</w:t>
                  </w:r>
                </w:p>
              </w:tc>
              <w:tc>
                <w:tcPr>
                  <w:tcW w:w="795" w:type="dxa"/>
                  <w:vAlign w:val="center"/>
                </w:tcPr>
                <w:p w14:paraId="3EF46A87">
                  <w:pPr>
                    <w:jc w:val="center"/>
                    <w:rPr>
                      <w:color w:val="auto"/>
                      <w:szCs w:val="21"/>
                    </w:rPr>
                  </w:pPr>
                  <w:r>
                    <w:rPr>
                      <w:rFonts w:hint="eastAsia" w:ascii="Times New Roman" w:hAnsi="Times New Roman" w:eastAsiaTheme="minorEastAsia"/>
                      <w:sz w:val="21"/>
                      <w:szCs w:val="21"/>
                    </w:rPr>
                    <w:t>台</w:t>
                  </w:r>
                </w:p>
              </w:tc>
              <w:tc>
                <w:tcPr>
                  <w:tcW w:w="1125" w:type="dxa"/>
                  <w:vAlign w:val="center"/>
                </w:tcPr>
                <w:p w14:paraId="095DD856">
                  <w:pPr>
                    <w:jc w:val="center"/>
                    <w:rPr>
                      <w:rFonts w:hint="eastAsia" w:ascii="Times New Roman" w:hAnsi="Times New Roman" w:eastAsiaTheme="minorEastAsia"/>
                      <w:sz w:val="21"/>
                      <w:szCs w:val="21"/>
                    </w:rPr>
                  </w:pPr>
                  <w:r>
                    <w:rPr>
                      <w:rFonts w:hint="eastAsia"/>
                      <w:szCs w:val="21"/>
                    </w:rPr>
                    <w:t>6</w:t>
                  </w:r>
                </w:p>
              </w:tc>
              <w:tc>
                <w:tcPr>
                  <w:tcW w:w="1470" w:type="dxa"/>
                  <w:vAlign w:val="center"/>
                </w:tcPr>
                <w:p w14:paraId="655C134B">
                  <w:pPr>
                    <w:jc w:val="center"/>
                    <w:rPr>
                      <w:rFonts w:hint="eastAsia" w:ascii="Times New Roman" w:hAnsi="Times New Roman" w:eastAsiaTheme="minorEastAsia"/>
                      <w:sz w:val="21"/>
                      <w:szCs w:val="21"/>
                    </w:rPr>
                  </w:pPr>
                  <w:r>
                    <w:rPr>
                      <w:rFonts w:hint="eastAsia"/>
                      <w:szCs w:val="21"/>
                    </w:rPr>
                    <w:t>6</w:t>
                  </w:r>
                </w:p>
              </w:tc>
              <w:tc>
                <w:tcPr>
                  <w:tcW w:w="1065" w:type="dxa"/>
                  <w:vAlign w:val="center"/>
                </w:tcPr>
                <w:p w14:paraId="5F1C75FF">
                  <w:pPr>
                    <w:jc w:val="center"/>
                    <w:rPr>
                      <w:rFonts w:hint="eastAsia" w:eastAsia="宋体"/>
                      <w:color w:val="auto"/>
                      <w:szCs w:val="21"/>
                      <w:lang w:val="en-US" w:eastAsia="zh-CN"/>
                    </w:rPr>
                  </w:pPr>
                  <w:r>
                    <w:rPr>
                      <w:rFonts w:hint="eastAsia"/>
                      <w:color w:val="auto"/>
                      <w:szCs w:val="21"/>
                      <w:lang w:val="en-US" w:eastAsia="zh-CN"/>
                    </w:rPr>
                    <w:t>0</w:t>
                  </w:r>
                </w:p>
              </w:tc>
              <w:tc>
                <w:tcPr>
                  <w:tcW w:w="1352" w:type="dxa"/>
                  <w:vAlign w:val="center"/>
                </w:tcPr>
                <w:p w14:paraId="38CDD1CB">
                  <w:pPr>
                    <w:jc w:val="center"/>
                    <w:rPr>
                      <w:rFonts w:hint="eastAsia" w:eastAsia="宋体"/>
                      <w:color w:val="auto"/>
                      <w:szCs w:val="21"/>
                      <w:lang w:val="en-US" w:eastAsia="zh-CN"/>
                    </w:rPr>
                  </w:pPr>
                  <w:r>
                    <w:rPr>
                      <w:rFonts w:hint="eastAsia"/>
                      <w:color w:val="auto"/>
                      <w:szCs w:val="21"/>
                      <w:lang w:val="en-US" w:eastAsia="zh-CN"/>
                    </w:rPr>
                    <w:t>6</w:t>
                  </w:r>
                </w:p>
              </w:tc>
            </w:tr>
            <w:tr w14:paraId="7161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25FE0855">
                  <w:pPr>
                    <w:jc w:val="center"/>
                    <w:rPr>
                      <w:color w:val="auto"/>
                      <w:szCs w:val="21"/>
                    </w:rPr>
                  </w:pPr>
                  <w:r>
                    <w:rPr>
                      <w:rFonts w:hint="eastAsia"/>
                      <w:color w:val="auto"/>
                      <w:szCs w:val="21"/>
                    </w:rPr>
                    <w:t>8</w:t>
                  </w:r>
                </w:p>
              </w:tc>
              <w:tc>
                <w:tcPr>
                  <w:tcW w:w="2070" w:type="dxa"/>
                  <w:vAlign w:val="center"/>
                </w:tcPr>
                <w:p w14:paraId="0E28696F">
                  <w:pPr>
                    <w:jc w:val="center"/>
                    <w:rPr>
                      <w:bCs/>
                      <w:color w:val="auto"/>
                      <w:szCs w:val="21"/>
                    </w:rPr>
                  </w:pPr>
                  <w:r>
                    <w:rPr>
                      <w:rFonts w:hint="eastAsia" w:ascii="Times New Roman" w:hAnsi="Times New Roman" w:eastAsiaTheme="minorEastAsia"/>
                      <w:sz w:val="21"/>
                      <w:szCs w:val="21"/>
                    </w:rPr>
                    <w:t>砂轮机</w:t>
                  </w:r>
                </w:p>
              </w:tc>
              <w:tc>
                <w:tcPr>
                  <w:tcW w:w="795" w:type="dxa"/>
                  <w:vAlign w:val="center"/>
                </w:tcPr>
                <w:p w14:paraId="714815B4">
                  <w:pPr>
                    <w:jc w:val="center"/>
                    <w:rPr>
                      <w:color w:val="auto"/>
                      <w:szCs w:val="21"/>
                    </w:rPr>
                  </w:pPr>
                  <w:r>
                    <w:rPr>
                      <w:rFonts w:hint="eastAsia" w:ascii="Times New Roman" w:hAnsi="Times New Roman" w:eastAsiaTheme="minorEastAsia"/>
                      <w:sz w:val="21"/>
                      <w:szCs w:val="21"/>
                    </w:rPr>
                    <w:t>台</w:t>
                  </w:r>
                </w:p>
              </w:tc>
              <w:tc>
                <w:tcPr>
                  <w:tcW w:w="1125" w:type="dxa"/>
                  <w:vAlign w:val="center"/>
                </w:tcPr>
                <w:p w14:paraId="192A658A">
                  <w:pPr>
                    <w:jc w:val="center"/>
                    <w:rPr>
                      <w:rFonts w:hint="eastAsia" w:ascii="Times New Roman" w:hAnsi="Times New Roman" w:eastAsiaTheme="minorEastAsia"/>
                      <w:sz w:val="21"/>
                      <w:szCs w:val="21"/>
                    </w:rPr>
                  </w:pPr>
                  <w:r>
                    <w:rPr>
                      <w:rFonts w:hint="eastAsia"/>
                      <w:szCs w:val="21"/>
                    </w:rPr>
                    <w:t>10</w:t>
                  </w:r>
                </w:p>
              </w:tc>
              <w:tc>
                <w:tcPr>
                  <w:tcW w:w="1470" w:type="dxa"/>
                  <w:vAlign w:val="center"/>
                </w:tcPr>
                <w:p w14:paraId="6EF49DEE">
                  <w:pPr>
                    <w:jc w:val="center"/>
                    <w:rPr>
                      <w:rFonts w:hint="eastAsia" w:ascii="Times New Roman" w:hAnsi="Times New Roman" w:eastAsiaTheme="minorEastAsia"/>
                      <w:sz w:val="21"/>
                      <w:szCs w:val="21"/>
                    </w:rPr>
                  </w:pPr>
                  <w:r>
                    <w:rPr>
                      <w:rFonts w:hint="eastAsia"/>
                      <w:szCs w:val="21"/>
                    </w:rPr>
                    <w:t>10</w:t>
                  </w:r>
                </w:p>
              </w:tc>
              <w:tc>
                <w:tcPr>
                  <w:tcW w:w="1065" w:type="dxa"/>
                  <w:vAlign w:val="center"/>
                </w:tcPr>
                <w:p w14:paraId="0F99980C">
                  <w:pPr>
                    <w:jc w:val="center"/>
                    <w:rPr>
                      <w:rFonts w:hint="eastAsia" w:eastAsia="宋体"/>
                      <w:color w:val="auto"/>
                      <w:szCs w:val="21"/>
                      <w:lang w:val="en-US" w:eastAsia="zh-CN"/>
                    </w:rPr>
                  </w:pPr>
                  <w:r>
                    <w:rPr>
                      <w:rFonts w:hint="eastAsia"/>
                      <w:color w:val="auto"/>
                      <w:szCs w:val="21"/>
                      <w:lang w:val="en-US" w:eastAsia="zh-CN"/>
                    </w:rPr>
                    <w:t>0</w:t>
                  </w:r>
                </w:p>
              </w:tc>
              <w:tc>
                <w:tcPr>
                  <w:tcW w:w="1352" w:type="dxa"/>
                  <w:vAlign w:val="center"/>
                </w:tcPr>
                <w:p w14:paraId="234E27D2">
                  <w:pPr>
                    <w:jc w:val="center"/>
                    <w:rPr>
                      <w:rFonts w:hint="default" w:eastAsia="宋体"/>
                      <w:color w:val="auto"/>
                      <w:szCs w:val="21"/>
                      <w:lang w:val="en-US" w:eastAsia="zh-CN"/>
                    </w:rPr>
                  </w:pPr>
                  <w:r>
                    <w:rPr>
                      <w:rFonts w:hint="eastAsia"/>
                      <w:color w:val="auto"/>
                      <w:szCs w:val="21"/>
                      <w:lang w:val="en-US" w:eastAsia="zh-CN"/>
                    </w:rPr>
                    <w:t>10</w:t>
                  </w:r>
                </w:p>
              </w:tc>
            </w:tr>
            <w:tr w14:paraId="0E09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009944E2">
                  <w:pPr>
                    <w:jc w:val="center"/>
                    <w:rPr>
                      <w:color w:val="auto"/>
                      <w:szCs w:val="21"/>
                    </w:rPr>
                  </w:pPr>
                  <w:r>
                    <w:rPr>
                      <w:rFonts w:hint="eastAsia"/>
                      <w:color w:val="auto"/>
                      <w:szCs w:val="21"/>
                    </w:rPr>
                    <w:t>9</w:t>
                  </w:r>
                </w:p>
              </w:tc>
              <w:tc>
                <w:tcPr>
                  <w:tcW w:w="2070" w:type="dxa"/>
                  <w:vAlign w:val="center"/>
                </w:tcPr>
                <w:p w14:paraId="6383333D">
                  <w:pPr>
                    <w:jc w:val="center"/>
                    <w:rPr>
                      <w:bCs/>
                      <w:color w:val="auto"/>
                      <w:szCs w:val="21"/>
                    </w:rPr>
                  </w:pPr>
                  <w:r>
                    <w:rPr>
                      <w:rFonts w:hint="eastAsia" w:ascii="Times New Roman" w:hAnsi="Times New Roman" w:eastAsiaTheme="minorEastAsia"/>
                      <w:sz w:val="21"/>
                      <w:szCs w:val="21"/>
                    </w:rPr>
                    <w:t>磨床</w:t>
                  </w:r>
                </w:p>
              </w:tc>
              <w:tc>
                <w:tcPr>
                  <w:tcW w:w="795" w:type="dxa"/>
                  <w:vAlign w:val="center"/>
                </w:tcPr>
                <w:p w14:paraId="60F0BF2B">
                  <w:pPr>
                    <w:jc w:val="center"/>
                    <w:rPr>
                      <w:color w:val="auto"/>
                      <w:szCs w:val="21"/>
                    </w:rPr>
                  </w:pPr>
                  <w:r>
                    <w:rPr>
                      <w:rFonts w:hint="eastAsia" w:ascii="Times New Roman" w:hAnsi="Times New Roman" w:eastAsiaTheme="minorEastAsia"/>
                      <w:sz w:val="21"/>
                      <w:szCs w:val="21"/>
                    </w:rPr>
                    <w:t>台</w:t>
                  </w:r>
                </w:p>
              </w:tc>
              <w:tc>
                <w:tcPr>
                  <w:tcW w:w="1125" w:type="dxa"/>
                  <w:vAlign w:val="center"/>
                </w:tcPr>
                <w:p w14:paraId="1F050203">
                  <w:pPr>
                    <w:jc w:val="center"/>
                    <w:rPr>
                      <w:rFonts w:hint="eastAsia" w:ascii="Times New Roman" w:hAnsi="Times New Roman" w:eastAsiaTheme="minorEastAsia"/>
                      <w:sz w:val="21"/>
                      <w:szCs w:val="21"/>
                    </w:rPr>
                  </w:pPr>
                  <w:r>
                    <w:rPr>
                      <w:rFonts w:hint="eastAsia"/>
                      <w:szCs w:val="21"/>
                    </w:rPr>
                    <w:t>1</w:t>
                  </w:r>
                </w:p>
              </w:tc>
              <w:tc>
                <w:tcPr>
                  <w:tcW w:w="1470" w:type="dxa"/>
                  <w:vAlign w:val="center"/>
                </w:tcPr>
                <w:p w14:paraId="562047A1">
                  <w:pPr>
                    <w:jc w:val="center"/>
                    <w:rPr>
                      <w:rFonts w:hint="eastAsia" w:ascii="Times New Roman" w:hAnsi="Times New Roman" w:eastAsiaTheme="minorEastAsia"/>
                      <w:sz w:val="21"/>
                      <w:szCs w:val="21"/>
                    </w:rPr>
                  </w:pPr>
                  <w:r>
                    <w:rPr>
                      <w:rFonts w:hint="eastAsia"/>
                      <w:szCs w:val="21"/>
                    </w:rPr>
                    <w:t>1</w:t>
                  </w:r>
                </w:p>
              </w:tc>
              <w:tc>
                <w:tcPr>
                  <w:tcW w:w="1065" w:type="dxa"/>
                  <w:vAlign w:val="center"/>
                </w:tcPr>
                <w:p w14:paraId="105663C0">
                  <w:pPr>
                    <w:jc w:val="center"/>
                    <w:rPr>
                      <w:rFonts w:hint="eastAsia" w:eastAsia="宋体"/>
                      <w:color w:val="auto"/>
                      <w:szCs w:val="21"/>
                      <w:lang w:val="en-US" w:eastAsia="zh-CN"/>
                    </w:rPr>
                  </w:pPr>
                  <w:r>
                    <w:rPr>
                      <w:rFonts w:hint="eastAsia"/>
                      <w:color w:val="auto"/>
                      <w:szCs w:val="21"/>
                      <w:lang w:val="en-US" w:eastAsia="zh-CN"/>
                    </w:rPr>
                    <w:t>0</w:t>
                  </w:r>
                </w:p>
              </w:tc>
              <w:tc>
                <w:tcPr>
                  <w:tcW w:w="1352" w:type="dxa"/>
                  <w:vAlign w:val="center"/>
                </w:tcPr>
                <w:p w14:paraId="1E477C82">
                  <w:pPr>
                    <w:jc w:val="center"/>
                    <w:rPr>
                      <w:rFonts w:hint="eastAsia" w:eastAsia="宋体"/>
                      <w:color w:val="auto"/>
                      <w:szCs w:val="21"/>
                      <w:lang w:val="en-US" w:eastAsia="zh-CN"/>
                    </w:rPr>
                  </w:pPr>
                  <w:r>
                    <w:rPr>
                      <w:rFonts w:hint="eastAsia"/>
                      <w:color w:val="auto"/>
                      <w:szCs w:val="21"/>
                      <w:lang w:val="en-US" w:eastAsia="zh-CN"/>
                    </w:rPr>
                    <w:t>1</w:t>
                  </w:r>
                </w:p>
              </w:tc>
            </w:tr>
            <w:tr w14:paraId="799D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7181CBC9">
                  <w:pPr>
                    <w:jc w:val="center"/>
                    <w:rPr>
                      <w:color w:val="auto"/>
                      <w:szCs w:val="21"/>
                    </w:rPr>
                  </w:pPr>
                  <w:r>
                    <w:rPr>
                      <w:rFonts w:hint="eastAsia"/>
                      <w:color w:val="auto"/>
                      <w:szCs w:val="21"/>
                    </w:rPr>
                    <w:t>10</w:t>
                  </w:r>
                </w:p>
              </w:tc>
              <w:tc>
                <w:tcPr>
                  <w:tcW w:w="2070" w:type="dxa"/>
                  <w:vAlign w:val="center"/>
                </w:tcPr>
                <w:p w14:paraId="4F1A2E0E">
                  <w:pPr>
                    <w:jc w:val="center"/>
                    <w:rPr>
                      <w:bCs/>
                      <w:color w:val="auto"/>
                      <w:szCs w:val="21"/>
                    </w:rPr>
                  </w:pPr>
                  <w:r>
                    <w:rPr>
                      <w:rFonts w:hint="eastAsia" w:ascii="Times New Roman" w:hAnsi="Times New Roman" w:eastAsiaTheme="minorEastAsia"/>
                      <w:sz w:val="21"/>
                      <w:szCs w:val="21"/>
                    </w:rPr>
                    <w:t>弯管机</w:t>
                  </w:r>
                </w:p>
              </w:tc>
              <w:tc>
                <w:tcPr>
                  <w:tcW w:w="795" w:type="dxa"/>
                  <w:vAlign w:val="center"/>
                </w:tcPr>
                <w:p w14:paraId="3585F829">
                  <w:pPr>
                    <w:jc w:val="center"/>
                    <w:rPr>
                      <w:color w:val="auto"/>
                      <w:szCs w:val="21"/>
                    </w:rPr>
                  </w:pPr>
                  <w:r>
                    <w:rPr>
                      <w:rFonts w:hint="eastAsia" w:ascii="Times New Roman" w:hAnsi="Times New Roman" w:eastAsiaTheme="minorEastAsia"/>
                      <w:sz w:val="21"/>
                      <w:szCs w:val="21"/>
                    </w:rPr>
                    <w:t>台</w:t>
                  </w:r>
                </w:p>
              </w:tc>
              <w:tc>
                <w:tcPr>
                  <w:tcW w:w="1125" w:type="dxa"/>
                  <w:vAlign w:val="center"/>
                </w:tcPr>
                <w:p w14:paraId="022F4257">
                  <w:pPr>
                    <w:jc w:val="center"/>
                    <w:rPr>
                      <w:rFonts w:hint="eastAsia" w:ascii="Times New Roman" w:hAnsi="Times New Roman" w:eastAsiaTheme="minorEastAsia"/>
                      <w:sz w:val="21"/>
                      <w:szCs w:val="21"/>
                    </w:rPr>
                  </w:pPr>
                  <w:r>
                    <w:rPr>
                      <w:rFonts w:hint="eastAsia"/>
                      <w:szCs w:val="21"/>
                    </w:rPr>
                    <w:t>4</w:t>
                  </w:r>
                </w:p>
              </w:tc>
              <w:tc>
                <w:tcPr>
                  <w:tcW w:w="1470" w:type="dxa"/>
                  <w:vAlign w:val="center"/>
                </w:tcPr>
                <w:p w14:paraId="08DA98EB">
                  <w:pPr>
                    <w:jc w:val="center"/>
                    <w:rPr>
                      <w:rFonts w:hint="eastAsia" w:ascii="Times New Roman" w:hAnsi="Times New Roman" w:eastAsiaTheme="minorEastAsia"/>
                      <w:sz w:val="21"/>
                      <w:szCs w:val="21"/>
                    </w:rPr>
                  </w:pPr>
                  <w:r>
                    <w:rPr>
                      <w:rFonts w:hint="eastAsia"/>
                      <w:szCs w:val="21"/>
                    </w:rPr>
                    <w:t>4</w:t>
                  </w:r>
                </w:p>
              </w:tc>
              <w:tc>
                <w:tcPr>
                  <w:tcW w:w="1065" w:type="dxa"/>
                  <w:vAlign w:val="center"/>
                </w:tcPr>
                <w:p w14:paraId="372E4595">
                  <w:pPr>
                    <w:jc w:val="center"/>
                    <w:rPr>
                      <w:rFonts w:hint="eastAsia" w:eastAsia="宋体"/>
                      <w:color w:val="auto"/>
                      <w:szCs w:val="21"/>
                      <w:lang w:val="en-US" w:eastAsia="zh-CN"/>
                    </w:rPr>
                  </w:pPr>
                  <w:r>
                    <w:rPr>
                      <w:rFonts w:hint="eastAsia"/>
                      <w:color w:val="auto"/>
                      <w:szCs w:val="21"/>
                      <w:lang w:val="en-US" w:eastAsia="zh-CN"/>
                    </w:rPr>
                    <w:t>0</w:t>
                  </w:r>
                </w:p>
              </w:tc>
              <w:tc>
                <w:tcPr>
                  <w:tcW w:w="1352" w:type="dxa"/>
                  <w:vAlign w:val="center"/>
                </w:tcPr>
                <w:p w14:paraId="6395F2CD">
                  <w:pPr>
                    <w:jc w:val="center"/>
                    <w:rPr>
                      <w:rFonts w:hint="eastAsia" w:eastAsia="宋体"/>
                      <w:color w:val="auto"/>
                      <w:szCs w:val="21"/>
                      <w:lang w:val="en-US" w:eastAsia="zh-CN"/>
                    </w:rPr>
                  </w:pPr>
                  <w:r>
                    <w:rPr>
                      <w:rFonts w:hint="eastAsia"/>
                      <w:color w:val="auto"/>
                      <w:szCs w:val="21"/>
                      <w:lang w:val="en-US" w:eastAsia="zh-CN"/>
                    </w:rPr>
                    <w:t>4</w:t>
                  </w:r>
                </w:p>
              </w:tc>
            </w:tr>
            <w:tr w14:paraId="1564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1BDD99D7">
                  <w:pPr>
                    <w:jc w:val="center"/>
                    <w:rPr>
                      <w:rFonts w:hint="default" w:eastAsia="宋体"/>
                      <w:color w:val="auto"/>
                      <w:szCs w:val="21"/>
                      <w:lang w:val="en-US" w:eastAsia="zh-CN"/>
                    </w:rPr>
                  </w:pPr>
                  <w:r>
                    <w:rPr>
                      <w:rFonts w:hint="eastAsia"/>
                      <w:color w:val="auto"/>
                      <w:szCs w:val="21"/>
                    </w:rPr>
                    <w:t>11</w:t>
                  </w:r>
                </w:p>
              </w:tc>
              <w:tc>
                <w:tcPr>
                  <w:tcW w:w="2070" w:type="dxa"/>
                  <w:vAlign w:val="center"/>
                </w:tcPr>
                <w:p w14:paraId="78314B35">
                  <w:pPr>
                    <w:jc w:val="center"/>
                    <w:rPr>
                      <w:rFonts w:hint="eastAsia"/>
                      <w:bCs/>
                      <w:color w:val="auto"/>
                      <w:szCs w:val="21"/>
                    </w:rPr>
                  </w:pPr>
                  <w:r>
                    <w:rPr>
                      <w:rFonts w:hint="eastAsia" w:ascii="Times New Roman" w:hAnsi="Times New Roman" w:eastAsiaTheme="minorEastAsia"/>
                      <w:sz w:val="21"/>
                      <w:szCs w:val="21"/>
                    </w:rPr>
                    <w:t>普通车床</w:t>
                  </w:r>
                </w:p>
              </w:tc>
              <w:tc>
                <w:tcPr>
                  <w:tcW w:w="795" w:type="dxa"/>
                  <w:vAlign w:val="center"/>
                </w:tcPr>
                <w:p w14:paraId="0CF47E7F">
                  <w:pPr>
                    <w:jc w:val="center"/>
                    <w:rPr>
                      <w:rFonts w:hint="eastAsia"/>
                      <w:color w:val="auto"/>
                      <w:szCs w:val="21"/>
                    </w:rPr>
                  </w:pPr>
                  <w:r>
                    <w:rPr>
                      <w:rFonts w:hint="eastAsia" w:ascii="Times New Roman" w:hAnsi="Times New Roman" w:eastAsiaTheme="minorEastAsia"/>
                      <w:sz w:val="21"/>
                      <w:szCs w:val="21"/>
                    </w:rPr>
                    <w:t>台</w:t>
                  </w:r>
                </w:p>
              </w:tc>
              <w:tc>
                <w:tcPr>
                  <w:tcW w:w="1125" w:type="dxa"/>
                  <w:vAlign w:val="center"/>
                </w:tcPr>
                <w:p w14:paraId="18747FDF">
                  <w:pPr>
                    <w:jc w:val="center"/>
                    <w:rPr>
                      <w:rFonts w:hint="eastAsia" w:ascii="Times New Roman" w:hAnsi="Times New Roman" w:eastAsiaTheme="minorEastAsia"/>
                      <w:sz w:val="21"/>
                      <w:szCs w:val="21"/>
                    </w:rPr>
                  </w:pPr>
                  <w:r>
                    <w:rPr>
                      <w:rFonts w:hint="eastAsia"/>
                      <w:szCs w:val="21"/>
                    </w:rPr>
                    <w:t>1</w:t>
                  </w:r>
                </w:p>
              </w:tc>
              <w:tc>
                <w:tcPr>
                  <w:tcW w:w="1470" w:type="dxa"/>
                  <w:vAlign w:val="center"/>
                </w:tcPr>
                <w:p w14:paraId="2D267142">
                  <w:pPr>
                    <w:jc w:val="center"/>
                    <w:rPr>
                      <w:rFonts w:hint="eastAsia" w:ascii="Times New Roman" w:hAnsi="Times New Roman" w:eastAsiaTheme="minorEastAsia"/>
                      <w:sz w:val="21"/>
                      <w:szCs w:val="21"/>
                    </w:rPr>
                  </w:pPr>
                  <w:r>
                    <w:rPr>
                      <w:rFonts w:hint="eastAsia"/>
                      <w:szCs w:val="21"/>
                    </w:rPr>
                    <w:t>1</w:t>
                  </w:r>
                </w:p>
              </w:tc>
              <w:tc>
                <w:tcPr>
                  <w:tcW w:w="1065" w:type="dxa"/>
                  <w:vAlign w:val="center"/>
                </w:tcPr>
                <w:p w14:paraId="5D372C2F">
                  <w:pPr>
                    <w:jc w:val="center"/>
                    <w:rPr>
                      <w:rFonts w:hint="default" w:eastAsia="宋体"/>
                      <w:color w:val="auto"/>
                      <w:szCs w:val="21"/>
                      <w:lang w:val="en-US" w:eastAsia="zh-CN"/>
                    </w:rPr>
                  </w:pPr>
                  <w:r>
                    <w:rPr>
                      <w:rFonts w:hint="eastAsia"/>
                      <w:color w:val="auto"/>
                      <w:szCs w:val="21"/>
                      <w:lang w:val="en-US" w:eastAsia="zh-CN"/>
                    </w:rPr>
                    <w:t>0</w:t>
                  </w:r>
                </w:p>
              </w:tc>
              <w:tc>
                <w:tcPr>
                  <w:tcW w:w="1352" w:type="dxa"/>
                  <w:vAlign w:val="center"/>
                </w:tcPr>
                <w:p w14:paraId="5DE86F43">
                  <w:pPr>
                    <w:jc w:val="center"/>
                    <w:rPr>
                      <w:rFonts w:hint="default" w:eastAsia="宋体"/>
                      <w:color w:val="auto"/>
                      <w:szCs w:val="21"/>
                      <w:lang w:val="en-US" w:eastAsia="zh-CN"/>
                    </w:rPr>
                  </w:pPr>
                  <w:r>
                    <w:rPr>
                      <w:rFonts w:hint="eastAsia"/>
                      <w:color w:val="auto"/>
                      <w:szCs w:val="21"/>
                      <w:lang w:val="en-US" w:eastAsia="zh-CN"/>
                    </w:rPr>
                    <w:t>1</w:t>
                  </w:r>
                </w:p>
              </w:tc>
            </w:tr>
            <w:tr w14:paraId="7435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3476C74D">
                  <w:pPr>
                    <w:jc w:val="center"/>
                    <w:rPr>
                      <w:rFonts w:hint="default" w:eastAsia="宋体"/>
                      <w:color w:val="auto"/>
                      <w:szCs w:val="21"/>
                      <w:lang w:val="en-US" w:eastAsia="zh-CN"/>
                    </w:rPr>
                  </w:pPr>
                  <w:r>
                    <w:rPr>
                      <w:rFonts w:hint="eastAsia"/>
                      <w:color w:val="auto"/>
                      <w:szCs w:val="21"/>
                      <w:lang w:val="en-US" w:eastAsia="zh-CN"/>
                    </w:rPr>
                    <w:t>12</w:t>
                  </w:r>
                </w:p>
              </w:tc>
              <w:tc>
                <w:tcPr>
                  <w:tcW w:w="2070" w:type="dxa"/>
                  <w:vAlign w:val="center"/>
                </w:tcPr>
                <w:p w14:paraId="67072A4A">
                  <w:pPr>
                    <w:jc w:val="center"/>
                    <w:rPr>
                      <w:rFonts w:hint="eastAsia"/>
                      <w:bCs/>
                      <w:color w:val="auto"/>
                      <w:szCs w:val="21"/>
                    </w:rPr>
                  </w:pPr>
                  <w:r>
                    <w:rPr>
                      <w:rFonts w:hint="eastAsia" w:ascii="Times New Roman" w:hAnsi="Times New Roman" w:eastAsiaTheme="minorEastAsia"/>
                      <w:sz w:val="21"/>
                      <w:szCs w:val="21"/>
                    </w:rPr>
                    <w:t>数控车床</w:t>
                  </w:r>
                </w:p>
              </w:tc>
              <w:tc>
                <w:tcPr>
                  <w:tcW w:w="795" w:type="dxa"/>
                  <w:vAlign w:val="center"/>
                </w:tcPr>
                <w:p w14:paraId="1575B632">
                  <w:pPr>
                    <w:jc w:val="center"/>
                    <w:rPr>
                      <w:rFonts w:hint="eastAsia"/>
                      <w:color w:val="auto"/>
                      <w:szCs w:val="21"/>
                    </w:rPr>
                  </w:pPr>
                  <w:r>
                    <w:rPr>
                      <w:rFonts w:hint="eastAsia" w:ascii="Times New Roman" w:hAnsi="Times New Roman" w:eastAsiaTheme="minorEastAsia"/>
                      <w:sz w:val="21"/>
                      <w:szCs w:val="21"/>
                    </w:rPr>
                    <w:t>台</w:t>
                  </w:r>
                </w:p>
              </w:tc>
              <w:tc>
                <w:tcPr>
                  <w:tcW w:w="1125" w:type="dxa"/>
                  <w:vAlign w:val="center"/>
                </w:tcPr>
                <w:p w14:paraId="4FD127FD">
                  <w:pPr>
                    <w:jc w:val="center"/>
                    <w:rPr>
                      <w:rFonts w:hint="eastAsia" w:ascii="Times New Roman" w:hAnsi="Times New Roman" w:eastAsiaTheme="minorEastAsia"/>
                      <w:sz w:val="21"/>
                      <w:szCs w:val="21"/>
                    </w:rPr>
                  </w:pPr>
                  <w:r>
                    <w:rPr>
                      <w:rFonts w:hint="eastAsia"/>
                      <w:szCs w:val="21"/>
                    </w:rPr>
                    <w:t>2</w:t>
                  </w:r>
                </w:p>
              </w:tc>
              <w:tc>
                <w:tcPr>
                  <w:tcW w:w="1470" w:type="dxa"/>
                  <w:vAlign w:val="center"/>
                </w:tcPr>
                <w:p w14:paraId="67CFCDB4">
                  <w:pPr>
                    <w:jc w:val="center"/>
                    <w:rPr>
                      <w:rFonts w:hint="eastAsia" w:ascii="Times New Roman" w:hAnsi="Times New Roman" w:eastAsiaTheme="minorEastAsia"/>
                      <w:sz w:val="21"/>
                      <w:szCs w:val="21"/>
                    </w:rPr>
                  </w:pPr>
                  <w:r>
                    <w:rPr>
                      <w:rFonts w:hint="eastAsia"/>
                      <w:szCs w:val="21"/>
                    </w:rPr>
                    <w:t>2</w:t>
                  </w:r>
                </w:p>
              </w:tc>
              <w:tc>
                <w:tcPr>
                  <w:tcW w:w="1065" w:type="dxa"/>
                  <w:vAlign w:val="center"/>
                </w:tcPr>
                <w:p w14:paraId="17081B65">
                  <w:pPr>
                    <w:jc w:val="center"/>
                    <w:rPr>
                      <w:rFonts w:hint="eastAsia" w:eastAsia="宋体"/>
                      <w:color w:val="auto"/>
                      <w:szCs w:val="21"/>
                      <w:lang w:val="en-US" w:eastAsia="zh-CN"/>
                    </w:rPr>
                  </w:pPr>
                  <w:r>
                    <w:rPr>
                      <w:rFonts w:hint="eastAsia"/>
                      <w:color w:val="auto"/>
                      <w:szCs w:val="21"/>
                      <w:lang w:val="en-US" w:eastAsia="zh-CN"/>
                    </w:rPr>
                    <w:t>0</w:t>
                  </w:r>
                </w:p>
              </w:tc>
              <w:tc>
                <w:tcPr>
                  <w:tcW w:w="1352" w:type="dxa"/>
                  <w:vAlign w:val="center"/>
                </w:tcPr>
                <w:p w14:paraId="2C95C40E">
                  <w:pPr>
                    <w:jc w:val="center"/>
                    <w:rPr>
                      <w:rFonts w:hint="eastAsia" w:eastAsia="宋体"/>
                      <w:color w:val="auto"/>
                      <w:szCs w:val="21"/>
                      <w:lang w:val="en-US" w:eastAsia="zh-CN"/>
                    </w:rPr>
                  </w:pPr>
                  <w:r>
                    <w:rPr>
                      <w:rFonts w:hint="eastAsia"/>
                      <w:color w:val="auto"/>
                      <w:szCs w:val="21"/>
                      <w:lang w:val="en-US" w:eastAsia="zh-CN"/>
                    </w:rPr>
                    <w:t>2</w:t>
                  </w:r>
                </w:p>
              </w:tc>
            </w:tr>
            <w:tr w14:paraId="6157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0F644D88">
                  <w:pPr>
                    <w:jc w:val="center"/>
                    <w:rPr>
                      <w:rFonts w:hint="default" w:eastAsia="宋体"/>
                      <w:color w:val="auto"/>
                      <w:szCs w:val="21"/>
                      <w:lang w:val="en-US" w:eastAsia="zh-CN"/>
                    </w:rPr>
                  </w:pPr>
                  <w:r>
                    <w:rPr>
                      <w:rFonts w:hint="eastAsia"/>
                      <w:color w:val="auto"/>
                      <w:szCs w:val="21"/>
                      <w:lang w:val="en-US" w:eastAsia="zh-CN"/>
                    </w:rPr>
                    <w:t>13</w:t>
                  </w:r>
                </w:p>
              </w:tc>
              <w:tc>
                <w:tcPr>
                  <w:tcW w:w="2070" w:type="dxa"/>
                  <w:vAlign w:val="center"/>
                </w:tcPr>
                <w:p w14:paraId="4F3B1B55">
                  <w:pPr>
                    <w:jc w:val="center"/>
                    <w:rPr>
                      <w:rFonts w:hint="eastAsia"/>
                      <w:bCs/>
                      <w:color w:val="auto"/>
                      <w:szCs w:val="21"/>
                    </w:rPr>
                  </w:pPr>
                  <w:r>
                    <w:rPr>
                      <w:rFonts w:hint="eastAsia" w:ascii="Times New Roman" w:hAnsi="Times New Roman" w:eastAsiaTheme="minorEastAsia"/>
                      <w:sz w:val="21"/>
                      <w:szCs w:val="21"/>
                    </w:rPr>
                    <w:t>焊机</w:t>
                  </w:r>
                </w:p>
              </w:tc>
              <w:tc>
                <w:tcPr>
                  <w:tcW w:w="795" w:type="dxa"/>
                  <w:vAlign w:val="center"/>
                </w:tcPr>
                <w:p w14:paraId="74267084">
                  <w:pPr>
                    <w:jc w:val="center"/>
                    <w:rPr>
                      <w:rFonts w:hint="eastAsia"/>
                      <w:color w:val="auto"/>
                      <w:szCs w:val="21"/>
                    </w:rPr>
                  </w:pPr>
                  <w:r>
                    <w:rPr>
                      <w:rFonts w:hint="eastAsia" w:ascii="Times New Roman" w:hAnsi="Times New Roman" w:eastAsiaTheme="minorEastAsia"/>
                      <w:sz w:val="21"/>
                      <w:szCs w:val="21"/>
                    </w:rPr>
                    <w:t>台</w:t>
                  </w:r>
                </w:p>
              </w:tc>
              <w:tc>
                <w:tcPr>
                  <w:tcW w:w="1125" w:type="dxa"/>
                  <w:vAlign w:val="center"/>
                </w:tcPr>
                <w:p w14:paraId="08B7F66D">
                  <w:pPr>
                    <w:jc w:val="center"/>
                    <w:rPr>
                      <w:rFonts w:hint="eastAsia" w:ascii="Times New Roman" w:hAnsi="Times New Roman" w:eastAsiaTheme="minorEastAsia"/>
                      <w:sz w:val="21"/>
                      <w:szCs w:val="21"/>
                    </w:rPr>
                  </w:pPr>
                  <w:r>
                    <w:rPr>
                      <w:rFonts w:hint="eastAsia"/>
                      <w:szCs w:val="21"/>
                    </w:rPr>
                    <w:t>4</w:t>
                  </w:r>
                </w:p>
              </w:tc>
              <w:tc>
                <w:tcPr>
                  <w:tcW w:w="1470" w:type="dxa"/>
                  <w:vAlign w:val="center"/>
                </w:tcPr>
                <w:p w14:paraId="4663AFF2">
                  <w:pPr>
                    <w:jc w:val="center"/>
                    <w:rPr>
                      <w:rFonts w:hint="eastAsia" w:ascii="Times New Roman" w:hAnsi="Times New Roman" w:eastAsiaTheme="minorEastAsia"/>
                      <w:sz w:val="21"/>
                      <w:szCs w:val="21"/>
                    </w:rPr>
                  </w:pPr>
                  <w:r>
                    <w:rPr>
                      <w:rFonts w:hint="eastAsia"/>
                      <w:szCs w:val="21"/>
                    </w:rPr>
                    <w:t>4</w:t>
                  </w:r>
                </w:p>
              </w:tc>
              <w:tc>
                <w:tcPr>
                  <w:tcW w:w="1065" w:type="dxa"/>
                  <w:vAlign w:val="center"/>
                </w:tcPr>
                <w:p w14:paraId="328C8565">
                  <w:pPr>
                    <w:jc w:val="center"/>
                    <w:rPr>
                      <w:rFonts w:hint="eastAsia" w:eastAsia="宋体"/>
                      <w:color w:val="auto"/>
                      <w:szCs w:val="21"/>
                      <w:lang w:val="en-US" w:eastAsia="zh-CN"/>
                    </w:rPr>
                  </w:pPr>
                  <w:r>
                    <w:rPr>
                      <w:rFonts w:hint="eastAsia"/>
                      <w:color w:val="auto"/>
                      <w:szCs w:val="21"/>
                      <w:lang w:val="en-US" w:eastAsia="zh-CN"/>
                    </w:rPr>
                    <w:t>0</w:t>
                  </w:r>
                </w:p>
              </w:tc>
              <w:tc>
                <w:tcPr>
                  <w:tcW w:w="1352" w:type="dxa"/>
                  <w:vAlign w:val="center"/>
                </w:tcPr>
                <w:p w14:paraId="53D91ECE">
                  <w:pPr>
                    <w:jc w:val="center"/>
                    <w:rPr>
                      <w:rFonts w:hint="eastAsia" w:eastAsia="宋体"/>
                      <w:color w:val="auto"/>
                      <w:szCs w:val="21"/>
                      <w:lang w:val="en-US" w:eastAsia="zh-CN"/>
                    </w:rPr>
                  </w:pPr>
                  <w:r>
                    <w:rPr>
                      <w:rFonts w:hint="eastAsia"/>
                      <w:color w:val="auto"/>
                      <w:szCs w:val="21"/>
                      <w:lang w:val="en-US" w:eastAsia="zh-CN"/>
                    </w:rPr>
                    <w:t>4</w:t>
                  </w:r>
                </w:p>
              </w:tc>
            </w:tr>
            <w:tr w14:paraId="43CE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73264972">
                  <w:pPr>
                    <w:jc w:val="center"/>
                    <w:rPr>
                      <w:rFonts w:hint="default" w:eastAsia="宋体"/>
                      <w:color w:val="auto"/>
                      <w:szCs w:val="21"/>
                      <w:lang w:val="en-US" w:eastAsia="zh-CN"/>
                    </w:rPr>
                  </w:pPr>
                  <w:r>
                    <w:rPr>
                      <w:rFonts w:hint="eastAsia"/>
                      <w:color w:val="auto"/>
                      <w:szCs w:val="21"/>
                      <w:lang w:val="en-US" w:eastAsia="zh-CN"/>
                    </w:rPr>
                    <w:t>14</w:t>
                  </w:r>
                </w:p>
              </w:tc>
              <w:tc>
                <w:tcPr>
                  <w:tcW w:w="2070" w:type="dxa"/>
                  <w:vAlign w:val="center"/>
                </w:tcPr>
                <w:p w14:paraId="79080C7C">
                  <w:pPr>
                    <w:jc w:val="center"/>
                    <w:rPr>
                      <w:rFonts w:hint="eastAsia"/>
                      <w:bCs/>
                      <w:color w:val="auto"/>
                      <w:szCs w:val="21"/>
                    </w:rPr>
                  </w:pPr>
                  <w:r>
                    <w:rPr>
                      <w:rFonts w:hint="eastAsia" w:ascii="Times New Roman" w:hAnsi="Times New Roman" w:eastAsiaTheme="minorEastAsia"/>
                      <w:sz w:val="21"/>
                      <w:szCs w:val="21"/>
                    </w:rPr>
                    <w:t>切管机</w:t>
                  </w:r>
                </w:p>
              </w:tc>
              <w:tc>
                <w:tcPr>
                  <w:tcW w:w="795" w:type="dxa"/>
                  <w:vAlign w:val="center"/>
                </w:tcPr>
                <w:p w14:paraId="7BFD97E2">
                  <w:pPr>
                    <w:jc w:val="center"/>
                    <w:rPr>
                      <w:rFonts w:hint="eastAsia"/>
                      <w:color w:val="auto"/>
                      <w:szCs w:val="21"/>
                    </w:rPr>
                  </w:pPr>
                  <w:r>
                    <w:rPr>
                      <w:rFonts w:hint="eastAsia" w:ascii="Times New Roman" w:hAnsi="Times New Roman" w:eastAsiaTheme="minorEastAsia"/>
                      <w:sz w:val="21"/>
                      <w:szCs w:val="21"/>
                    </w:rPr>
                    <w:t>台</w:t>
                  </w:r>
                </w:p>
              </w:tc>
              <w:tc>
                <w:tcPr>
                  <w:tcW w:w="1125" w:type="dxa"/>
                  <w:vAlign w:val="center"/>
                </w:tcPr>
                <w:p w14:paraId="3EACD7F1">
                  <w:pPr>
                    <w:jc w:val="center"/>
                    <w:rPr>
                      <w:rFonts w:hint="eastAsia" w:ascii="Times New Roman" w:hAnsi="Times New Roman" w:eastAsiaTheme="minorEastAsia"/>
                      <w:sz w:val="21"/>
                      <w:szCs w:val="21"/>
                    </w:rPr>
                  </w:pPr>
                  <w:r>
                    <w:rPr>
                      <w:rFonts w:hint="eastAsia"/>
                      <w:szCs w:val="21"/>
                    </w:rPr>
                    <w:t>4</w:t>
                  </w:r>
                </w:p>
              </w:tc>
              <w:tc>
                <w:tcPr>
                  <w:tcW w:w="1470" w:type="dxa"/>
                  <w:vAlign w:val="center"/>
                </w:tcPr>
                <w:p w14:paraId="254DFDB9">
                  <w:pPr>
                    <w:jc w:val="center"/>
                    <w:rPr>
                      <w:rFonts w:hint="eastAsia" w:ascii="Times New Roman" w:hAnsi="Times New Roman" w:eastAsiaTheme="minorEastAsia"/>
                      <w:sz w:val="21"/>
                      <w:szCs w:val="21"/>
                    </w:rPr>
                  </w:pPr>
                  <w:r>
                    <w:rPr>
                      <w:rFonts w:hint="eastAsia"/>
                      <w:szCs w:val="21"/>
                    </w:rPr>
                    <w:t>4</w:t>
                  </w:r>
                </w:p>
              </w:tc>
              <w:tc>
                <w:tcPr>
                  <w:tcW w:w="1065" w:type="dxa"/>
                  <w:vAlign w:val="center"/>
                </w:tcPr>
                <w:p w14:paraId="3C6B13E6">
                  <w:pPr>
                    <w:jc w:val="center"/>
                    <w:rPr>
                      <w:rFonts w:hint="eastAsia" w:eastAsia="宋体"/>
                      <w:color w:val="auto"/>
                      <w:szCs w:val="21"/>
                      <w:lang w:val="en-US" w:eastAsia="zh-CN"/>
                    </w:rPr>
                  </w:pPr>
                  <w:r>
                    <w:rPr>
                      <w:rFonts w:hint="eastAsia"/>
                      <w:color w:val="auto"/>
                      <w:szCs w:val="21"/>
                      <w:lang w:val="en-US" w:eastAsia="zh-CN"/>
                    </w:rPr>
                    <w:t>0</w:t>
                  </w:r>
                </w:p>
              </w:tc>
              <w:tc>
                <w:tcPr>
                  <w:tcW w:w="1352" w:type="dxa"/>
                  <w:vAlign w:val="center"/>
                </w:tcPr>
                <w:p w14:paraId="19154973">
                  <w:pPr>
                    <w:jc w:val="center"/>
                    <w:rPr>
                      <w:rFonts w:hint="eastAsia" w:eastAsia="宋体"/>
                      <w:color w:val="auto"/>
                      <w:szCs w:val="21"/>
                      <w:lang w:val="en-US" w:eastAsia="zh-CN"/>
                    </w:rPr>
                  </w:pPr>
                  <w:r>
                    <w:rPr>
                      <w:rFonts w:hint="eastAsia"/>
                      <w:color w:val="auto"/>
                      <w:szCs w:val="21"/>
                      <w:lang w:val="en-US" w:eastAsia="zh-CN"/>
                    </w:rPr>
                    <w:t>4</w:t>
                  </w:r>
                </w:p>
              </w:tc>
            </w:tr>
            <w:tr w14:paraId="2D86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2C6FADC0">
                  <w:pPr>
                    <w:jc w:val="center"/>
                    <w:rPr>
                      <w:rFonts w:hint="default" w:eastAsia="宋体"/>
                      <w:color w:val="auto"/>
                      <w:szCs w:val="21"/>
                      <w:lang w:val="en-US" w:eastAsia="zh-CN"/>
                    </w:rPr>
                  </w:pPr>
                  <w:r>
                    <w:rPr>
                      <w:rFonts w:hint="eastAsia"/>
                      <w:color w:val="auto"/>
                      <w:szCs w:val="21"/>
                      <w:lang w:val="en-US" w:eastAsia="zh-CN"/>
                    </w:rPr>
                    <w:t>15</w:t>
                  </w:r>
                </w:p>
              </w:tc>
              <w:tc>
                <w:tcPr>
                  <w:tcW w:w="2070" w:type="dxa"/>
                  <w:vAlign w:val="center"/>
                </w:tcPr>
                <w:p w14:paraId="5A0AF282">
                  <w:pPr>
                    <w:jc w:val="center"/>
                    <w:rPr>
                      <w:rFonts w:hint="eastAsia"/>
                      <w:bCs/>
                      <w:color w:val="auto"/>
                      <w:szCs w:val="21"/>
                    </w:rPr>
                  </w:pPr>
                  <w:r>
                    <w:rPr>
                      <w:rFonts w:hint="eastAsia" w:ascii="Times New Roman" w:hAnsi="Times New Roman" w:eastAsiaTheme="minorEastAsia"/>
                      <w:sz w:val="21"/>
                      <w:szCs w:val="21"/>
                    </w:rPr>
                    <w:t>空压机</w:t>
                  </w:r>
                </w:p>
              </w:tc>
              <w:tc>
                <w:tcPr>
                  <w:tcW w:w="795" w:type="dxa"/>
                  <w:vAlign w:val="center"/>
                </w:tcPr>
                <w:p w14:paraId="1CBB8BA8">
                  <w:pPr>
                    <w:jc w:val="center"/>
                    <w:rPr>
                      <w:rFonts w:hint="eastAsia"/>
                      <w:color w:val="auto"/>
                      <w:szCs w:val="21"/>
                    </w:rPr>
                  </w:pPr>
                  <w:r>
                    <w:rPr>
                      <w:rFonts w:hint="eastAsia" w:ascii="Times New Roman" w:hAnsi="Times New Roman" w:eastAsiaTheme="minorEastAsia"/>
                      <w:sz w:val="21"/>
                      <w:szCs w:val="21"/>
                    </w:rPr>
                    <w:t>台</w:t>
                  </w:r>
                </w:p>
              </w:tc>
              <w:tc>
                <w:tcPr>
                  <w:tcW w:w="1125" w:type="dxa"/>
                  <w:vAlign w:val="center"/>
                </w:tcPr>
                <w:p w14:paraId="091B2E61">
                  <w:pPr>
                    <w:jc w:val="center"/>
                    <w:rPr>
                      <w:rFonts w:hint="eastAsia" w:ascii="Times New Roman" w:hAnsi="Times New Roman" w:eastAsiaTheme="minorEastAsia"/>
                      <w:sz w:val="21"/>
                      <w:szCs w:val="21"/>
                    </w:rPr>
                  </w:pPr>
                  <w:r>
                    <w:rPr>
                      <w:rFonts w:hint="eastAsia"/>
                      <w:szCs w:val="21"/>
                    </w:rPr>
                    <w:t>2</w:t>
                  </w:r>
                </w:p>
              </w:tc>
              <w:tc>
                <w:tcPr>
                  <w:tcW w:w="1470" w:type="dxa"/>
                  <w:vAlign w:val="center"/>
                </w:tcPr>
                <w:p w14:paraId="6C9EFC0F">
                  <w:pPr>
                    <w:jc w:val="center"/>
                    <w:rPr>
                      <w:rFonts w:hint="eastAsia" w:ascii="Times New Roman" w:hAnsi="Times New Roman" w:eastAsiaTheme="minorEastAsia"/>
                      <w:sz w:val="21"/>
                      <w:szCs w:val="21"/>
                    </w:rPr>
                  </w:pPr>
                  <w:r>
                    <w:rPr>
                      <w:rFonts w:hint="eastAsia"/>
                      <w:szCs w:val="21"/>
                    </w:rPr>
                    <w:t>2</w:t>
                  </w:r>
                </w:p>
              </w:tc>
              <w:tc>
                <w:tcPr>
                  <w:tcW w:w="1065" w:type="dxa"/>
                  <w:vAlign w:val="center"/>
                </w:tcPr>
                <w:p w14:paraId="5FAF9394">
                  <w:pPr>
                    <w:jc w:val="center"/>
                    <w:rPr>
                      <w:rFonts w:hint="eastAsia" w:eastAsia="宋体"/>
                      <w:color w:val="auto"/>
                      <w:szCs w:val="21"/>
                      <w:lang w:val="en-US" w:eastAsia="zh-CN"/>
                    </w:rPr>
                  </w:pPr>
                  <w:r>
                    <w:rPr>
                      <w:rFonts w:hint="eastAsia"/>
                      <w:color w:val="auto"/>
                      <w:szCs w:val="21"/>
                      <w:lang w:val="en-US" w:eastAsia="zh-CN"/>
                    </w:rPr>
                    <w:t>0</w:t>
                  </w:r>
                </w:p>
              </w:tc>
              <w:tc>
                <w:tcPr>
                  <w:tcW w:w="1352" w:type="dxa"/>
                  <w:vAlign w:val="center"/>
                </w:tcPr>
                <w:p w14:paraId="4DA80A03">
                  <w:pPr>
                    <w:jc w:val="center"/>
                    <w:rPr>
                      <w:rFonts w:hint="eastAsia" w:eastAsia="宋体"/>
                      <w:color w:val="auto"/>
                      <w:szCs w:val="21"/>
                      <w:lang w:val="en-US" w:eastAsia="zh-CN"/>
                    </w:rPr>
                  </w:pPr>
                  <w:r>
                    <w:rPr>
                      <w:rFonts w:hint="eastAsia"/>
                      <w:color w:val="auto"/>
                      <w:szCs w:val="21"/>
                      <w:lang w:val="en-US" w:eastAsia="zh-CN"/>
                    </w:rPr>
                    <w:t>2</w:t>
                  </w:r>
                </w:p>
              </w:tc>
            </w:tr>
            <w:tr w14:paraId="5E1B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44959625">
                  <w:pPr>
                    <w:jc w:val="center"/>
                    <w:rPr>
                      <w:rFonts w:hint="default"/>
                      <w:color w:val="auto"/>
                      <w:szCs w:val="21"/>
                      <w:lang w:val="en-US" w:eastAsia="zh-CN"/>
                    </w:rPr>
                  </w:pPr>
                  <w:r>
                    <w:rPr>
                      <w:rFonts w:hint="eastAsia"/>
                      <w:color w:val="auto"/>
                      <w:szCs w:val="21"/>
                      <w:lang w:val="en-US" w:eastAsia="zh-CN"/>
                    </w:rPr>
                    <w:t>16</w:t>
                  </w:r>
                </w:p>
              </w:tc>
              <w:tc>
                <w:tcPr>
                  <w:tcW w:w="2070" w:type="dxa"/>
                  <w:vAlign w:val="center"/>
                </w:tcPr>
                <w:p w14:paraId="70357139">
                  <w:pPr>
                    <w:jc w:val="center"/>
                    <w:rPr>
                      <w:rFonts w:hint="eastAsia" w:ascii="Times New Roman" w:hAnsi="Times New Roman" w:eastAsiaTheme="minorEastAsia"/>
                      <w:sz w:val="21"/>
                      <w:szCs w:val="21"/>
                      <w:lang w:eastAsia="zh-CN"/>
                    </w:rPr>
                  </w:pPr>
                  <w:r>
                    <w:rPr>
                      <w:rFonts w:hint="eastAsia" w:eastAsiaTheme="minorEastAsia"/>
                      <w:sz w:val="21"/>
                      <w:szCs w:val="21"/>
                      <w:lang w:eastAsia="zh-CN"/>
                    </w:rPr>
                    <w:t>破碎机</w:t>
                  </w:r>
                </w:p>
              </w:tc>
              <w:tc>
                <w:tcPr>
                  <w:tcW w:w="795" w:type="dxa"/>
                  <w:vAlign w:val="center"/>
                </w:tcPr>
                <w:p w14:paraId="270716BA">
                  <w:pPr>
                    <w:jc w:val="center"/>
                    <w:rPr>
                      <w:rFonts w:hint="eastAsia" w:ascii="Times New Roman" w:hAnsi="Times New Roman" w:eastAsiaTheme="minorEastAsia"/>
                      <w:sz w:val="21"/>
                      <w:szCs w:val="21"/>
                      <w:lang w:eastAsia="zh-CN"/>
                    </w:rPr>
                  </w:pPr>
                  <w:r>
                    <w:rPr>
                      <w:rFonts w:hint="eastAsia" w:eastAsiaTheme="minorEastAsia"/>
                      <w:sz w:val="21"/>
                      <w:szCs w:val="21"/>
                      <w:lang w:eastAsia="zh-CN"/>
                    </w:rPr>
                    <w:t>台</w:t>
                  </w:r>
                </w:p>
              </w:tc>
              <w:tc>
                <w:tcPr>
                  <w:tcW w:w="1125" w:type="dxa"/>
                  <w:vAlign w:val="center"/>
                </w:tcPr>
                <w:p w14:paraId="299E7F68">
                  <w:pPr>
                    <w:jc w:val="center"/>
                    <w:rPr>
                      <w:rFonts w:hint="eastAsia" w:eastAsia="宋体"/>
                      <w:szCs w:val="21"/>
                      <w:lang w:val="en-US" w:eastAsia="zh-CN"/>
                    </w:rPr>
                  </w:pPr>
                  <w:r>
                    <w:rPr>
                      <w:rFonts w:hint="eastAsia"/>
                      <w:szCs w:val="21"/>
                      <w:lang w:val="en-US" w:eastAsia="zh-CN"/>
                    </w:rPr>
                    <w:t>0</w:t>
                  </w:r>
                </w:p>
              </w:tc>
              <w:tc>
                <w:tcPr>
                  <w:tcW w:w="1470" w:type="dxa"/>
                  <w:vAlign w:val="center"/>
                </w:tcPr>
                <w:p w14:paraId="2892CC31">
                  <w:pPr>
                    <w:jc w:val="center"/>
                    <w:rPr>
                      <w:rFonts w:hint="eastAsia" w:eastAsia="宋体"/>
                      <w:szCs w:val="21"/>
                      <w:lang w:val="en-US" w:eastAsia="zh-CN"/>
                    </w:rPr>
                  </w:pPr>
                  <w:r>
                    <w:rPr>
                      <w:rFonts w:hint="eastAsia"/>
                      <w:szCs w:val="21"/>
                      <w:lang w:val="en-US" w:eastAsia="zh-CN"/>
                    </w:rPr>
                    <w:t>0</w:t>
                  </w:r>
                </w:p>
              </w:tc>
              <w:tc>
                <w:tcPr>
                  <w:tcW w:w="1065" w:type="dxa"/>
                  <w:vAlign w:val="center"/>
                </w:tcPr>
                <w:p w14:paraId="2399E26E">
                  <w:pPr>
                    <w:jc w:val="center"/>
                    <w:rPr>
                      <w:rFonts w:hint="default"/>
                      <w:color w:val="auto"/>
                      <w:szCs w:val="21"/>
                      <w:lang w:val="en-US" w:eastAsia="zh-CN"/>
                    </w:rPr>
                  </w:pPr>
                  <w:r>
                    <w:rPr>
                      <w:rFonts w:hint="eastAsia"/>
                      <w:color w:val="auto"/>
                      <w:szCs w:val="21"/>
                      <w:lang w:val="en-US" w:eastAsia="zh-CN"/>
                    </w:rPr>
                    <w:t>+1</w:t>
                  </w:r>
                </w:p>
              </w:tc>
              <w:tc>
                <w:tcPr>
                  <w:tcW w:w="1352" w:type="dxa"/>
                  <w:vAlign w:val="center"/>
                </w:tcPr>
                <w:p w14:paraId="4501B293">
                  <w:pPr>
                    <w:jc w:val="center"/>
                    <w:rPr>
                      <w:rFonts w:hint="default"/>
                      <w:color w:val="auto"/>
                      <w:szCs w:val="21"/>
                      <w:lang w:val="en-US" w:eastAsia="zh-CN"/>
                    </w:rPr>
                  </w:pPr>
                  <w:r>
                    <w:rPr>
                      <w:rFonts w:hint="eastAsia"/>
                      <w:color w:val="auto"/>
                      <w:szCs w:val="21"/>
                      <w:lang w:val="en-US" w:eastAsia="zh-CN"/>
                    </w:rPr>
                    <w:t>1</w:t>
                  </w:r>
                </w:p>
              </w:tc>
            </w:tr>
            <w:tr w14:paraId="1F8F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627" w:type="dxa"/>
                  <w:vAlign w:val="center"/>
                </w:tcPr>
                <w:p w14:paraId="755FEC61">
                  <w:pPr>
                    <w:jc w:val="center"/>
                    <w:rPr>
                      <w:rFonts w:hint="default" w:eastAsia="宋体"/>
                      <w:color w:val="auto"/>
                      <w:szCs w:val="21"/>
                      <w:lang w:val="en-US" w:eastAsia="zh-CN"/>
                    </w:rPr>
                  </w:pPr>
                  <w:r>
                    <w:rPr>
                      <w:rFonts w:hint="eastAsia"/>
                      <w:color w:val="auto"/>
                      <w:szCs w:val="21"/>
                      <w:lang w:val="en-US" w:eastAsia="zh-CN"/>
                    </w:rPr>
                    <w:t>17</w:t>
                  </w:r>
                </w:p>
              </w:tc>
              <w:tc>
                <w:tcPr>
                  <w:tcW w:w="2070" w:type="dxa"/>
                  <w:vAlign w:val="center"/>
                </w:tcPr>
                <w:p w14:paraId="7F53183D">
                  <w:pPr>
                    <w:jc w:val="center"/>
                    <w:rPr>
                      <w:rFonts w:hint="eastAsia"/>
                      <w:bCs/>
                      <w:color w:val="auto"/>
                      <w:szCs w:val="21"/>
                    </w:rPr>
                  </w:pPr>
                  <w:r>
                    <w:rPr>
                      <w:rFonts w:hint="eastAsia" w:ascii="Times New Roman" w:hAnsi="Times New Roman" w:eastAsiaTheme="minorEastAsia"/>
                      <w:sz w:val="21"/>
                      <w:szCs w:val="21"/>
                    </w:rPr>
                    <w:t>有机</w:t>
                  </w:r>
                  <w:r>
                    <w:rPr>
                      <w:rFonts w:ascii="Times New Roman" w:hAnsi="Times New Roman" w:eastAsiaTheme="minorEastAsia"/>
                      <w:sz w:val="21"/>
                      <w:szCs w:val="21"/>
                    </w:rPr>
                    <w:t>废气处理设备</w:t>
                  </w:r>
                </w:p>
              </w:tc>
              <w:tc>
                <w:tcPr>
                  <w:tcW w:w="795" w:type="dxa"/>
                  <w:vAlign w:val="center"/>
                </w:tcPr>
                <w:p w14:paraId="60542177">
                  <w:pPr>
                    <w:jc w:val="center"/>
                    <w:rPr>
                      <w:rFonts w:hint="eastAsia"/>
                      <w:color w:val="auto"/>
                      <w:szCs w:val="21"/>
                    </w:rPr>
                  </w:pPr>
                  <w:r>
                    <w:rPr>
                      <w:rFonts w:hint="eastAsia" w:ascii="Times New Roman" w:hAnsi="Times New Roman" w:eastAsiaTheme="minorEastAsia"/>
                      <w:sz w:val="21"/>
                      <w:szCs w:val="21"/>
                    </w:rPr>
                    <w:t>套</w:t>
                  </w:r>
                </w:p>
              </w:tc>
              <w:tc>
                <w:tcPr>
                  <w:tcW w:w="1125" w:type="dxa"/>
                  <w:vAlign w:val="center"/>
                </w:tcPr>
                <w:p w14:paraId="1B07EAA4">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1</w:t>
                  </w:r>
                </w:p>
              </w:tc>
              <w:tc>
                <w:tcPr>
                  <w:tcW w:w="1470" w:type="dxa"/>
                  <w:vAlign w:val="center"/>
                </w:tcPr>
                <w:p w14:paraId="7F7772D7">
                  <w:pPr>
                    <w:jc w:val="center"/>
                    <w:rPr>
                      <w:rFonts w:ascii="Times New Roman" w:hAnsi="Times New Roman" w:eastAsiaTheme="minorEastAsia"/>
                      <w:sz w:val="21"/>
                      <w:szCs w:val="21"/>
                    </w:rPr>
                  </w:pPr>
                  <w:r>
                    <w:rPr>
                      <w:rFonts w:hint="eastAsia" w:ascii="Times New Roman" w:hAnsi="Times New Roman" w:eastAsiaTheme="minorEastAsia"/>
                      <w:sz w:val="21"/>
                      <w:szCs w:val="21"/>
                      <w:lang w:val="en-US" w:eastAsia="zh-CN"/>
                    </w:rPr>
                    <w:t>1</w:t>
                  </w:r>
                </w:p>
              </w:tc>
              <w:tc>
                <w:tcPr>
                  <w:tcW w:w="1065" w:type="dxa"/>
                  <w:vAlign w:val="center"/>
                </w:tcPr>
                <w:p w14:paraId="4B0CF148">
                  <w:pPr>
                    <w:jc w:val="center"/>
                    <w:rPr>
                      <w:rFonts w:hint="eastAsia" w:eastAsia="宋体"/>
                      <w:color w:val="auto"/>
                      <w:szCs w:val="21"/>
                      <w:lang w:val="en-US" w:eastAsia="zh-CN"/>
                    </w:rPr>
                  </w:pPr>
                  <w:r>
                    <w:rPr>
                      <w:rFonts w:hint="eastAsia"/>
                      <w:color w:val="auto"/>
                      <w:szCs w:val="21"/>
                      <w:lang w:val="en-US" w:eastAsia="zh-CN"/>
                    </w:rPr>
                    <w:t>0</w:t>
                  </w:r>
                </w:p>
              </w:tc>
              <w:tc>
                <w:tcPr>
                  <w:tcW w:w="1352" w:type="dxa"/>
                  <w:vAlign w:val="center"/>
                </w:tcPr>
                <w:p w14:paraId="17CB57A3">
                  <w:pPr>
                    <w:jc w:val="center"/>
                    <w:rPr>
                      <w:rFonts w:hint="eastAsia" w:eastAsia="宋体"/>
                      <w:color w:val="auto"/>
                      <w:szCs w:val="21"/>
                      <w:lang w:val="en-US" w:eastAsia="zh-CN"/>
                    </w:rPr>
                  </w:pPr>
                  <w:r>
                    <w:rPr>
                      <w:rFonts w:hint="eastAsia"/>
                      <w:color w:val="auto"/>
                      <w:szCs w:val="21"/>
                      <w:lang w:val="en-US" w:eastAsia="zh-CN"/>
                    </w:rPr>
                    <w:t>1</w:t>
                  </w:r>
                </w:p>
              </w:tc>
            </w:tr>
          </w:tbl>
          <w:p w14:paraId="5B4A0B6A">
            <w:pPr>
              <w:adjustRightInd w:val="0"/>
              <w:snapToGrid w:val="0"/>
              <w:spacing w:line="440" w:lineRule="exact"/>
              <w:rPr>
                <w:rFonts w:hAnsi="宋体"/>
                <w:bCs/>
                <w:color w:val="auto"/>
                <w:sz w:val="24"/>
              </w:rPr>
            </w:pPr>
            <w:r>
              <w:rPr>
                <w:rFonts w:hint="eastAsia" w:hAnsi="宋体"/>
                <w:b/>
                <w:bCs/>
                <w:color w:val="auto"/>
                <w:sz w:val="24"/>
              </w:rPr>
              <w:t xml:space="preserve">    </w:t>
            </w:r>
            <w:r>
              <w:rPr>
                <w:rFonts w:hint="eastAsia" w:hAnsi="宋体"/>
                <w:bCs/>
                <w:color w:val="auto"/>
                <w:sz w:val="24"/>
              </w:rPr>
              <w:t>本项目主要设备产能匹配性分析</w:t>
            </w:r>
          </w:p>
          <w:p w14:paraId="22EE7D10">
            <w:pPr>
              <w:spacing w:line="440" w:lineRule="exact"/>
              <w:ind w:firstLine="422" w:firstLineChars="200"/>
              <w:jc w:val="center"/>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rPr>
              <w:t>4</w:t>
            </w:r>
            <w:r>
              <w:rPr>
                <w:b/>
                <w:color w:val="auto"/>
                <w:szCs w:val="21"/>
              </w:rPr>
              <w:t xml:space="preserve">  </w:t>
            </w:r>
            <w:r>
              <w:rPr>
                <w:rFonts w:hint="eastAsia"/>
                <w:b/>
                <w:color w:val="auto"/>
                <w:szCs w:val="21"/>
              </w:rPr>
              <w:t>注塑机产能匹配性分析统计</w:t>
            </w:r>
            <w:r>
              <w:rPr>
                <w:b/>
                <w:color w:val="auto"/>
                <w:szCs w:val="21"/>
              </w:rPr>
              <w:t>表</w:t>
            </w:r>
          </w:p>
          <w:tbl>
            <w:tblPr>
              <w:tblStyle w:val="37"/>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943"/>
              <w:gridCol w:w="1243"/>
              <w:gridCol w:w="943"/>
              <w:gridCol w:w="771"/>
              <w:gridCol w:w="686"/>
              <w:gridCol w:w="871"/>
              <w:gridCol w:w="786"/>
              <w:gridCol w:w="886"/>
              <w:gridCol w:w="652"/>
            </w:tblGrid>
            <w:tr w14:paraId="6CD08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23" w:type="dxa"/>
                  <w:tcBorders>
                    <w:left w:val="single" w:color="auto" w:sz="4" w:space="0"/>
                    <w:right w:val="single" w:color="auto" w:sz="4" w:space="0"/>
                  </w:tcBorders>
                  <w:vAlign w:val="center"/>
                </w:tcPr>
                <w:p w14:paraId="1FC184F0">
                  <w:pPr>
                    <w:jc w:val="center"/>
                    <w:rPr>
                      <w:b/>
                      <w:color w:val="auto"/>
                      <w:szCs w:val="21"/>
                    </w:rPr>
                  </w:pPr>
                  <w:r>
                    <w:rPr>
                      <w:rFonts w:hint="eastAsia"/>
                      <w:b/>
                      <w:color w:val="auto"/>
                      <w:szCs w:val="21"/>
                    </w:rPr>
                    <w:t>设备</w:t>
                  </w:r>
                </w:p>
                <w:p w14:paraId="214432FF">
                  <w:pPr>
                    <w:jc w:val="center"/>
                    <w:rPr>
                      <w:b/>
                      <w:color w:val="auto"/>
                      <w:szCs w:val="21"/>
                    </w:rPr>
                  </w:pPr>
                  <w:r>
                    <w:rPr>
                      <w:rFonts w:hint="eastAsia"/>
                      <w:b/>
                      <w:color w:val="auto"/>
                      <w:szCs w:val="21"/>
                    </w:rPr>
                    <w:t>名称</w:t>
                  </w:r>
                </w:p>
              </w:tc>
              <w:tc>
                <w:tcPr>
                  <w:tcW w:w="943" w:type="dxa"/>
                  <w:tcBorders>
                    <w:left w:val="single" w:color="auto" w:sz="4" w:space="0"/>
                  </w:tcBorders>
                  <w:vAlign w:val="center"/>
                </w:tcPr>
                <w:p w14:paraId="25E957C6">
                  <w:pPr>
                    <w:jc w:val="center"/>
                    <w:rPr>
                      <w:b/>
                      <w:color w:val="auto"/>
                      <w:szCs w:val="21"/>
                    </w:rPr>
                  </w:pPr>
                  <w:r>
                    <w:rPr>
                      <w:rFonts w:hint="eastAsia"/>
                      <w:b/>
                      <w:color w:val="auto"/>
                      <w:szCs w:val="21"/>
                    </w:rPr>
                    <w:t>型号</w:t>
                  </w:r>
                </w:p>
              </w:tc>
              <w:tc>
                <w:tcPr>
                  <w:tcW w:w="1243" w:type="dxa"/>
                  <w:tcBorders>
                    <w:right w:val="single" w:color="auto" w:sz="4" w:space="0"/>
                  </w:tcBorders>
                  <w:vAlign w:val="center"/>
                </w:tcPr>
                <w:p w14:paraId="0883C8F2">
                  <w:pPr>
                    <w:jc w:val="center"/>
                    <w:rPr>
                      <w:b/>
                      <w:color w:val="auto"/>
                      <w:szCs w:val="21"/>
                    </w:rPr>
                  </w:pPr>
                  <w:r>
                    <w:rPr>
                      <w:rFonts w:hint="eastAsia"/>
                      <w:b/>
                      <w:color w:val="auto"/>
                      <w:szCs w:val="21"/>
                    </w:rPr>
                    <w:t>单台设备生产产能（套/小时）</w:t>
                  </w:r>
                </w:p>
              </w:tc>
              <w:tc>
                <w:tcPr>
                  <w:tcW w:w="943" w:type="dxa"/>
                  <w:tcBorders>
                    <w:left w:val="single" w:color="auto" w:sz="4" w:space="0"/>
                  </w:tcBorders>
                  <w:vAlign w:val="center"/>
                </w:tcPr>
                <w:p w14:paraId="2ED2EFDF">
                  <w:pPr>
                    <w:jc w:val="center"/>
                    <w:rPr>
                      <w:b/>
                      <w:color w:val="auto"/>
                      <w:szCs w:val="21"/>
                    </w:rPr>
                  </w:pPr>
                  <w:r>
                    <w:rPr>
                      <w:rFonts w:hint="eastAsia"/>
                      <w:b/>
                      <w:color w:val="auto"/>
                      <w:szCs w:val="21"/>
                    </w:rPr>
                    <w:t>生产时间（小时）</w:t>
                  </w:r>
                </w:p>
              </w:tc>
              <w:tc>
                <w:tcPr>
                  <w:tcW w:w="771" w:type="dxa"/>
                  <w:tcBorders>
                    <w:right w:val="single" w:color="auto" w:sz="4" w:space="0"/>
                  </w:tcBorders>
                  <w:vAlign w:val="center"/>
                </w:tcPr>
                <w:p w14:paraId="0BF8E725">
                  <w:pPr>
                    <w:jc w:val="center"/>
                    <w:rPr>
                      <w:b/>
                      <w:color w:val="auto"/>
                      <w:szCs w:val="21"/>
                    </w:rPr>
                  </w:pPr>
                  <w:r>
                    <w:rPr>
                      <w:rFonts w:hint="eastAsia"/>
                      <w:b/>
                      <w:color w:val="auto"/>
                      <w:szCs w:val="21"/>
                    </w:rPr>
                    <w:t>设备</w:t>
                  </w:r>
                </w:p>
                <w:p w14:paraId="63AE2F99">
                  <w:pPr>
                    <w:jc w:val="center"/>
                    <w:rPr>
                      <w:b/>
                      <w:color w:val="auto"/>
                      <w:szCs w:val="21"/>
                    </w:rPr>
                  </w:pPr>
                  <w:r>
                    <w:rPr>
                      <w:rFonts w:hint="eastAsia"/>
                      <w:b/>
                      <w:color w:val="auto"/>
                      <w:szCs w:val="21"/>
                    </w:rPr>
                    <w:t>数量（台）</w:t>
                  </w:r>
                </w:p>
              </w:tc>
              <w:tc>
                <w:tcPr>
                  <w:tcW w:w="686" w:type="dxa"/>
                  <w:tcBorders>
                    <w:left w:val="single" w:color="auto" w:sz="4" w:space="0"/>
                    <w:right w:val="single" w:color="auto" w:sz="4" w:space="0"/>
                  </w:tcBorders>
                  <w:vAlign w:val="center"/>
                </w:tcPr>
                <w:p w14:paraId="040161A2">
                  <w:pPr>
                    <w:jc w:val="center"/>
                    <w:rPr>
                      <w:b/>
                      <w:color w:val="auto"/>
                      <w:szCs w:val="21"/>
                    </w:rPr>
                  </w:pPr>
                  <w:r>
                    <w:rPr>
                      <w:rFonts w:hint="eastAsia"/>
                      <w:b/>
                      <w:color w:val="auto"/>
                      <w:szCs w:val="21"/>
                    </w:rPr>
                    <w:t>设备生产效率</w:t>
                  </w:r>
                </w:p>
              </w:tc>
              <w:tc>
                <w:tcPr>
                  <w:tcW w:w="871" w:type="dxa"/>
                  <w:tcBorders>
                    <w:right w:val="single" w:color="auto" w:sz="4" w:space="0"/>
                  </w:tcBorders>
                  <w:vAlign w:val="center"/>
                </w:tcPr>
                <w:p w14:paraId="564CE5A1">
                  <w:pPr>
                    <w:jc w:val="center"/>
                    <w:rPr>
                      <w:b/>
                      <w:color w:val="auto"/>
                      <w:szCs w:val="21"/>
                    </w:rPr>
                  </w:pPr>
                  <w:r>
                    <w:rPr>
                      <w:rFonts w:hint="eastAsia"/>
                      <w:b/>
                      <w:color w:val="auto"/>
                      <w:szCs w:val="21"/>
                    </w:rPr>
                    <w:t>小计</w:t>
                  </w:r>
                  <w:r>
                    <w:rPr>
                      <w:b/>
                      <w:color w:val="auto"/>
                      <w:szCs w:val="21"/>
                    </w:rPr>
                    <w:t>产能</w:t>
                  </w:r>
                  <w:r>
                    <w:rPr>
                      <w:rFonts w:hint="eastAsia"/>
                      <w:b/>
                      <w:color w:val="auto"/>
                      <w:szCs w:val="20"/>
                    </w:rPr>
                    <w:t>（</w:t>
                  </w:r>
                  <w:r>
                    <w:rPr>
                      <w:rFonts w:hint="eastAsia"/>
                      <w:b/>
                      <w:color w:val="auto"/>
                      <w:szCs w:val="21"/>
                    </w:rPr>
                    <w:t>万套</w:t>
                  </w:r>
                  <w:r>
                    <w:rPr>
                      <w:rFonts w:hint="eastAsia"/>
                      <w:b/>
                      <w:color w:val="auto"/>
                      <w:szCs w:val="20"/>
                    </w:rPr>
                    <w:t>）</w:t>
                  </w:r>
                </w:p>
              </w:tc>
              <w:tc>
                <w:tcPr>
                  <w:tcW w:w="786" w:type="dxa"/>
                  <w:tcBorders>
                    <w:left w:val="single" w:color="auto" w:sz="4" w:space="0"/>
                    <w:right w:val="single" w:color="auto" w:sz="4" w:space="0"/>
                  </w:tcBorders>
                  <w:vAlign w:val="center"/>
                </w:tcPr>
                <w:p w14:paraId="1FAB8153">
                  <w:pPr>
                    <w:jc w:val="center"/>
                    <w:rPr>
                      <w:b/>
                      <w:color w:val="auto"/>
                      <w:szCs w:val="21"/>
                    </w:rPr>
                  </w:pPr>
                  <w:r>
                    <w:rPr>
                      <w:b/>
                      <w:color w:val="auto"/>
                      <w:szCs w:val="21"/>
                    </w:rPr>
                    <w:t>总产能</w:t>
                  </w:r>
                  <w:r>
                    <w:rPr>
                      <w:rFonts w:hint="eastAsia"/>
                      <w:b/>
                      <w:color w:val="auto"/>
                      <w:szCs w:val="20"/>
                    </w:rPr>
                    <w:t>（</w:t>
                  </w:r>
                  <w:r>
                    <w:rPr>
                      <w:rFonts w:hint="eastAsia"/>
                      <w:b/>
                      <w:color w:val="auto"/>
                      <w:szCs w:val="21"/>
                    </w:rPr>
                    <w:t>万套</w:t>
                  </w:r>
                  <w:r>
                    <w:rPr>
                      <w:rFonts w:hint="eastAsia"/>
                      <w:b/>
                      <w:color w:val="auto"/>
                      <w:szCs w:val="20"/>
                    </w:rPr>
                    <w:t>）</w:t>
                  </w:r>
                </w:p>
              </w:tc>
              <w:tc>
                <w:tcPr>
                  <w:tcW w:w="886" w:type="dxa"/>
                  <w:tcBorders>
                    <w:right w:val="single" w:color="auto" w:sz="4" w:space="0"/>
                  </w:tcBorders>
                  <w:vAlign w:val="center"/>
                </w:tcPr>
                <w:p w14:paraId="0525D542">
                  <w:pPr>
                    <w:jc w:val="center"/>
                    <w:rPr>
                      <w:b/>
                      <w:color w:val="auto"/>
                      <w:szCs w:val="20"/>
                    </w:rPr>
                  </w:pPr>
                  <w:r>
                    <w:rPr>
                      <w:b/>
                      <w:color w:val="auto"/>
                      <w:szCs w:val="21"/>
                    </w:rPr>
                    <w:t>设计产能</w:t>
                  </w:r>
                  <w:r>
                    <w:rPr>
                      <w:rFonts w:hint="eastAsia"/>
                      <w:b/>
                      <w:color w:val="auto"/>
                      <w:szCs w:val="20"/>
                    </w:rPr>
                    <w:t>（</w:t>
                  </w:r>
                  <w:r>
                    <w:rPr>
                      <w:rFonts w:hint="eastAsia"/>
                      <w:b/>
                      <w:color w:val="auto"/>
                      <w:szCs w:val="21"/>
                    </w:rPr>
                    <w:t>万套</w:t>
                  </w:r>
                  <w:r>
                    <w:rPr>
                      <w:rFonts w:hint="eastAsia"/>
                      <w:b/>
                      <w:color w:val="auto"/>
                      <w:szCs w:val="20"/>
                    </w:rPr>
                    <w:t>）</w:t>
                  </w:r>
                </w:p>
              </w:tc>
              <w:tc>
                <w:tcPr>
                  <w:tcW w:w="652" w:type="dxa"/>
                  <w:vAlign w:val="center"/>
                </w:tcPr>
                <w:p w14:paraId="1AA9B068">
                  <w:pPr>
                    <w:jc w:val="center"/>
                    <w:rPr>
                      <w:b/>
                      <w:color w:val="auto"/>
                      <w:szCs w:val="21"/>
                    </w:rPr>
                  </w:pPr>
                  <w:r>
                    <w:rPr>
                      <w:b/>
                      <w:color w:val="auto"/>
                      <w:szCs w:val="21"/>
                    </w:rPr>
                    <w:t>产能匹配分析</w:t>
                  </w:r>
                </w:p>
              </w:tc>
            </w:tr>
            <w:tr w14:paraId="7CBDD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23" w:type="dxa"/>
                  <w:vMerge w:val="restart"/>
                  <w:tcBorders>
                    <w:left w:val="single" w:color="auto" w:sz="4" w:space="0"/>
                    <w:right w:val="single" w:color="auto" w:sz="4" w:space="0"/>
                  </w:tcBorders>
                  <w:vAlign w:val="center"/>
                </w:tcPr>
                <w:p w14:paraId="7FA36FA6">
                  <w:pPr>
                    <w:jc w:val="center"/>
                    <w:rPr>
                      <w:color w:val="auto"/>
                      <w:szCs w:val="21"/>
                    </w:rPr>
                  </w:pPr>
                  <w:r>
                    <w:rPr>
                      <w:rFonts w:hint="eastAsia"/>
                      <w:color w:val="auto"/>
                      <w:szCs w:val="21"/>
                    </w:rPr>
                    <w:t>注塑机</w:t>
                  </w:r>
                </w:p>
              </w:tc>
              <w:tc>
                <w:tcPr>
                  <w:tcW w:w="943" w:type="dxa"/>
                  <w:tcBorders>
                    <w:left w:val="single" w:color="auto" w:sz="4" w:space="0"/>
                  </w:tcBorders>
                  <w:vAlign w:val="center"/>
                </w:tcPr>
                <w:p w14:paraId="77489A81">
                  <w:pPr>
                    <w:jc w:val="center"/>
                    <w:rPr>
                      <w:color w:val="auto"/>
                      <w:szCs w:val="21"/>
                    </w:rPr>
                  </w:pPr>
                  <w:r>
                    <w:rPr>
                      <w:rFonts w:hint="eastAsia"/>
                      <w:color w:val="auto"/>
                      <w:szCs w:val="21"/>
                      <w:lang w:val="en-US" w:eastAsia="zh-CN"/>
                    </w:rPr>
                    <w:t>528</w:t>
                  </w:r>
                  <w:r>
                    <w:rPr>
                      <w:color w:val="auto"/>
                      <w:szCs w:val="21"/>
                    </w:rPr>
                    <w:t>T</w:t>
                  </w:r>
                </w:p>
              </w:tc>
              <w:tc>
                <w:tcPr>
                  <w:tcW w:w="1243" w:type="dxa"/>
                  <w:tcBorders>
                    <w:right w:val="single" w:color="auto" w:sz="4" w:space="0"/>
                  </w:tcBorders>
                  <w:vAlign w:val="center"/>
                </w:tcPr>
                <w:p w14:paraId="65DA7E06">
                  <w:pPr>
                    <w:jc w:val="center"/>
                    <w:rPr>
                      <w:rFonts w:hint="default" w:eastAsia="宋体"/>
                      <w:color w:val="auto"/>
                      <w:szCs w:val="21"/>
                      <w:lang w:val="en-US" w:eastAsia="zh-CN"/>
                    </w:rPr>
                  </w:pPr>
                  <w:r>
                    <w:rPr>
                      <w:rFonts w:hint="eastAsia"/>
                      <w:color w:val="auto"/>
                      <w:szCs w:val="21"/>
                      <w:lang w:val="en-US" w:eastAsia="zh-CN"/>
                    </w:rPr>
                    <w:t>40</w:t>
                  </w:r>
                </w:p>
              </w:tc>
              <w:tc>
                <w:tcPr>
                  <w:tcW w:w="943" w:type="dxa"/>
                  <w:tcBorders>
                    <w:left w:val="single" w:color="auto" w:sz="4" w:space="0"/>
                  </w:tcBorders>
                  <w:vAlign w:val="center"/>
                </w:tcPr>
                <w:p w14:paraId="52E27252">
                  <w:pPr>
                    <w:jc w:val="center"/>
                    <w:rPr>
                      <w:color w:val="auto"/>
                      <w:szCs w:val="21"/>
                    </w:rPr>
                  </w:pPr>
                  <w:r>
                    <w:rPr>
                      <w:rFonts w:hint="eastAsia"/>
                      <w:color w:val="auto"/>
                      <w:szCs w:val="21"/>
                    </w:rPr>
                    <w:t>3600</w:t>
                  </w:r>
                </w:p>
              </w:tc>
              <w:tc>
                <w:tcPr>
                  <w:tcW w:w="771" w:type="dxa"/>
                  <w:tcBorders>
                    <w:right w:val="single" w:color="auto" w:sz="4" w:space="0"/>
                  </w:tcBorders>
                  <w:vAlign w:val="center"/>
                </w:tcPr>
                <w:p w14:paraId="069CC4FC">
                  <w:pPr>
                    <w:jc w:val="center"/>
                    <w:rPr>
                      <w:rFonts w:hint="eastAsia" w:eastAsia="宋体"/>
                      <w:color w:val="auto"/>
                      <w:szCs w:val="21"/>
                      <w:lang w:eastAsia="zh-CN"/>
                    </w:rPr>
                  </w:pPr>
                  <w:r>
                    <w:rPr>
                      <w:rFonts w:hint="eastAsia"/>
                      <w:color w:val="auto"/>
                      <w:szCs w:val="21"/>
                      <w:lang w:val="en-US" w:eastAsia="zh-CN"/>
                    </w:rPr>
                    <w:t>1</w:t>
                  </w:r>
                </w:p>
              </w:tc>
              <w:tc>
                <w:tcPr>
                  <w:tcW w:w="686" w:type="dxa"/>
                  <w:vMerge w:val="restart"/>
                  <w:tcBorders>
                    <w:left w:val="single" w:color="auto" w:sz="4" w:space="0"/>
                    <w:right w:val="single" w:color="auto" w:sz="4" w:space="0"/>
                  </w:tcBorders>
                  <w:vAlign w:val="center"/>
                </w:tcPr>
                <w:p w14:paraId="798EBE3D">
                  <w:pPr>
                    <w:jc w:val="center"/>
                    <w:rPr>
                      <w:color w:val="auto"/>
                      <w:szCs w:val="21"/>
                    </w:rPr>
                  </w:pPr>
                  <w:r>
                    <w:rPr>
                      <w:rFonts w:hint="eastAsia"/>
                      <w:color w:val="auto"/>
                      <w:szCs w:val="21"/>
                    </w:rPr>
                    <w:t>0.9</w:t>
                  </w:r>
                </w:p>
              </w:tc>
              <w:tc>
                <w:tcPr>
                  <w:tcW w:w="871" w:type="dxa"/>
                  <w:tcBorders>
                    <w:right w:val="single" w:color="auto" w:sz="4" w:space="0"/>
                  </w:tcBorders>
                  <w:vAlign w:val="center"/>
                </w:tcPr>
                <w:p w14:paraId="28DDD253">
                  <w:pPr>
                    <w:jc w:val="center"/>
                    <w:rPr>
                      <w:rFonts w:hint="default" w:eastAsia="宋体"/>
                      <w:color w:val="auto"/>
                      <w:szCs w:val="21"/>
                      <w:lang w:val="en-US" w:eastAsia="zh-CN"/>
                    </w:rPr>
                  </w:pPr>
                  <w:r>
                    <w:rPr>
                      <w:rFonts w:hint="eastAsia"/>
                      <w:color w:val="auto"/>
                      <w:szCs w:val="21"/>
                      <w:lang w:val="en-US" w:eastAsia="zh-CN"/>
                    </w:rPr>
                    <w:t>13.0</w:t>
                  </w:r>
                </w:p>
              </w:tc>
              <w:tc>
                <w:tcPr>
                  <w:tcW w:w="786" w:type="dxa"/>
                  <w:vMerge w:val="restart"/>
                  <w:tcBorders>
                    <w:left w:val="single" w:color="auto" w:sz="4" w:space="0"/>
                    <w:right w:val="single" w:color="auto" w:sz="4" w:space="0"/>
                  </w:tcBorders>
                  <w:vAlign w:val="center"/>
                </w:tcPr>
                <w:p w14:paraId="4D7B03A3">
                  <w:pPr>
                    <w:jc w:val="center"/>
                    <w:rPr>
                      <w:rFonts w:hint="default" w:eastAsia="宋体"/>
                      <w:color w:val="auto"/>
                      <w:szCs w:val="21"/>
                      <w:lang w:val="en-US" w:eastAsia="zh-CN"/>
                    </w:rPr>
                  </w:pPr>
                  <w:r>
                    <w:rPr>
                      <w:rFonts w:hint="eastAsia"/>
                      <w:color w:val="auto"/>
                      <w:szCs w:val="21"/>
                      <w:lang w:val="en-US" w:eastAsia="zh-CN"/>
                    </w:rPr>
                    <w:t>100.4</w:t>
                  </w:r>
                </w:p>
              </w:tc>
              <w:tc>
                <w:tcPr>
                  <w:tcW w:w="886" w:type="dxa"/>
                  <w:vMerge w:val="restart"/>
                  <w:tcBorders>
                    <w:right w:val="single" w:color="auto" w:sz="4" w:space="0"/>
                  </w:tcBorders>
                  <w:vAlign w:val="center"/>
                </w:tcPr>
                <w:p w14:paraId="5F950A9D">
                  <w:pPr>
                    <w:jc w:val="center"/>
                    <w:rPr>
                      <w:rFonts w:hint="default" w:eastAsia="宋体"/>
                      <w:color w:val="auto"/>
                      <w:szCs w:val="21"/>
                      <w:lang w:val="en-US" w:eastAsia="zh-CN"/>
                    </w:rPr>
                  </w:pPr>
                  <w:r>
                    <w:rPr>
                      <w:rFonts w:hint="eastAsia"/>
                      <w:color w:val="auto"/>
                      <w:szCs w:val="21"/>
                      <w:lang w:val="en-US" w:eastAsia="zh-CN"/>
                    </w:rPr>
                    <w:t>100</w:t>
                  </w:r>
                </w:p>
              </w:tc>
              <w:tc>
                <w:tcPr>
                  <w:tcW w:w="652" w:type="dxa"/>
                  <w:vMerge w:val="restart"/>
                  <w:vAlign w:val="center"/>
                </w:tcPr>
                <w:p w14:paraId="26B94D30">
                  <w:pPr>
                    <w:jc w:val="center"/>
                    <w:rPr>
                      <w:color w:val="auto"/>
                      <w:szCs w:val="21"/>
                    </w:rPr>
                  </w:pPr>
                  <w:r>
                    <w:rPr>
                      <w:color w:val="auto"/>
                      <w:szCs w:val="21"/>
                    </w:rPr>
                    <w:t>匹配</w:t>
                  </w:r>
                </w:p>
              </w:tc>
            </w:tr>
            <w:tr w14:paraId="7B891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23" w:type="dxa"/>
                  <w:vMerge w:val="continue"/>
                  <w:tcBorders>
                    <w:left w:val="single" w:color="auto" w:sz="4" w:space="0"/>
                    <w:right w:val="single" w:color="auto" w:sz="4" w:space="0"/>
                  </w:tcBorders>
                  <w:vAlign w:val="center"/>
                </w:tcPr>
                <w:p w14:paraId="3ED8416E">
                  <w:pPr>
                    <w:jc w:val="center"/>
                    <w:rPr>
                      <w:rFonts w:hint="eastAsia"/>
                      <w:color w:val="auto"/>
                      <w:szCs w:val="21"/>
                    </w:rPr>
                  </w:pPr>
                </w:p>
              </w:tc>
              <w:tc>
                <w:tcPr>
                  <w:tcW w:w="943" w:type="dxa"/>
                  <w:tcBorders>
                    <w:left w:val="single" w:color="auto" w:sz="4" w:space="0"/>
                  </w:tcBorders>
                  <w:vAlign w:val="center"/>
                </w:tcPr>
                <w:p w14:paraId="3693D311">
                  <w:pPr>
                    <w:jc w:val="center"/>
                    <w:rPr>
                      <w:rFonts w:hint="eastAsia"/>
                      <w:color w:val="auto"/>
                      <w:szCs w:val="21"/>
                      <w:lang w:val="en-US" w:eastAsia="zh-CN"/>
                    </w:rPr>
                  </w:pPr>
                  <w:r>
                    <w:rPr>
                      <w:rFonts w:hint="eastAsia"/>
                      <w:color w:val="auto"/>
                      <w:szCs w:val="21"/>
                      <w:lang w:val="en-US" w:eastAsia="zh-CN"/>
                    </w:rPr>
                    <w:t>425</w:t>
                  </w:r>
                  <w:r>
                    <w:rPr>
                      <w:color w:val="auto"/>
                      <w:szCs w:val="21"/>
                    </w:rPr>
                    <w:t>T</w:t>
                  </w:r>
                </w:p>
              </w:tc>
              <w:tc>
                <w:tcPr>
                  <w:tcW w:w="1243" w:type="dxa"/>
                  <w:tcBorders>
                    <w:right w:val="single" w:color="auto" w:sz="4" w:space="0"/>
                  </w:tcBorders>
                  <w:vAlign w:val="center"/>
                </w:tcPr>
                <w:p w14:paraId="06C54940">
                  <w:pPr>
                    <w:jc w:val="center"/>
                    <w:rPr>
                      <w:rFonts w:hint="default" w:eastAsia="宋体"/>
                      <w:color w:val="auto"/>
                      <w:szCs w:val="21"/>
                      <w:lang w:val="en-US" w:eastAsia="zh-CN"/>
                    </w:rPr>
                  </w:pPr>
                  <w:r>
                    <w:rPr>
                      <w:rFonts w:hint="eastAsia"/>
                      <w:color w:val="auto"/>
                      <w:szCs w:val="21"/>
                      <w:lang w:val="en-US" w:eastAsia="zh-CN"/>
                    </w:rPr>
                    <w:t>30</w:t>
                  </w:r>
                </w:p>
              </w:tc>
              <w:tc>
                <w:tcPr>
                  <w:tcW w:w="943" w:type="dxa"/>
                  <w:tcBorders>
                    <w:left w:val="single" w:color="auto" w:sz="4" w:space="0"/>
                  </w:tcBorders>
                  <w:vAlign w:val="center"/>
                </w:tcPr>
                <w:p w14:paraId="144263AF">
                  <w:pPr>
                    <w:jc w:val="center"/>
                    <w:rPr>
                      <w:rFonts w:hint="eastAsia"/>
                      <w:color w:val="auto"/>
                      <w:szCs w:val="21"/>
                    </w:rPr>
                  </w:pPr>
                  <w:r>
                    <w:rPr>
                      <w:rFonts w:hint="eastAsia"/>
                      <w:color w:val="auto"/>
                      <w:szCs w:val="21"/>
                    </w:rPr>
                    <w:t>3600</w:t>
                  </w:r>
                </w:p>
              </w:tc>
              <w:tc>
                <w:tcPr>
                  <w:tcW w:w="771" w:type="dxa"/>
                  <w:tcBorders>
                    <w:right w:val="single" w:color="auto" w:sz="4" w:space="0"/>
                  </w:tcBorders>
                  <w:vAlign w:val="center"/>
                </w:tcPr>
                <w:p w14:paraId="7B5298C5">
                  <w:pPr>
                    <w:jc w:val="center"/>
                    <w:rPr>
                      <w:rFonts w:hint="eastAsia"/>
                      <w:color w:val="auto"/>
                      <w:szCs w:val="21"/>
                      <w:lang w:val="en-US" w:eastAsia="zh-CN"/>
                    </w:rPr>
                  </w:pPr>
                  <w:r>
                    <w:rPr>
                      <w:rFonts w:hint="eastAsia"/>
                      <w:color w:val="auto"/>
                      <w:szCs w:val="21"/>
                      <w:lang w:val="en-US" w:eastAsia="zh-CN"/>
                    </w:rPr>
                    <w:t>2</w:t>
                  </w:r>
                </w:p>
              </w:tc>
              <w:tc>
                <w:tcPr>
                  <w:tcW w:w="686" w:type="dxa"/>
                  <w:vMerge w:val="continue"/>
                  <w:tcBorders>
                    <w:left w:val="single" w:color="auto" w:sz="4" w:space="0"/>
                    <w:right w:val="single" w:color="auto" w:sz="4" w:space="0"/>
                  </w:tcBorders>
                  <w:vAlign w:val="center"/>
                </w:tcPr>
                <w:p w14:paraId="7F0F40B9">
                  <w:pPr>
                    <w:jc w:val="center"/>
                    <w:rPr>
                      <w:rFonts w:hint="eastAsia"/>
                      <w:color w:val="auto"/>
                      <w:szCs w:val="21"/>
                    </w:rPr>
                  </w:pPr>
                </w:p>
              </w:tc>
              <w:tc>
                <w:tcPr>
                  <w:tcW w:w="871" w:type="dxa"/>
                  <w:tcBorders>
                    <w:right w:val="single" w:color="auto" w:sz="4" w:space="0"/>
                  </w:tcBorders>
                  <w:vAlign w:val="center"/>
                </w:tcPr>
                <w:p w14:paraId="6F4B2660">
                  <w:pPr>
                    <w:jc w:val="center"/>
                    <w:rPr>
                      <w:rFonts w:hint="default" w:eastAsia="宋体"/>
                      <w:color w:val="auto"/>
                      <w:szCs w:val="21"/>
                      <w:lang w:val="en-US" w:eastAsia="zh-CN"/>
                    </w:rPr>
                  </w:pPr>
                  <w:r>
                    <w:rPr>
                      <w:rFonts w:hint="eastAsia"/>
                      <w:color w:val="auto"/>
                      <w:szCs w:val="21"/>
                      <w:lang w:val="en-US" w:eastAsia="zh-CN"/>
                    </w:rPr>
                    <w:t>19.4</w:t>
                  </w:r>
                </w:p>
              </w:tc>
              <w:tc>
                <w:tcPr>
                  <w:tcW w:w="786" w:type="dxa"/>
                  <w:vMerge w:val="continue"/>
                  <w:tcBorders>
                    <w:left w:val="single" w:color="auto" w:sz="4" w:space="0"/>
                    <w:right w:val="single" w:color="auto" w:sz="4" w:space="0"/>
                  </w:tcBorders>
                  <w:vAlign w:val="center"/>
                </w:tcPr>
                <w:p w14:paraId="5C2BC686">
                  <w:pPr>
                    <w:jc w:val="center"/>
                    <w:rPr>
                      <w:rFonts w:hint="eastAsia"/>
                      <w:color w:val="auto"/>
                      <w:szCs w:val="21"/>
                    </w:rPr>
                  </w:pPr>
                </w:p>
              </w:tc>
              <w:tc>
                <w:tcPr>
                  <w:tcW w:w="886" w:type="dxa"/>
                  <w:vMerge w:val="continue"/>
                  <w:tcBorders>
                    <w:right w:val="single" w:color="auto" w:sz="4" w:space="0"/>
                  </w:tcBorders>
                  <w:vAlign w:val="center"/>
                </w:tcPr>
                <w:p w14:paraId="698DAD40">
                  <w:pPr>
                    <w:jc w:val="center"/>
                    <w:rPr>
                      <w:rFonts w:hint="eastAsia"/>
                      <w:color w:val="auto"/>
                      <w:szCs w:val="21"/>
                    </w:rPr>
                  </w:pPr>
                </w:p>
              </w:tc>
              <w:tc>
                <w:tcPr>
                  <w:tcW w:w="652" w:type="dxa"/>
                  <w:vMerge w:val="continue"/>
                  <w:vAlign w:val="center"/>
                </w:tcPr>
                <w:p w14:paraId="3FAAB181">
                  <w:pPr>
                    <w:jc w:val="center"/>
                    <w:rPr>
                      <w:color w:val="auto"/>
                      <w:szCs w:val="21"/>
                    </w:rPr>
                  </w:pPr>
                </w:p>
              </w:tc>
            </w:tr>
            <w:tr w14:paraId="671E9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23" w:type="dxa"/>
                  <w:vMerge w:val="continue"/>
                  <w:tcBorders>
                    <w:left w:val="single" w:color="auto" w:sz="4" w:space="0"/>
                    <w:right w:val="single" w:color="auto" w:sz="4" w:space="0"/>
                  </w:tcBorders>
                  <w:vAlign w:val="center"/>
                </w:tcPr>
                <w:p w14:paraId="2ABB7688">
                  <w:pPr>
                    <w:jc w:val="center"/>
                    <w:rPr>
                      <w:color w:val="auto"/>
                      <w:szCs w:val="21"/>
                    </w:rPr>
                  </w:pPr>
                </w:p>
              </w:tc>
              <w:tc>
                <w:tcPr>
                  <w:tcW w:w="943" w:type="dxa"/>
                  <w:tcBorders>
                    <w:left w:val="single" w:color="auto" w:sz="4" w:space="0"/>
                  </w:tcBorders>
                  <w:vAlign w:val="center"/>
                </w:tcPr>
                <w:p w14:paraId="1251F429">
                  <w:pPr>
                    <w:jc w:val="center"/>
                    <w:rPr>
                      <w:color w:val="auto"/>
                      <w:szCs w:val="21"/>
                    </w:rPr>
                  </w:pPr>
                  <w:r>
                    <w:rPr>
                      <w:rFonts w:hint="eastAsia"/>
                      <w:color w:val="auto"/>
                      <w:szCs w:val="21"/>
                      <w:lang w:val="en-US" w:eastAsia="zh-CN"/>
                    </w:rPr>
                    <w:t>285</w:t>
                  </w:r>
                  <w:r>
                    <w:rPr>
                      <w:color w:val="auto"/>
                      <w:szCs w:val="21"/>
                    </w:rPr>
                    <w:t>T</w:t>
                  </w:r>
                </w:p>
              </w:tc>
              <w:tc>
                <w:tcPr>
                  <w:tcW w:w="1243" w:type="dxa"/>
                  <w:tcBorders>
                    <w:right w:val="single" w:color="auto" w:sz="4" w:space="0"/>
                  </w:tcBorders>
                  <w:vAlign w:val="center"/>
                </w:tcPr>
                <w:p w14:paraId="14BB4946">
                  <w:pPr>
                    <w:jc w:val="center"/>
                    <w:rPr>
                      <w:rFonts w:hint="default" w:eastAsia="宋体"/>
                      <w:color w:val="auto"/>
                      <w:szCs w:val="21"/>
                      <w:lang w:val="en-US" w:eastAsia="zh-CN"/>
                    </w:rPr>
                  </w:pPr>
                  <w:r>
                    <w:rPr>
                      <w:rFonts w:hint="eastAsia"/>
                      <w:color w:val="auto"/>
                      <w:szCs w:val="21"/>
                      <w:lang w:val="en-US" w:eastAsia="zh-CN"/>
                    </w:rPr>
                    <w:t>25</w:t>
                  </w:r>
                </w:p>
              </w:tc>
              <w:tc>
                <w:tcPr>
                  <w:tcW w:w="943" w:type="dxa"/>
                  <w:tcBorders>
                    <w:left w:val="single" w:color="auto" w:sz="4" w:space="0"/>
                  </w:tcBorders>
                  <w:vAlign w:val="center"/>
                </w:tcPr>
                <w:p w14:paraId="6B3D709A">
                  <w:pPr>
                    <w:jc w:val="center"/>
                    <w:rPr>
                      <w:color w:val="auto"/>
                      <w:szCs w:val="21"/>
                    </w:rPr>
                  </w:pPr>
                  <w:r>
                    <w:rPr>
                      <w:rFonts w:hint="eastAsia"/>
                      <w:color w:val="auto"/>
                      <w:szCs w:val="21"/>
                    </w:rPr>
                    <w:t>3600</w:t>
                  </w:r>
                </w:p>
              </w:tc>
              <w:tc>
                <w:tcPr>
                  <w:tcW w:w="771" w:type="dxa"/>
                  <w:tcBorders>
                    <w:right w:val="single" w:color="auto" w:sz="4" w:space="0"/>
                  </w:tcBorders>
                  <w:vAlign w:val="center"/>
                </w:tcPr>
                <w:p w14:paraId="74F37A17">
                  <w:pPr>
                    <w:jc w:val="center"/>
                    <w:rPr>
                      <w:rFonts w:hint="eastAsia" w:eastAsia="宋体"/>
                      <w:color w:val="auto"/>
                      <w:szCs w:val="21"/>
                      <w:lang w:eastAsia="zh-CN"/>
                    </w:rPr>
                  </w:pPr>
                  <w:r>
                    <w:rPr>
                      <w:rFonts w:hint="eastAsia"/>
                      <w:color w:val="auto"/>
                      <w:szCs w:val="21"/>
                      <w:lang w:val="en-US" w:eastAsia="zh-CN"/>
                    </w:rPr>
                    <w:t>2</w:t>
                  </w:r>
                </w:p>
              </w:tc>
              <w:tc>
                <w:tcPr>
                  <w:tcW w:w="686" w:type="dxa"/>
                  <w:vMerge w:val="continue"/>
                  <w:tcBorders>
                    <w:left w:val="single" w:color="auto" w:sz="4" w:space="0"/>
                    <w:right w:val="single" w:color="auto" w:sz="4" w:space="0"/>
                  </w:tcBorders>
                  <w:vAlign w:val="center"/>
                </w:tcPr>
                <w:p w14:paraId="0A49C049">
                  <w:pPr>
                    <w:jc w:val="center"/>
                    <w:rPr>
                      <w:color w:val="auto"/>
                      <w:szCs w:val="21"/>
                    </w:rPr>
                  </w:pPr>
                </w:p>
              </w:tc>
              <w:tc>
                <w:tcPr>
                  <w:tcW w:w="871" w:type="dxa"/>
                  <w:tcBorders>
                    <w:right w:val="single" w:color="auto" w:sz="4" w:space="0"/>
                  </w:tcBorders>
                  <w:vAlign w:val="center"/>
                </w:tcPr>
                <w:p w14:paraId="65D324C6">
                  <w:pPr>
                    <w:jc w:val="center"/>
                    <w:rPr>
                      <w:rFonts w:hint="default" w:eastAsia="宋体"/>
                      <w:color w:val="auto"/>
                      <w:szCs w:val="21"/>
                      <w:lang w:val="en-US" w:eastAsia="zh-CN"/>
                    </w:rPr>
                  </w:pPr>
                  <w:r>
                    <w:rPr>
                      <w:rFonts w:hint="eastAsia"/>
                      <w:color w:val="auto"/>
                      <w:szCs w:val="21"/>
                      <w:lang w:val="en-US" w:eastAsia="zh-CN"/>
                    </w:rPr>
                    <w:t>16.2</w:t>
                  </w:r>
                </w:p>
              </w:tc>
              <w:tc>
                <w:tcPr>
                  <w:tcW w:w="786" w:type="dxa"/>
                  <w:vMerge w:val="continue"/>
                  <w:tcBorders>
                    <w:left w:val="single" w:color="auto" w:sz="4" w:space="0"/>
                    <w:right w:val="single" w:color="auto" w:sz="4" w:space="0"/>
                  </w:tcBorders>
                  <w:vAlign w:val="center"/>
                </w:tcPr>
                <w:p w14:paraId="4C665705">
                  <w:pPr>
                    <w:jc w:val="center"/>
                    <w:rPr>
                      <w:color w:val="auto"/>
                      <w:szCs w:val="21"/>
                    </w:rPr>
                  </w:pPr>
                </w:p>
              </w:tc>
              <w:tc>
                <w:tcPr>
                  <w:tcW w:w="886" w:type="dxa"/>
                  <w:vMerge w:val="continue"/>
                  <w:tcBorders>
                    <w:right w:val="single" w:color="auto" w:sz="4" w:space="0"/>
                  </w:tcBorders>
                  <w:vAlign w:val="center"/>
                </w:tcPr>
                <w:p w14:paraId="5B1E628A">
                  <w:pPr>
                    <w:jc w:val="center"/>
                    <w:rPr>
                      <w:color w:val="auto"/>
                      <w:szCs w:val="21"/>
                    </w:rPr>
                  </w:pPr>
                </w:p>
              </w:tc>
              <w:tc>
                <w:tcPr>
                  <w:tcW w:w="652" w:type="dxa"/>
                  <w:vMerge w:val="continue"/>
                  <w:vAlign w:val="center"/>
                </w:tcPr>
                <w:p w14:paraId="1065E069">
                  <w:pPr>
                    <w:jc w:val="center"/>
                    <w:rPr>
                      <w:color w:val="auto"/>
                      <w:szCs w:val="21"/>
                    </w:rPr>
                  </w:pPr>
                </w:p>
              </w:tc>
            </w:tr>
            <w:tr w14:paraId="5C764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23" w:type="dxa"/>
                  <w:vMerge w:val="continue"/>
                  <w:tcBorders>
                    <w:left w:val="single" w:color="auto" w:sz="4" w:space="0"/>
                    <w:right w:val="single" w:color="auto" w:sz="4" w:space="0"/>
                  </w:tcBorders>
                  <w:vAlign w:val="center"/>
                </w:tcPr>
                <w:p w14:paraId="4F3100E6">
                  <w:pPr>
                    <w:jc w:val="center"/>
                    <w:rPr>
                      <w:color w:val="auto"/>
                      <w:szCs w:val="21"/>
                    </w:rPr>
                  </w:pPr>
                </w:p>
              </w:tc>
              <w:tc>
                <w:tcPr>
                  <w:tcW w:w="943" w:type="dxa"/>
                  <w:tcBorders>
                    <w:left w:val="single" w:color="auto" w:sz="4" w:space="0"/>
                  </w:tcBorders>
                  <w:vAlign w:val="center"/>
                </w:tcPr>
                <w:p w14:paraId="589FA7D8">
                  <w:pPr>
                    <w:jc w:val="center"/>
                    <w:rPr>
                      <w:color w:val="auto"/>
                      <w:szCs w:val="21"/>
                    </w:rPr>
                  </w:pPr>
                  <w:r>
                    <w:rPr>
                      <w:rFonts w:hint="eastAsia"/>
                      <w:color w:val="auto"/>
                      <w:szCs w:val="21"/>
                      <w:lang w:val="en-US" w:eastAsia="zh-CN"/>
                    </w:rPr>
                    <w:t>160</w:t>
                  </w:r>
                  <w:r>
                    <w:rPr>
                      <w:color w:val="auto"/>
                      <w:szCs w:val="21"/>
                    </w:rPr>
                    <w:t>T</w:t>
                  </w:r>
                </w:p>
              </w:tc>
              <w:tc>
                <w:tcPr>
                  <w:tcW w:w="1243" w:type="dxa"/>
                  <w:tcBorders>
                    <w:right w:val="single" w:color="auto" w:sz="4" w:space="0"/>
                  </w:tcBorders>
                  <w:vAlign w:val="center"/>
                </w:tcPr>
                <w:p w14:paraId="449AF5DF">
                  <w:pPr>
                    <w:jc w:val="center"/>
                    <w:rPr>
                      <w:rFonts w:hint="default" w:eastAsia="宋体"/>
                      <w:color w:val="auto"/>
                      <w:szCs w:val="21"/>
                      <w:lang w:val="en-US" w:eastAsia="zh-CN"/>
                    </w:rPr>
                  </w:pPr>
                  <w:r>
                    <w:rPr>
                      <w:rFonts w:hint="eastAsia"/>
                      <w:color w:val="auto"/>
                      <w:szCs w:val="21"/>
                      <w:lang w:val="en-US" w:eastAsia="zh-CN"/>
                    </w:rPr>
                    <w:t>20</w:t>
                  </w:r>
                </w:p>
              </w:tc>
              <w:tc>
                <w:tcPr>
                  <w:tcW w:w="943" w:type="dxa"/>
                  <w:tcBorders>
                    <w:left w:val="single" w:color="auto" w:sz="4" w:space="0"/>
                  </w:tcBorders>
                  <w:vAlign w:val="center"/>
                </w:tcPr>
                <w:p w14:paraId="038FE201">
                  <w:pPr>
                    <w:jc w:val="center"/>
                    <w:rPr>
                      <w:color w:val="auto"/>
                      <w:szCs w:val="21"/>
                    </w:rPr>
                  </w:pPr>
                  <w:r>
                    <w:rPr>
                      <w:rFonts w:hint="eastAsia"/>
                      <w:color w:val="auto"/>
                      <w:szCs w:val="21"/>
                    </w:rPr>
                    <w:t>3600</w:t>
                  </w:r>
                </w:p>
              </w:tc>
              <w:tc>
                <w:tcPr>
                  <w:tcW w:w="771" w:type="dxa"/>
                  <w:tcBorders>
                    <w:right w:val="single" w:color="auto" w:sz="4" w:space="0"/>
                  </w:tcBorders>
                  <w:vAlign w:val="center"/>
                </w:tcPr>
                <w:p w14:paraId="46F06586">
                  <w:pPr>
                    <w:jc w:val="center"/>
                    <w:rPr>
                      <w:rFonts w:hint="eastAsia" w:eastAsia="宋体"/>
                      <w:color w:val="auto"/>
                      <w:szCs w:val="21"/>
                      <w:lang w:eastAsia="zh-CN"/>
                    </w:rPr>
                  </w:pPr>
                  <w:r>
                    <w:rPr>
                      <w:rFonts w:hint="eastAsia"/>
                      <w:color w:val="auto"/>
                      <w:szCs w:val="21"/>
                      <w:lang w:val="en-US" w:eastAsia="zh-CN"/>
                    </w:rPr>
                    <w:t>3</w:t>
                  </w:r>
                </w:p>
              </w:tc>
              <w:tc>
                <w:tcPr>
                  <w:tcW w:w="686" w:type="dxa"/>
                  <w:vMerge w:val="continue"/>
                  <w:tcBorders>
                    <w:left w:val="single" w:color="auto" w:sz="4" w:space="0"/>
                    <w:right w:val="single" w:color="auto" w:sz="4" w:space="0"/>
                  </w:tcBorders>
                  <w:vAlign w:val="center"/>
                </w:tcPr>
                <w:p w14:paraId="22132428">
                  <w:pPr>
                    <w:jc w:val="center"/>
                    <w:rPr>
                      <w:color w:val="auto"/>
                      <w:szCs w:val="21"/>
                    </w:rPr>
                  </w:pPr>
                </w:p>
              </w:tc>
              <w:tc>
                <w:tcPr>
                  <w:tcW w:w="871" w:type="dxa"/>
                  <w:tcBorders>
                    <w:right w:val="single" w:color="auto" w:sz="4" w:space="0"/>
                  </w:tcBorders>
                  <w:vAlign w:val="center"/>
                </w:tcPr>
                <w:p w14:paraId="71C4F40D">
                  <w:pPr>
                    <w:jc w:val="center"/>
                    <w:rPr>
                      <w:rFonts w:hint="default" w:eastAsia="宋体"/>
                      <w:color w:val="auto"/>
                      <w:szCs w:val="21"/>
                      <w:lang w:val="en-US" w:eastAsia="zh-CN"/>
                    </w:rPr>
                  </w:pPr>
                  <w:r>
                    <w:rPr>
                      <w:rFonts w:hint="eastAsia"/>
                      <w:color w:val="auto"/>
                      <w:szCs w:val="21"/>
                      <w:lang w:val="en-US" w:eastAsia="zh-CN"/>
                    </w:rPr>
                    <w:t>19.4</w:t>
                  </w:r>
                </w:p>
              </w:tc>
              <w:tc>
                <w:tcPr>
                  <w:tcW w:w="786" w:type="dxa"/>
                  <w:vMerge w:val="continue"/>
                  <w:tcBorders>
                    <w:left w:val="single" w:color="auto" w:sz="4" w:space="0"/>
                    <w:right w:val="single" w:color="auto" w:sz="4" w:space="0"/>
                  </w:tcBorders>
                  <w:vAlign w:val="center"/>
                </w:tcPr>
                <w:p w14:paraId="1CC83350">
                  <w:pPr>
                    <w:jc w:val="center"/>
                    <w:rPr>
                      <w:color w:val="auto"/>
                      <w:szCs w:val="21"/>
                    </w:rPr>
                  </w:pPr>
                </w:p>
              </w:tc>
              <w:tc>
                <w:tcPr>
                  <w:tcW w:w="886" w:type="dxa"/>
                  <w:vMerge w:val="continue"/>
                  <w:tcBorders>
                    <w:right w:val="single" w:color="auto" w:sz="4" w:space="0"/>
                  </w:tcBorders>
                  <w:vAlign w:val="center"/>
                </w:tcPr>
                <w:p w14:paraId="00B3ECD3">
                  <w:pPr>
                    <w:jc w:val="center"/>
                    <w:rPr>
                      <w:color w:val="auto"/>
                      <w:szCs w:val="21"/>
                    </w:rPr>
                  </w:pPr>
                </w:p>
              </w:tc>
              <w:tc>
                <w:tcPr>
                  <w:tcW w:w="652" w:type="dxa"/>
                  <w:vMerge w:val="continue"/>
                  <w:vAlign w:val="center"/>
                </w:tcPr>
                <w:p w14:paraId="34CB951D">
                  <w:pPr>
                    <w:jc w:val="center"/>
                    <w:rPr>
                      <w:color w:val="auto"/>
                      <w:szCs w:val="21"/>
                    </w:rPr>
                  </w:pPr>
                </w:p>
              </w:tc>
            </w:tr>
            <w:tr w14:paraId="278A0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23" w:type="dxa"/>
                  <w:vMerge w:val="continue"/>
                  <w:tcBorders>
                    <w:left w:val="single" w:color="auto" w:sz="4" w:space="0"/>
                    <w:right w:val="single" w:color="auto" w:sz="4" w:space="0"/>
                  </w:tcBorders>
                  <w:vAlign w:val="center"/>
                </w:tcPr>
                <w:p w14:paraId="1B45B358">
                  <w:pPr>
                    <w:jc w:val="center"/>
                    <w:rPr>
                      <w:color w:val="auto"/>
                      <w:szCs w:val="21"/>
                    </w:rPr>
                  </w:pPr>
                </w:p>
              </w:tc>
              <w:tc>
                <w:tcPr>
                  <w:tcW w:w="943" w:type="dxa"/>
                  <w:tcBorders>
                    <w:left w:val="single" w:color="auto" w:sz="4" w:space="0"/>
                  </w:tcBorders>
                  <w:vAlign w:val="center"/>
                </w:tcPr>
                <w:p w14:paraId="71097755">
                  <w:pPr>
                    <w:jc w:val="center"/>
                    <w:rPr>
                      <w:color w:val="auto"/>
                      <w:szCs w:val="21"/>
                    </w:rPr>
                  </w:pPr>
                  <w:r>
                    <w:rPr>
                      <w:rFonts w:hint="eastAsia"/>
                      <w:color w:val="auto"/>
                      <w:szCs w:val="21"/>
                      <w:lang w:val="en-US" w:eastAsia="zh-CN"/>
                    </w:rPr>
                    <w:t>130</w:t>
                  </w:r>
                  <w:r>
                    <w:rPr>
                      <w:color w:val="auto"/>
                      <w:szCs w:val="21"/>
                    </w:rPr>
                    <w:t>T</w:t>
                  </w:r>
                </w:p>
              </w:tc>
              <w:tc>
                <w:tcPr>
                  <w:tcW w:w="1243" w:type="dxa"/>
                  <w:tcBorders>
                    <w:right w:val="single" w:color="auto" w:sz="4" w:space="0"/>
                  </w:tcBorders>
                  <w:vAlign w:val="center"/>
                </w:tcPr>
                <w:p w14:paraId="39C20427">
                  <w:pPr>
                    <w:jc w:val="center"/>
                    <w:rPr>
                      <w:rFonts w:hint="default" w:eastAsia="宋体"/>
                      <w:color w:val="auto"/>
                      <w:szCs w:val="21"/>
                      <w:lang w:val="en-US" w:eastAsia="zh-CN"/>
                    </w:rPr>
                  </w:pPr>
                  <w:r>
                    <w:rPr>
                      <w:rFonts w:hint="eastAsia"/>
                      <w:color w:val="auto"/>
                      <w:szCs w:val="21"/>
                      <w:lang w:val="en-US" w:eastAsia="zh-CN"/>
                    </w:rPr>
                    <w:t>20</w:t>
                  </w:r>
                </w:p>
              </w:tc>
              <w:tc>
                <w:tcPr>
                  <w:tcW w:w="943" w:type="dxa"/>
                  <w:tcBorders>
                    <w:left w:val="single" w:color="auto" w:sz="4" w:space="0"/>
                  </w:tcBorders>
                  <w:vAlign w:val="center"/>
                </w:tcPr>
                <w:p w14:paraId="6D6BBF04">
                  <w:pPr>
                    <w:jc w:val="center"/>
                    <w:rPr>
                      <w:color w:val="auto"/>
                      <w:szCs w:val="21"/>
                    </w:rPr>
                  </w:pPr>
                  <w:r>
                    <w:rPr>
                      <w:rFonts w:hint="eastAsia"/>
                      <w:color w:val="auto"/>
                      <w:szCs w:val="21"/>
                    </w:rPr>
                    <w:t>3600</w:t>
                  </w:r>
                </w:p>
              </w:tc>
              <w:tc>
                <w:tcPr>
                  <w:tcW w:w="771" w:type="dxa"/>
                  <w:tcBorders>
                    <w:right w:val="single" w:color="auto" w:sz="4" w:space="0"/>
                  </w:tcBorders>
                  <w:vAlign w:val="center"/>
                </w:tcPr>
                <w:p w14:paraId="5A05D76C">
                  <w:pPr>
                    <w:jc w:val="center"/>
                    <w:rPr>
                      <w:rFonts w:hint="eastAsia" w:eastAsia="宋体"/>
                      <w:color w:val="auto"/>
                      <w:szCs w:val="21"/>
                      <w:lang w:eastAsia="zh-CN"/>
                    </w:rPr>
                  </w:pPr>
                  <w:r>
                    <w:rPr>
                      <w:rFonts w:hint="eastAsia"/>
                      <w:color w:val="auto"/>
                      <w:szCs w:val="21"/>
                      <w:lang w:val="en-US" w:eastAsia="zh-CN"/>
                    </w:rPr>
                    <w:t>3</w:t>
                  </w:r>
                </w:p>
              </w:tc>
              <w:tc>
                <w:tcPr>
                  <w:tcW w:w="686" w:type="dxa"/>
                  <w:vMerge w:val="continue"/>
                  <w:tcBorders>
                    <w:left w:val="single" w:color="auto" w:sz="4" w:space="0"/>
                    <w:right w:val="single" w:color="auto" w:sz="4" w:space="0"/>
                  </w:tcBorders>
                  <w:vAlign w:val="center"/>
                </w:tcPr>
                <w:p w14:paraId="11ACBDB9">
                  <w:pPr>
                    <w:jc w:val="center"/>
                    <w:rPr>
                      <w:color w:val="auto"/>
                      <w:szCs w:val="21"/>
                    </w:rPr>
                  </w:pPr>
                </w:p>
              </w:tc>
              <w:tc>
                <w:tcPr>
                  <w:tcW w:w="871" w:type="dxa"/>
                  <w:tcBorders>
                    <w:right w:val="single" w:color="auto" w:sz="4" w:space="0"/>
                  </w:tcBorders>
                  <w:vAlign w:val="center"/>
                </w:tcPr>
                <w:p w14:paraId="4707F437">
                  <w:pPr>
                    <w:jc w:val="center"/>
                    <w:rPr>
                      <w:rFonts w:hint="default" w:eastAsia="宋体"/>
                      <w:color w:val="auto"/>
                      <w:szCs w:val="21"/>
                      <w:lang w:val="en-US" w:eastAsia="zh-CN"/>
                    </w:rPr>
                  </w:pPr>
                  <w:r>
                    <w:rPr>
                      <w:rFonts w:hint="eastAsia"/>
                      <w:color w:val="auto"/>
                      <w:szCs w:val="21"/>
                      <w:lang w:val="en-US" w:eastAsia="zh-CN"/>
                    </w:rPr>
                    <w:t>19.4</w:t>
                  </w:r>
                </w:p>
              </w:tc>
              <w:tc>
                <w:tcPr>
                  <w:tcW w:w="786" w:type="dxa"/>
                  <w:vMerge w:val="continue"/>
                  <w:tcBorders>
                    <w:left w:val="single" w:color="auto" w:sz="4" w:space="0"/>
                    <w:right w:val="single" w:color="auto" w:sz="4" w:space="0"/>
                  </w:tcBorders>
                  <w:vAlign w:val="center"/>
                </w:tcPr>
                <w:p w14:paraId="0F4ADCB2">
                  <w:pPr>
                    <w:jc w:val="center"/>
                    <w:rPr>
                      <w:color w:val="auto"/>
                      <w:szCs w:val="21"/>
                    </w:rPr>
                  </w:pPr>
                </w:p>
              </w:tc>
              <w:tc>
                <w:tcPr>
                  <w:tcW w:w="886" w:type="dxa"/>
                  <w:vMerge w:val="continue"/>
                  <w:tcBorders>
                    <w:right w:val="single" w:color="auto" w:sz="4" w:space="0"/>
                  </w:tcBorders>
                  <w:vAlign w:val="center"/>
                </w:tcPr>
                <w:p w14:paraId="6F9D3783">
                  <w:pPr>
                    <w:jc w:val="center"/>
                    <w:rPr>
                      <w:color w:val="auto"/>
                      <w:szCs w:val="21"/>
                    </w:rPr>
                  </w:pPr>
                </w:p>
              </w:tc>
              <w:tc>
                <w:tcPr>
                  <w:tcW w:w="652" w:type="dxa"/>
                  <w:vMerge w:val="continue"/>
                  <w:vAlign w:val="center"/>
                </w:tcPr>
                <w:p w14:paraId="226C2B0B">
                  <w:pPr>
                    <w:jc w:val="center"/>
                    <w:rPr>
                      <w:color w:val="auto"/>
                      <w:szCs w:val="21"/>
                    </w:rPr>
                  </w:pPr>
                </w:p>
              </w:tc>
            </w:tr>
            <w:tr w14:paraId="5CB84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23" w:type="dxa"/>
                  <w:vMerge w:val="continue"/>
                  <w:tcBorders>
                    <w:left w:val="single" w:color="auto" w:sz="4" w:space="0"/>
                    <w:right w:val="single" w:color="auto" w:sz="4" w:space="0"/>
                  </w:tcBorders>
                  <w:vAlign w:val="center"/>
                </w:tcPr>
                <w:p w14:paraId="0F23C52A">
                  <w:pPr>
                    <w:jc w:val="center"/>
                    <w:rPr>
                      <w:color w:val="auto"/>
                      <w:szCs w:val="21"/>
                    </w:rPr>
                  </w:pPr>
                </w:p>
              </w:tc>
              <w:tc>
                <w:tcPr>
                  <w:tcW w:w="943" w:type="dxa"/>
                  <w:tcBorders>
                    <w:left w:val="single" w:color="auto" w:sz="4" w:space="0"/>
                  </w:tcBorders>
                  <w:vAlign w:val="center"/>
                </w:tcPr>
                <w:p w14:paraId="4700E67F">
                  <w:pPr>
                    <w:jc w:val="center"/>
                    <w:rPr>
                      <w:color w:val="auto"/>
                      <w:szCs w:val="21"/>
                    </w:rPr>
                  </w:pPr>
                  <w:r>
                    <w:rPr>
                      <w:rFonts w:hint="eastAsia"/>
                      <w:color w:val="auto"/>
                      <w:szCs w:val="21"/>
                      <w:lang w:val="en-US" w:eastAsia="zh-CN"/>
                    </w:rPr>
                    <w:t>90</w:t>
                  </w:r>
                  <w:r>
                    <w:rPr>
                      <w:color w:val="auto"/>
                      <w:szCs w:val="21"/>
                    </w:rPr>
                    <w:t>T</w:t>
                  </w:r>
                </w:p>
              </w:tc>
              <w:tc>
                <w:tcPr>
                  <w:tcW w:w="1243" w:type="dxa"/>
                  <w:tcBorders>
                    <w:right w:val="single" w:color="auto" w:sz="4" w:space="0"/>
                  </w:tcBorders>
                  <w:vAlign w:val="center"/>
                </w:tcPr>
                <w:p w14:paraId="55BFC90A">
                  <w:pPr>
                    <w:jc w:val="center"/>
                    <w:rPr>
                      <w:rFonts w:hint="default" w:eastAsia="宋体"/>
                      <w:color w:val="auto"/>
                      <w:szCs w:val="21"/>
                      <w:lang w:val="en-US" w:eastAsia="zh-CN"/>
                    </w:rPr>
                  </w:pPr>
                  <w:r>
                    <w:rPr>
                      <w:rFonts w:hint="eastAsia"/>
                      <w:color w:val="auto"/>
                      <w:szCs w:val="21"/>
                      <w:lang w:val="en-US" w:eastAsia="zh-CN"/>
                    </w:rPr>
                    <w:t>20</w:t>
                  </w:r>
                </w:p>
              </w:tc>
              <w:tc>
                <w:tcPr>
                  <w:tcW w:w="943" w:type="dxa"/>
                  <w:tcBorders>
                    <w:left w:val="single" w:color="auto" w:sz="4" w:space="0"/>
                  </w:tcBorders>
                  <w:vAlign w:val="center"/>
                </w:tcPr>
                <w:p w14:paraId="6D676C1F">
                  <w:pPr>
                    <w:jc w:val="center"/>
                    <w:rPr>
                      <w:color w:val="auto"/>
                      <w:szCs w:val="21"/>
                    </w:rPr>
                  </w:pPr>
                  <w:r>
                    <w:rPr>
                      <w:rFonts w:hint="eastAsia"/>
                      <w:color w:val="auto"/>
                      <w:szCs w:val="21"/>
                    </w:rPr>
                    <w:t>3600</w:t>
                  </w:r>
                </w:p>
              </w:tc>
              <w:tc>
                <w:tcPr>
                  <w:tcW w:w="771" w:type="dxa"/>
                  <w:tcBorders>
                    <w:right w:val="single" w:color="auto" w:sz="4" w:space="0"/>
                  </w:tcBorders>
                  <w:vAlign w:val="center"/>
                </w:tcPr>
                <w:p w14:paraId="650AA225">
                  <w:pPr>
                    <w:jc w:val="center"/>
                    <w:rPr>
                      <w:rFonts w:hint="eastAsia" w:eastAsia="宋体"/>
                      <w:color w:val="auto"/>
                      <w:szCs w:val="21"/>
                      <w:lang w:eastAsia="zh-CN"/>
                    </w:rPr>
                  </w:pPr>
                  <w:r>
                    <w:rPr>
                      <w:rFonts w:hint="eastAsia"/>
                      <w:color w:val="auto"/>
                      <w:szCs w:val="21"/>
                      <w:lang w:val="en-US" w:eastAsia="zh-CN"/>
                    </w:rPr>
                    <w:t>2</w:t>
                  </w:r>
                </w:p>
              </w:tc>
              <w:tc>
                <w:tcPr>
                  <w:tcW w:w="686" w:type="dxa"/>
                  <w:vMerge w:val="continue"/>
                  <w:tcBorders>
                    <w:left w:val="single" w:color="auto" w:sz="4" w:space="0"/>
                    <w:right w:val="single" w:color="auto" w:sz="4" w:space="0"/>
                  </w:tcBorders>
                  <w:vAlign w:val="center"/>
                </w:tcPr>
                <w:p w14:paraId="0BFBD240">
                  <w:pPr>
                    <w:jc w:val="center"/>
                    <w:rPr>
                      <w:color w:val="auto"/>
                      <w:szCs w:val="21"/>
                    </w:rPr>
                  </w:pPr>
                </w:p>
              </w:tc>
              <w:tc>
                <w:tcPr>
                  <w:tcW w:w="871" w:type="dxa"/>
                  <w:tcBorders>
                    <w:right w:val="single" w:color="auto" w:sz="4" w:space="0"/>
                  </w:tcBorders>
                  <w:vAlign w:val="center"/>
                </w:tcPr>
                <w:p w14:paraId="72AD1D03">
                  <w:pPr>
                    <w:jc w:val="center"/>
                    <w:rPr>
                      <w:rFonts w:hint="default" w:eastAsia="宋体"/>
                      <w:color w:val="auto"/>
                      <w:szCs w:val="21"/>
                      <w:lang w:val="en-US" w:eastAsia="zh-CN"/>
                    </w:rPr>
                  </w:pPr>
                  <w:r>
                    <w:rPr>
                      <w:rFonts w:hint="eastAsia"/>
                      <w:color w:val="auto"/>
                      <w:szCs w:val="21"/>
                      <w:lang w:val="en-US" w:eastAsia="zh-CN"/>
                    </w:rPr>
                    <w:t>13.0</w:t>
                  </w:r>
                </w:p>
              </w:tc>
              <w:tc>
                <w:tcPr>
                  <w:tcW w:w="786" w:type="dxa"/>
                  <w:vMerge w:val="continue"/>
                  <w:tcBorders>
                    <w:left w:val="single" w:color="auto" w:sz="4" w:space="0"/>
                    <w:right w:val="single" w:color="auto" w:sz="4" w:space="0"/>
                  </w:tcBorders>
                  <w:vAlign w:val="center"/>
                </w:tcPr>
                <w:p w14:paraId="3C6C876D">
                  <w:pPr>
                    <w:jc w:val="center"/>
                    <w:rPr>
                      <w:color w:val="auto"/>
                      <w:szCs w:val="21"/>
                    </w:rPr>
                  </w:pPr>
                </w:p>
              </w:tc>
              <w:tc>
                <w:tcPr>
                  <w:tcW w:w="886" w:type="dxa"/>
                  <w:vMerge w:val="continue"/>
                  <w:tcBorders>
                    <w:right w:val="single" w:color="auto" w:sz="4" w:space="0"/>
                  </w:tcBorders>
                  <w:vAlign w:val="center"/>
                </w:tcPr>
                <w:p w14:paraId="6D4FCCCE">
                  <w:pPr>
                    <w:jc w:val="center"/>
                    <w:rPr>
                      <w:color w:val="auto"/>
                      <w:szCs w:val="21"/>
                    </w:rPr>
                  </w:pPr>
                </w:p>
              </w:tc>
              <w:tc>
                <w:tcPr>
                  <w:tcW w:w="652" w:type="dxa"/>
                  <w:vMerge w:val="continue"/>
                  <w:vAlign w:val="center"/>
                </w:tcPr>
                <w:p w14:paraId="3CE1599B">
                  <w:pPr>
                    <w:jc w:val="center"/>
                    <w:rPr>
                      <w:color w:val="auto"/>
                      <w:szCs w:val="21"/>
                    </w:rPr>
                  </w:pPr>
                </w:p>
              </w:tc>
            </w:tr>
          </w:tbl>
          <w:p w14:paraId="03D986BD">
            <w:pPr>
              <w:adjustRightInd w:val="0"/>
              <w:snapToGrid w:val="0"/>
              <w:spacing w:line="420" w:lineRule="exact"/>
              <w:rPr>
                <w:b/>
                <w:color w:val="auto"/>
                <w:sz w:val="24"/>
              </w:rPr>
            </w:pPr>
            <w:r>
              <w:rPr>
                <w:rFonts w:hint="eastAsia" w:hAnsi="宋体"/>
                <w:b/>
                <w:color w:val="auto"/>
                <w:sz w:val="24"/>
              </w:rPr>
              <w:t xml:space="preserve">2.1.4 </w:t>
            </w:r>
            <w:r>
              <w:rPr>
                <w:rFonts w:hAnsi="宋体"/>
                <w:b/>
                <w:color w:val="auto"/>
                <w:sz w:val="24"/>
              </w:rPr>
              <w:t>主要原辅材料</w:t>
            </w:r>
          </w:p>
          <w:p w14:paraId="298BBF2D">
            <w:pPr>
              <w:pStyle w:val="80"/>
              <w:spacing w:line="420" w:lineRule="exact"/>
              <w:ind w:firstLine="480"/>
              <w:rPr>
                <w:rFonts w:eastAsia="宋体"/>
                <w:color w:val="auto"/>
              </w:rPr>
            </w:pPr>
            <w:r>
              <w:rPr>
                <w:rFonts w:hAnsi="宋体" w:eastAsia="宋体"/>
                <w:color w:val="auto"/>
              </w:rPr>
              <w:t>本项目主要原辅材料消耗见表</w:t>
            </w:r>
            <w:r>
              <w:rPr>
                <w:rFonts w:eastAsia="宋体"/>
                <w:color w:val="auto"/>
              </w:rPr>
              <w:t>2-</w:t>
            </w:r>
            <w:r>
              <w:rPr>
                <w:rFonts w:hint="eastAsia" w:eastAsia="宋体"/>
                <w:color w:val="auto"/>
                <w:lang w:val="en-US" w:eastAsia="zh-CN"/>
              </w:rPr>
              <w:t>5</w:t>
            </w:r>
            <w:r>
              <w:rPr>
                <w:rFonts w:hAnsi="宋体" w:eastAsia="宋体"/>
                <w:color w:val="auto"/>
              </w:rPr>
              <w:t>。</w:t>
            </w:r>
          </w:p>
          <w:p w14:paraId="6DBA9BF4">
            <w:pPr>
              <w:spacing w:line="420" w:lineRule="exact"/>
              <w:jc w:val="center"/>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5</w:t>
            </w:r>
            <w:r>
              <w:rPr>
                <w:b/>
                <w:color w:val="auto"/>
                <w:szCs w:val="21"/>
              </w:rPr>
              <w:t xml:space="preserve">  主要原辅材料和能源消耗量统计表</w:t>
            </w:r>
          </w:p>
          <w:tbl>
            <w:tblPr>
              <w:tblStyle w:val="3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896"/>
              <w:gridCol w:w="851"/>
              <w:gridCol w:w="1067"/>
              <w:gridCol w:w="1314"/>
              <w:gridCol w:w="1500"/>
              <w:gridCol w:w="1079"/>
            </w:tblGrid>
            <w:tr w14:paraId="55C6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98" w:type="dxa"/>
                  <w:vAlign w:val="center"/>
                </w:tcPr>
                <w:p w14:paraId="1804561B">
                  <w:pPr>
                    <w:jc w:val="center"/>
                    <w:rPr>
                      <w:b/>
                      <w:color w:val="auto"/>
                      <w:szCs w:val="21"/>
                    </w:rPr>
                  </w:pPr>
                  <w:r>
                    <w:rPr>
                      <w:b/>
                      <w:color w:val="auto"/>
                      <w:szCs w:val="21"/>
                    </w:rPr>
                    <w:t>序号</w:t>
                  </w:r>
                </w:p>
              </w:tc>
              <w:tc>
                <w:tcPr>
                  <w:tcW w:w="1896" w:type="dxa"/>
                  <w:vAlign w:val="center"/>
                </w:tcPr>
                <w:p w14:paraId="2410C27F">
                  <w:pPr>
                    <w:jc w:val="center"/>
                    <w:rPr>
                      <w:b/>
                      <w:color w:val="auto"/>
                      <w:szCs w:val="21"/>
                    </w:rPr>
                  </w:pPr>
                  <w:r>
                    <w:rPr>
                      <w:b/>
                      <w:color w:val="auto"/>
                      <w:szCs w:val="21"/>
                    </w:rPr>
                    <w:t>原材料</w:t>
                  </w:r>
                </w:p>
              </w:tc>
              <w:tc>
                <w:tcPr>
                  <w:tcW w:w="851" w:type="dxa"/>
                  <w:vAlign w:val="center"/>
                </w:tcPr>
                <w:p w14:paraId="2FDC9834">
                  <w:pPr>
                    <w:jc w:val="center"/>
                    <w:rPr>
                      <w:b/>
                      <w:color w:val="auto"/>
                      <w:szCs w:val="21"/>
                    </w:rPr>
                  </w:pPr>
                  <w:r>
                    <w:rPr>
                      <w:b/>
                      <w:color w:val="auto"/>
                      <w:szCs w:val="21"/>
                    </w:rPr>
                    <w:t>单位</w:t>
                  </w:r>
                </w:p>
              </w:tc>
              <w:tc>
                <w:tcPr>
                  <w:tcW w:w="1067" w:type="dxa"/>
                  <w:vAlign w:val="center"/>
                </w:tcPr>
                <w:p w14:paraId="51EB0113">
                  <w:pPr>
                    <w:jc w:val="center"/>
                    <w:rPr>
                      <w:b/>
                      <w:color w:val="auto"/>
                      <w:szCs w:val="21"/>
                    </w:rPr>
                  </w:pPr>
                  <w:r>
                    <w:rPr>
                      <w:rFonts w:hint="eastAsia"/>
                      <w:b/>
                      <w:color w:val="auto"/>
                      <w:szCs w:val="21"/>
                    </w:rPr>
                    <w:t>现有</w:t>
                  </w:r>
                  <w:r>
                    <w:rPr>
                      <w:b/>
                      <w:color w:val="auto"/>
                      <w:szCs w:val="21"/>
                    </w:rPr>
                    <w:t>项目</w:t>
                  </w:r>
                </w:p>
                <w:p w14:paraId="769B9431">
                  <w:pPr>
                    <w:jc w:val="center"/>
                    <w:rPr>
                      <w:b/>
                      <w:color w:val="auto"/>
                      <w:szCs w:val="21"/>
                    </w:rPr>
                  </w:pPr>
                  <w:r>
                    <w:rPr>
                      <w:b/>
                      <w:color w:val="auto"/>
                      <w:szCs w:val="21"/>
                    </w:rPr>
                    <w:t>年消耗量</w:t>
                  </w:r>
                </w:p>
              </w:tc>
              <w:tc>
                <w:tcPr>
                  <w:tcW w:w="1314" w:type="dxa"/>
                  <w:vAlign w:val="center"/>
                </w:tcPr>
                <w:p w14:paraId="3E1E6E48">
                  <w:pPr>
                    <w:jc w:val="center"/>
                    <w:rPr>
                      <w:b/>
                      <w:color w:val="auto"/>
                      <w:szCs w:val="21"/>
                    </w:rPr>
                  </w:pPr>
                  <w:r>
                    <w:rPr>
                      <w:b/>
                      <w:color w:val="auto"/>
                      <w:szCs w:val="21"/>
                    </w:rPr>
                    <w:t>本项目新增</w:t>
                  </w:r>
                </w:p>
                <w:p w14:paraId="78C621FE">
                  <w:pPr>
                    <w:jc w:val="center"/>
                    <w:rPr>
                      <w:b/>
                      <w:color w:val="auto"/>
                      <w:szCs w:val="21"/>
                    </w:rPr>
                  </w:pPr>
                  <w:r>
                    <w:rPr>
                      <w:b/>
                      <w:color w:val="auto"/>
                      <w:szCs w:val="21"/>
                    </w:rPr>
                    <w:t>年消耗量</w:t>
                  </w:r>
                </w:p>
              </w:tc>
              <w:tc>
                <w:tcPr>
                  <w:tcW w:w="1500" w:type="dxa"/>
                  <w:vAlign w:val="center"/>
                </w:tcPr>
                <w:p w14:paraId="58CC077C">
                  <w:pPr>
                    <w:jc w:val="center"/>
                    <w:rPr>
                      <w:b/>
                      <w:color w:val="auto"/>
                      <w:szCs w:val="21"/>
                    </w:rPr>
                  </w:pPr>
                  <w:r>
                    <w:rPr>
                      <w:b/>
                      <w:color w:val="auto"/>
                      <w:szCs w:val="21"/>
                    </w:rPr>
                    <w:t>本项目实施后</w:t>
                  </w:r>
                </w:p>
                <w:p w14:paraId="009B7B65">
                  <w:pPr>
                    <w:jc w:val="center"/>
                    <w:rPr>
                      <w:b/>
                      <w:color w:val="auto"/>
                      <w:szCs w:val="21"/>
                    </w:rPr>
                  </w:pPr>
                  <w:r>
                    <w:rPr>
                      <w:b/>
                      <w:color w:val="auto"/>
                      <w:szCs w:val="21"/>
                    </w:rPr>
                    <w:t>全厂消耗量</w:t>
                  </w:r>
                </w:p>
              </w:tc>
              <w:tc>
                <w:tcPr>
                  <w:tcW w:w="1079" w:type="dxa"/>
                  <w:vAlign w:val="center"/>
                </w:tcPr>
                <w:p w14:paraId="187B7EBE">
                  <w:pPr>
                    <w:jc w:val="center"/>
                    <w:rPr>
                      <w:b/>
                      <w:color w:val="auto"/>
                      <w:szCs w:val="21"/>
                    </w:rPr>
                  </w:pPr>
                  <w:r>
                    <w:rPr>
                      <w:rFonts w:hint="eastAsia"/>
                      <w:b/>
                      <w:color w:val="auto"/>
                      <w:szCs w:val="21"/>
                    </w:rPr>
                    <w:t>备注</w:t>
                  </w:r>
                </w:p>
              </w:tc>
            </w:tr>
            <w:tr w14:paraId="74F1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8" w:type="dxa"/>
                  <w:vAlign w:val="center"/>
                </w:tcPr>
                <w:p w14:paraId="622C2105">
                  <w:pPr>
                    <w:jc w:val="center"/>
                    <w:rPr>
                      <w:color w:val="auto"/>
                      <w:szCs w:val="21"/>
                    </w:rPr>
                  </w:pPr>
                  <w:r>
                    <w:rPr>
                      <w:rFonts w:hint="eastAsia"/>
                      <w:color w:val="auto"/>
                      <w:szCs w:val="21"/>
                    </w:rPr>
                    <w:t>1</w:t>
                  </w:r>
                </w:p>
              </w:tc>
              <w:tc>
                <w:tcPr>
                  <w:tcW w:w="1896" w:type="dxa"/>
                  <w:vAlign w:val="center"/>
                </w:tcPr>
                <w:p w14:paraId="23346D73">
                  <w:pPr>
                    <w:jc w:val="center"/>
                    <w:rPr>
                      <w:color w:val="auto"/>
                      <w:szCs w:val="21"/>
                    </w:rPr>
                  </w:pPr>
                  <w:r>
                    <w:rPr>
                      <w:rFonts w:ascii="Times New Roman" w:hAnsi="Times New Roman" w:eastAsiaTheme="minorEastAsia"/>
                      <w:sz w:val="21"/>
                      <w:szCs w:val="21"/>
                    </w:rPr>
                    <w:t>PP</w:t>
                  </w:r>
                </w:p>
              </w:tc>
              <w:tc>
                <w:tcPr>
                  <w:tcW w:w="851" w:type="dxa"/>
                  <w:vAlign w:val="center"/>
                </w:tcPr>
                <w:p w14:paraId="074C1A11">
                  <w:pPr>
                    <w:jc w:val="center"/>
                    <w:rPr>
                      <w:color w:val="auto"/>
                      <w:szCs w:val="21"/>
                    </w:rPr>
                  </w:pPr>
                  <w:r>
                    <w:rPr>
                      <w:rFonts w:ascii="Times New Roman" w:hAnsi="Times New Roman" w:eastAsiaTheme="minorEastAsia"/>
                      <w:sz w:val="21"/>
                      <w:szCs w:val="21"/>
                    </w:rPr>
                    <w:t>t/a</w:t>
                  </w:r>
                </w:p>
              </w:tc>
              <w:tc>
                <w:tcPr>
                  <w:tcW w:w="1067" w:type="dxa"/>
                  <w:vAlign w:val="center"/>
                </w:tcPr>
                <w:p w14:paraId="4065E60C">
                  <w:pPr>
                    <w:jc w:val="center"/>
                    <w:rPr>
                      <w:rFonts w:hint="default" w:eastAsia="宋体"/>
                      <w:color w:val="auto"/>
                      <w:szCs w:val="21"/>
                      <w:lang w:val="en-US" w:eastAsia="zh-CN"/>
                    </w:rPr>
                  </w:pPr>
                  <w:r>
                    <w:rPr>
                      <w:rFonts w:ascii="Times New Roman" w:hAnsi="Times New Roman"/>
                      <w:sz w:val="21"/>
                      <w:szCs w:val="21"/>
                    </w:rPr>
                    <w:t>200</w:t>
                  </w:r>
                </w:p>
              </w:tc>
              <w:tc>
                <w:tcPr>
                  <w:tcW w:w="1314" w:type="dxa"/>
                  <w:vAlign w:val="center"/>
                </w:tcPr>
                <w:p w14:paraId="357D12C2">
                  <w:pPr>
                    <w:jc w:val="center"/>
                    <w:rPr>
                      <w:rFonts w:hint="default" w:eastAsia="宋体"/>
                      <w:color w:val="auto"/>
                      <w:szCs w:val="21"/>
                      <w:lang w:val="en-US" w:eastAsia="zh-CN"/>
                    </w:rPr>
                  </w:pPr>
                  <w:r>
                    <w:rPr>
                      <w:rFonts w:hint="eastAsia"/>
                      <w:sz w:val="21"/>
                      <w:szCs w:val="21"/>
                      <w:lang w:val="en-US" w:eastAsia="zh-CN"/>
                    </w:rPr>
                    <w:t>0</w:t>
                  </w:r>
                </w:p>
              </w:tc>
              <w:tc>
                <w:tcPr>
                  <w:tcW w:w="1500" w:type="dxa"/>
                  <w:vAlign w:val="center"/>
                </w:tcPr>
                <w:p w14:paraId="363AE273">
                  <w:pPr>
                    <w:adjustRightInd w:val="0"/>
                    <w:snapToGrid w:val="0"/>
                    <w:jc w:val="center"/>
                    <w:rPr>
                      <w:rFonts w:hint="default"/>
                      <w:color w:val="auto"/>
                      <w:szCs w:val="21"/>
                      <w:lang w:val="en-US"/>
                    </w:rPr>
                  </w:pPr>
                  <w:r>
                    <w:rPr>
                      <w:rFonts w:hint="eastAsia"/>
                      <w:color w:val="auto"/>
                      <w:szCs w:val="21"/>
                      <w:lang w:val="en-US" w:eastAsia="zh-CN"/>
                    </w:rPr>
                    <w:t>200</w:t>
                  </w:r>
                </w:p>
              </w:tc>
              <w:tc>
                <w:tcPr>
                  <w:tcW w:w="1079" w:type="dxa"/>
                  <w:vMerge w:val="restart"/>
                  <w:vAlign w:val="center"/>
                </w:tcPr>
                <w:p w14:paraId="279D0E06">
                  <w:pPr>
                    <w:jc w:val="center"/>
                    <w:rPr>
                      <w:color w:val="auto"/>
                    </w:rPr>
                  </w:pPr>
                  <w:r>
                    <w:rPr>
                      <w:rFonts w:hint="eastAsia"/>
                      <w:color w:val="auto"/>
                      <w:szCs w:val="21"/>
                    </w:rPr>
                    <w:t>生产原辅材料</w:t>
                  </w:r>
                </w:p>
              </w:tc>
            </w:tr>
            <w:tr w14:paraId="332E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8" w:type="dxa"/>
                  <w:vAlign w:val="center"/>
                </w:tcPr>
                <w:p w14:paraId="36D8E598">
                  <w:pPr>
                    <w:jc w:val="center"/>
                    <w:rPr>
                      <w:color w:val="auto"/>
                      <w:szCs w:val="21"/>
                    </w:rPr>
                  </w:pPr>
                  <w:r>
                    <w:rPr>
                      <w:rFonts w:hint="eastAsia"/>
                      <w:color w:val="auto"/>
                      <w:szCs w:val="21"/>
                    </w:rPr>
                    <w:t>2</w:t>
                  </w:r>
                </w:p>
              </w:tc>
              <w:tc>
                <w:tcPr>
                  <w:tcW w:w="1896" w:type="dxa"/>
                  <w:vAlign w:val="center"/>
                </w:tcPr>
                <w:p w14:paraId="5FA0C68B">
                  <w:pPr>
                    <w:jc w:val="center"/>
                    <w:rPr>
                      <w:color w:val="auto"/>
                      <w:szCs w:val="21"/>
                    </w:rPr>
                  </w:pPr>
                  <w:r>
                    <w:rPr>
                      <w:rFonts w:ascii="Times New Roman" w:hAnsi="Times New Roman" w:eastAsiaTheme="minorEastAsia"/>
                      <w:sz w:val="21"/>
                      <w:szCs w:val="21"/>
                    </w:rPr>
                    <w:t>ABS</w:t>
                  </w:r>
                </w:p>
              </w:tc>
              <w:tc>
                <w:tcPr>
                  <w:tcW w:w="851" w:type="dxa"/>
                  <w:vAlign w:val="center"/>
                </w:tcPr>
                <w:p w14:paraId="08A5E2CC">
                  <w:pPr>
                    <w:jc w:val="center"/>
                    <w:rPr>
                      <w:color w:val="auto"/>
                      <w:szCs w:val="21"/>
                    </w:rPr>
                  </w:pPr>
                  <w:r>
                    <w:rPr>
                      <w:rFonts w:ascii="Times New Roman" w:hAnsi="Times New Roman" w:eastAsiaTheme="minorEastAsia"/>
                      <w:sz w:val="21"/>
                      <w:szCs w:val="21"/>
                    </w:rPr>
                    <w:t>t/a</w:t>
                  </w:r>
                </w:p>
              </w:tc>
              <w:tc>
                <w:tcPr>
                  <w:tcW w:w="1067" w:type="dxa"/>
                  <w:vAlign w:val="center"/>
                </w:tcPr>
                <w:p w14:paraId="20465940">
                  <w:pPr>
                    <w:jc w:val="center"/>
                    <w:rPr>
                      <w:rFonts w:hint="eastAsia" w:eastAsia="宋体"/>
                      <w:color w:val="auto"/>
                      <w:szCs w:val="21"/>
                      <w:lang w:eastAsia="zh-CN"/>
                    </w:rPr>
                  </w:pPr>
                  <w:r>
                    <w:rPr>
                      <w:rFonts w:ascii="Times New Roman" w:hAnsi="Times New Roman"/>
                      <w:sz w:val="21"/>
                      <w:szCs w:val="21"/>
                    </w:rPr>
                    <w:t>200</w:t>
                  </w:r>
                </w:p>
              </w:tc>
              <w:tc>
                <w:tcPr>
                  <w:tcW w:w="1314" w:type="dxa"/>
                  <w:vAlign w:val="center"/>
                </w:tcPr>
                <w:p w14:paraId="0B4792D2">
                  <w:pPr>
                    <w:jc w:val="center"/>
                    <w:rPr>
                      <w:rFonts w:hint="eastAsia" w:eastAsia="宋体"/>
                      <w:color w:val="auto"/>
                      <w:szCs w:val="21"/>
                      <w:lang w:val="en-US" w:eastAsia="zh-CN"/>
                    </w:rPr>
                  </w:pPr>
                  <w:r>
                    <w:rPr>
                      <w:rFonts w:hint="eastAsia"/>
                      <w:sz w:val="21"/>
                      <w:szCs w:val="21"/>
                      <w:lang w:val="en-US" w:eastAsia="zh-CN"/>
                    </w:rPr>
                    <w:t>0</w:t>
                  </w:r>
                </w:p>
              </w:tc>
              <w:tc>
                <w:tcPr>
                  <w:tcW w:w="1500" w:type="dxa"/>
                  <w:vAlign w:val="center"/>
                </w:tcPr>
                <w:p w14:paraId="5E151045">
                  <w:pPr>
                    <w:adjustRightInd w:val="0"/>
                    <w:snapToGrid w:val="0"/>
                    <w:jc w:val="center"/>
                    <w:rPr>
                      <w:rFonts w:hint="default"/>
                      <w:color w:val="auto"/>
                      <w:szCs w:val="21"/>
                      <w:lang w:val="en-US"/>
                    </w:rPr>
                  </w:pPr>
                  <w:r>
                    <w:rPr>
                      <w:rFonts w:hint="eastAsia"/>
                      <w:color w:val="auto"/>
                      <w:szCs w:val="21"/>
                      <w:lang w:val="en-US" w:eastAsia="zh-CN"/>
                    </w:rPr>
                    <w:t>200</w:t>
                  </w:r>
                </w:p>
              </w:tc>
              <w:tc>
                <w:tcPr>
                  <w:tcW w:w="1079" w:type="dxa"/>
                  <w:vMerge w:val="continue"/>
                  <w:vAlign w:val="center"/>
                </w:tcPr>
                <w:p w14:paraId="72F90FE9">
                  <w:pPr>
                    <w:jc w:val="center"/>
                    <w:rPr>
                      <w:color w:val="auto"/>
                      <w:szCs w:val="21"/>
                    </w:rPr>
                  </w:pPr>
                </w:p>
              </w:tc>
            </w:tr>
            <w:tr w14:paraId="4AAD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8" w:type="dxa"/>
                  <w:vAlign w:val="center"/>
                </w:tcPr>
                <w:p w14:paraId="22B6A50F">
                  <w:pPr>
                    <w:jc w:val="center"/>
                    <w:rPr>
                      <w:color w:val="auto"/>
                      <w:szCs w:val="21"/>
                    </w:rPr>
                  </w:pPr>
                  <w:r>
                    <w:rPr>
                      <w:rFonts w:hint="eastAsia"/>
                      <w:color w:val="auto"/>
                      <w:szCs w:val="21"/>
                    </w:rPr>
                    <w:t>3</w:t>
                  </w:r>
                </w:p>
              </w:tc>
              <w:tc>
                <w:tcPr>
                  <w:tcW w:w="1896" w:type="dxa"/>
                  <w:vAlign w:val="center"/>
                </w:tcPr>
                <w:p w14:paraId="4EDFD38E">
                  <w:pPr>
                    <w:jc w:val="center"/>
                    <w:rPr>
                      <w:color w:val="auto"/>
                      <w:szCs w:val="21"/>
                    </w:rPr>
                  </w:pPr>
                  <w:r>
                    <w:rPr>
                      <w:rFonts w:ascii="Times New Roman" w:hAnsi="Times New Roman" w:eastAsiaTheme="minorEastAsia"/>
                      <w:sz w:val="21"/>
                      <w:szCs w:val="21"/>
                    </w:rPr>
                    <w:t>色母粒</w:t>
                  </w:r>
                </w:p>
              </w:tc>
              <w:tc>
                <w:tcPr>
                  <w:tcW w:w="851" w:type="dxa"/>
                  <w:vAlign w:val="center"/>
                </w:tcPr>
                <w:p w14:paraId="79CD4803">
                  <w:pPr>
                    <w:jc w:val="center"/>
                    <w:rPr>
                      <w:color w:val="auto"/>
                      <w:szCs w:val="21"/>
                    </w:rPr>
                  </w:pPr>
                  <w:r>
                    <w:rPr>
                      <w:rFonts w:ascii="Times New Roman" w:hAnsi="Times New Roman" w:eastAsiaTheme="minorEastAsia"/>
                      <w:sz w:val="21"/>
                      <w:szCs w:val="21"/>
                    </w:rPr>
                    <w:t>t/a</w:t>
                  </w:r>
                </w:p>
              </w:tc>
              <w:tc>
                <w:tcPr>
                  <w:tcW w:w="1067" w:type="dxa"/>
                  <w:vAlign w:val="center"/>
                </w:tcPr>
                <w:p w14:paraId="2C742E33">
                  <w:pPr>
                    <w:jc w:val="center"/>
                    <w:rPr>
                      <w:rFonts w:hint="default" w:eastAsia="宋体"/>
                      <w:color w:val="auto"/>
                      <w:szCs w:val="21"/>
                      <w:lang w:val="en-US" w:eastAsia="zh-CN"/>
                    </w:rPr>
                  </w:pPr>
                  <w:r>
                    <w:rPr>
                      <w:rFonts w:ascii="Times New Roman" w:hAnsi="Times New Roman"/>
                      <w:sz w:val="21"/>
                      <w:szCs w:val="21"/>
                    </w:rPr>
                    <w:t>4</w:t>
                  </w:r>
                </w:p>
              </w:tc>
              <w:tc>
                <w:tcPr>
                  <w:tcW w:w="1314" w:type="dxa"/>
                  <w:vAlign w:val="center"/>
                </w:tcPr>
                <w:p w14:paraId="3ED630B2">
                  <w:pPr>
                    <w:jc w:val="center"/>
                    <w:rPr>
                      <w:rFonts w:hint="eastAsia" w:eastAsia="宋体"/>
                      <w:color w:val="auto"/>
                      <w:szCs w:val="21"/>
                      <w:lang w:val="en-US" w:eastAsia="zh-CN"/>
                    </w:rPr>
                  </w:pPr>
                  <w:r>
                    <w:rPr>
                      <w:rFonts w:hint="eastAsia"/>
                      <w:sz w:val="21"/>
                      <w:szCs w:val="21"/>
                      <w:lang w:val="en-US" w:eastAsia="zh-CN"/>
                    </w:rPr>
                    <w:t>0</w:t>
                  </w:r>
                </w:p>
              </w:tc>
              <w:tc>
                <w:tcPr>
                  <w:tcW w:w="1500" w:type="dxa"/>
                  <w:vAlign w:val="center"/>
                </w:tcPr>
                <w:p w14:paraId="219AADD9">
                  <w:pPr>
                    <w:adjustRightInd w:val="0"/>
                    <w:snapToGrid w:val="0"/>
                    <w:jc w:val="center"/>
                    <w:rPr>
                      <w:rFonts w:hint="default"/>
                      <w:color w:val="auto"/>
                      <w:szCs w:val="21"/>
                      <w:lang w:val="en-US"/>
                    </w:rPr>
                  </w:pPr>
                  <w:r>
                    <w:rPr>
                      <w:rFonts w:hint="eastAsia"/>
                      <w:color w:val="auto"/>
                      <w:szCs w:val="21"/>
                      <w:lang w:val="en-US" w:eastAsia="zh-CN"/>
                    </w:rPr>
                    <w:t>4</w:t>
                  </w:r>
                </w:p>
              </w:tc>
              <w:tc>
                <w:tcPr>
                  <w:tcW w:w="1079" w:type="dxa"/>
                  <w:vMerge w:val="continue"/>
                  <w:vAlign w:val="center"/>
                </w:tcPr>
                <w:p w14:paraId="1778E055">
                  <w:pPr>
                    <w:jc w:val="center"/>
                    <w:rPr>
                      <w:color w:val="auto"/>
                      <w:szCs w:val="21"/>
                    </w:rPr>
                  </w:pPr>
                </w:p>
              </w:tc>
            </w:tr>
            <w:tr w14:paraId="1316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8" w:type="dxa"/>
                  <w:vAlign w:val="center"/>
                </w:tcPr>
                <w:p w14:paraId="045C2E43">
                  <w:pPr>
                    <w:jc w:val="center"/>
                    <w:rPr>
                      <w:rFonts w:hint="eastAsia" w:eastAsia="宋体"/>
                      <w:color w:val="auto"/>
                      <w:szCs w:val="21"/>
                      <w:lang w:val="en-US" w:eastAsia="zh-CN"/>
                    </w:rPr>
                  </w:pPr>
                  <w:r>
                    <w:rPr>
                      <w:rFonts w:hint="eastAsia"/>
                      <w:color w:val="auto"/>
                      <w:szCs w:val="21"/>
                      <w:lang w:val="en-US" w:eastAsia="zh-CN"/>
                    </w:rPr>
                    <w:t>4</w:t>
                  </w:r>
                </w:p>
              </w:tc>
              <w:tc>
                <w:tcPr>
                  <w:tcW w:w="1896" w:type="dxa"/>
                  <w:vAlign w:val="center"/>
                </w:tcPr>
                <w:p w14:paraId="1C9BCF69">
                  <w:pPr>
                    <w:jc w:val="center"/>
                    <w:rPr>
                      <w:rFonts w:hint="eastAsia"/>
                      <w:color w:val="auto"/>
                      <w:szCs w:val="21"/>
                    </w:rPr>
                  </w:pPr>
                  <w:r>
                    <w:rPr>
                      <w:rFonts w:ascii="Times New Roman" w:hAnsi="Times New Roman" w:eastAsiaTheme="minorEastAsia"/>
                      <w:sz w:val="21"/>
                      <w:szCs w:val="21"/>
                    </w:rPr>
                    <w:t>各类钢材</w:t>
                  </w:r>
                </w:p>
              </w:tc>
              <w:tc>
                <w:tcPr>
                  <w:tcW w:w="851" w:type="dxa"/>
                  <w:vAlign w:val="center"/>
                </w:tcPr>
                <w:p w14:paraId="38EA4CAC">
                  <w:pPr>
                    <w:jc w:val="center"/>
                    <w:rPr>
                      <w:rFonts w:hint="eastAsia"/>
                      <w:color w:val="auto"/>
                      <w:szCs w:val="21"/>
                    </w:rPr>
                  </w:pPr>
                  <w:r>
                    <w:rPr>
                      <w:rFonts w:ascii="Times New Roman" w:hAnsi="Times New Roman" w:eastAsiaTheme="minorEastAsia"/>
                      <w:sz w:val="21"/>
                      <w:szCs w:val="21"/>
                    </w:rPr>
                    <w:t>t/a</w:t>
                  </w:r>
                </w:p>
              </w:tc>
              <w:tc>
                <w:tcPr>
                  <w:tcW w:w="1067" w:type="dxa"/>
                  <w:vAlign w:val="center"/>
                </w:tcPr>
                <w:p w14:paraId="1F30744D">
                  <w:pPr>
                    <w:jc w:val="center"/>
                    <w:rPr>
                      <w:rFonts w:hint="default" w:eastAsia="宋体"/>
                      <w:color w:val="auto"/>
                      <w:szCs w:val="21"/>
                      <w:lang w:val="en-US" w:eastAsia="zh-CN"/>
                    </w:rPr>
                  </w:pPr>
                  <w:r>
                    <w:rPr>
                      <w:rFonts w:ascii="Times New Roman" w:hAnsi="Times New Roman"/>
                      <w:sz w:val="21"/>
                      <w:szCs w:val="21"/>
                    </w:rPr>
                    <w:t>500</w:t>
                  </w:r>
                </w:p>
              </w:tc>
              <w:tc>
                <w:tcPr>
                  <w:tcW w:w="1314" w:type="dxa"/>
                  <w:vAlign w:val="center"/>
                </w:tcPr>
                <w:p w14:paraId="4CC3DCA8">
                  <w:pPr>
                    <w:jc w:val="center"/>
                    <w:rPr>
                      <w:rFonts w:hint="default" w:eastAsia="宋体"/>
                      <w:color w:val="auto"/>
                      <w:szCs w:val="21"/>
                      <w:lang w:val="en-US" w:eastAsia="zh-CN"/>
                    </w:rPr>
                  </w:pPr>
                  <w:r>
                    <w:rPr>
                      <w:rFonts w:hint="eastAsia"/>
                      <w:color w:val="auto"/>
                      <w:szCs w:val="21"/>
                      <w:lang w:val="en-US" w:eastAsia="zh-CN"/>
                    </w:rPr>
                    <w:t>0</w:t>
                  </w:r>
                </w:p>
              </w:tc>
              <w:tc>
                <w:tcPr>
                  <w:tcW w:w="1500" w:type="dxa"/>
                  <w:vAlign w:val="center"/>
                </w:tcPr>
                <w:p w14:paraId="386DBFD9">
                  <w:pPr>
                    <w:adjustRightInd w:val="0"/>
                    <w:snapToGrid w:val="0"/>
                    <w:jc w:val="center"/>
                    <w:rPr>
                      <w:rFonts w:hint="eastAsia"/>
                      <w:color w:val="auto"/>
                      <w:szCs w:val="21"/>
                    </w:rPr>
                  </w:pPr>
                  <w:r>
                    <w:rPr>
                      <w:rFonts w:hint="eastAsia"/>
                      <w:color w:val="auto"/>
                      <w:szCs w:val="21"/>
                      <w:lang w:val="en-US" w:eastAsia="zh-CN"/>
                    </w:rPr>
                    <w:t>500</w:t>
                  </w:r>
                </w:p>
              </w:tc>
              <w:tc>
                <w:tcPr>
                  <w:tcW w:w="1079" w:type="dxa"/>
                  <w:vMerge w:val="continue"/>
                  <w:vAlign w:val="center"/>
                </w:tcPr>
                <w:p w14:paraId="4C8709AA">
                  <w:pPr>
                    <w:jc w:val="center"/>
                    <w:rPr>
                      <w:color w:val="auto"/>
                      <w:szCs w:val="21"/>
                    </w:rPr>
                  </w:pPr>
                </w:p>
              </w:tc>
            </w:tr>
            <w:tr w14:paraId="2924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8" w:type="dxa"/>
                  <w:vAlign w:val="center"/>
                </w:tcPr>
                <w:p w14:paraId="05798B72">
                  <w:pPr>
                    <w:jc w:val="center"/>
                    <w:rPr>
                      <w:rFonts w:hint="eastAsia" w:eastAsia="宋体"/>
                      <w:color w:val="auto"/>
                      <w:szCs w:val="21"/>
                      <w:lang w:val="en-US" w:eastAsia="zh-CN"/>
                    </w:rPr>
                  </w:pPr>
                  <w:r>
                    <w:rPr>
                      <w:rFonts w:hint="eastAsia"/>
                      <w:color w:val="auto"/>
                      <w:szCs w:val="21"/>
                      <w:lang w:val="en-US" w:eastAsia="zh-CN"/>
                    </w:rPr>
                    <w:t>5</w:t>
                  </w:r>
                </w:p>
              </w:tc>
              <w:tc>
                <w:tcPr>
                  <w:tcW w:w="1896" w:type="dxa"/>
                  <w:vAlign w:val="center"/>
                </w:tcPr>
                <w:p w14:paraId="338A3DE2">
                  <w:pPr>
                    <w:jc w:val="center"/>
                    <w:rPr>
                      <w:rFonts w:hint="eastAsia"/>
                      <w:color w:val="auto"/>
                      <w:szCs w:val="21"/>
                    </w:rPr>
                  </w:pPr>
                  <w:r>
                    <w:rPr>
                      <w:rFonts w:ascii="Times New Roman" w:hAnsi="Times New Roman" w:eastAsiaTheme="minorEastAsia"/>
                      <w:sz w:val="21"/>
                      <w:szCs w:val="21"/>
                    </w:rPr>
                    <w:t>CO</w:t>
                  </w:r>
                  <w:r>
                    <w:rPr>
                      <w:rFonts w:ascii="Times New Roman" w:hAnsi="Times New Roman" w:eastAsiaTheme="minorEastAsia"/>
                      <w:sz w:val="21"/>
                      <w:szCs w:val="21"/>
                      <w:vertAlign w:val="subscript"/>
                    </w:rPr>
                    <w:t>2</w:t>
                  </w:r>
                </w:p>
              </w:tc>
              <w:tc>
                <w:tcPr>
                  <w:tcW w:w="851" w:type="dxa"/>
                  <w:vAlign w:val="center"/>
                </w:tcPr>
                <w:p w14:paraId="4AE7C55D">
                  <w:pPr>
                    <w:jc w:val="center"/>
                    <w:rPr>
                      <w:rFonts w:hint="eastAsia"/>
                      <w:color w:val="auto"/>
                      <w:szCs w:val="21"/>
                    </w:rPr>
                  </w:pPr>
                  <w:r>
                    <w:rPr>
                      <w:rFonts w:ascii="Times New Roman" w:hAnsi="Times New Roman" w:eastAsiaTheme="minorEastAsia"/>
                      <w:sz w:val="21"/>
                      <w:szCs w:val="21"/>
                    </w:rPr>
                    <w:t>瓶/a</w:t>
                  </w:r>
                </w:p>
              </w:tc>
              <w:tc>
                <w:tcPr>
                  <w:tcW w:w="1067" w:type="dxa"/>
                  <w:vAlign w:val="center"/>
                </w:tcPr>
                <w:p w14:paraId="206FFBE9">
                  <w:pPr>
                    <w:jc w:val="center"/>
                    <w:rPr>
                      <w:rFonts w:hint="default" w:eastAsia="宋体"/>
                      <w:color w:val="auto"/>
                      <w:szCs w:val="21"/>
                      <w:lang w:val="en-US" w:eastAsia="zh-CN"/>
                    </w:rPr>
                  </w:pPr>
                  <w:r>
                    <w:rPr>
                      <w:rFonts w:ascii="Times New Roman" w:hAnsi="Times New Roman"/>
                      <w:sz w:val="21"/>
                      <w:szCs w:val="21"/>
                    </w:rPr>
                    <w:t>200</w:t>
                  </w:r>
                </w:p>
              </w:tc>
              <w:tc>
                <w:tcPr>
                  <w:tcW w:w="1314" w:type="dxa"/>
                  <w:vAlign w:val="center"/>
                </w:tcPr>
                <w:p w14:paraId="58004826">
                  <w:pPr>
                    <w:jc w:val="center"/>
                    <w:rPr>
                      <w:rFonts w:hint="default" w:eastAsia="宋体"/>
                      <w:color w:val="auto"/>
                      <w:szCs w:val="21"/>
                      <w:lang w:val="en-US" w:eastAsia="zh-CN"/>
                    </w:rPr>
                  </w:pPr>
                  <w:r>
                    <w:rPr>
                      <w:rFonts w:hint="eastAsia"/>
                      <w:color w:val="auto"/>
                      <w:szCs w:val="21"/>
                      <w:lang w:val="en-US" w:eastAsia="zh-CN"/>
                    </w:rPr>
                    <w:t>0</w:t>
                  </w:r>
                </w:p>
              </w:tc>
              <w:tc>
                <w:tcPr>
                  <w:tcW w:w="1500" w:type="dxa"/>
                  <w:vAlign w:val="center"/>
                </w:tcPr>
                <w:p w14:paraId="7E8CC38F">
                  <w:pPr>
                    <w:adjustRightInd w:val="0"/>
                    <w:snapToGrid w:val="0"/>
                    <w:jc w:val="center"/>
                    <w:rPr>
                      <w:rFonts w:hint="default"/>
                      <w:color w:val="auto"/>
                      <w:szCs w:val="21"/>
                      <w:lang w:val="en-US"/>
                    </w:rPr>
                  </w:pPr>
                  <w:r>
                    <w:rPr>
                      <w:rFonts w:hint="eastAsia"/>
                      <w:color w:val="auto"/>
                      <w:szCs w:val="21"/>
                      <w:lang w:val="en-US" w:eastAsia="zh-CN"/>
                    </w:rPr>
                    <w:t>200</w:t>
                  </w:r>
                </w:p>
              </w:tc>
              <w:tc>
                <w:tcPr>
                  <w:tcW w:w="1079" w:type="dxa"/>
                  <w:vMerge w:val="continue"/>
                  <w:vAlign w:val="center"/>
                </w:tcPr>
                <w:p w14:paraId="0A297FEA">
                  <w:pPr>
                    <w:jc w:val="center"/>
                    <w:rPr>
                      <w:color w:val="auto"/>
                      <w:szCs w:val="21"/>
                    </w:rPr>
                  </w:pPr>
                </w:p>
              </w:tc>
            </w:tr>
            <w:tr w14:paraId="5F23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8" w:type="dxa"/>
                  <w:vAlign w:val="center"/>
                </w:tcPr>
                <w:p w14:paraId="1369986B">
                  <w:pPr>
                    <w:jc w:val="center"/>
                    <w:rPr>
                      <w:rFonts w:hint="eastAsia" w:eastAsia="宋体"/>
                      <w:color w:val="auto"/>
                      <w:szCs w:val="21"/>
                      <w:lang w:val="en-US" w:eastAsia="zh-CN"/>
                    </w:rPr>
                  </w:pPr>
                  <w:r>
                    <w:rPr>
                      <w:rFonts w:hint="eastAsia"/>
                      <w:color w:val="auto"/>
                      <w:szCs w:val="21"/>
                      <w:lang w:val="en-US" w:eastAsia="zh-CN"/>
                    </w:rPr>
                    <w:t>6</w:t>
                  </w:r>
                </w:p>
              </w:tc>
              <w:tc>
                <w:tcPr>
                  <w:tcW w:w="1896" w:type="dxa"/>
                  <w:vAlign w:val="center"/>
                </w:tcPr>
                <w:p w14:paraId="690F3E01">
                  <w:pPr>
                    <w:jc w:val="center"/>
                    <w:rPr>
                      <w:rFonts w:hint="eastAsia"/>
                      <w:color w:val="auto"/>
                      <w:szCs w:val="21"/>
                    </w:rPr>
                  </w:pPr>
                  <w:r>
                    <w:rPr>
                      <w:rFonts w:ascii="Times New Roman" w:hAnsi="Times New Roman" w:eastAsiaTheme="minorEastAsia"/>
                      <w:sz w:val="21"/>
                      <w:szCs w:val="21"/>
                    </w:rPr>
                    <w:t>焊丝</w:t>
                  </w:r>
                </w:p>
              </w:tc>
              <w:tc>
                <w:tcPr>
                  <w:tcW w:w="851" w:type="dxa"/>
                  <w:vAlign w:val="center"/>
                </w:tcPr>
                <w:p w14:paraId="050DC1A6">
                  <w:pPr>
                    <w:jc w:val="center"/>
                    <w:rPr>
                      <w:rFonts w:hint="eastAsia"/>
                      <w:color w:val="auto"/>
                      <w:szCs w:val="21"/>
                    </w:rPr>
                  </w:pPr>
                  <w:r>
                    <w:rPr>
                      <w:rFonts w:ascii="Times New Roman" w:hAnsi="Times New Roman" w:eastAsiaTheme="minorEastAsia"/>
                      <w:sz w:val="21"/>
                      <w:szCs w:val="21"/>
                    </w:rPr>
                    <w:t>t/a</w:t>
                  </w:r>
                </w:p>
              </w:tc>
              <w:tc>
                <w:tcPr>
                  <w:tcW w:w="1067" w:type="dxa"/>
                  <w:vAlign w:val="center"/>
                </w:tcPr>
                <w:p w14:paraId="79184211">
                  <w:pPr>
                    <w:jc w:val="center"/>
                    <w:rPr>
                      <w:rFonts w:hint="default" w:eastAsia="宋体"/>
                      <w:color w:val="auto"/>
                      <w:szCs w:val="21"/>
                      <w:lang w:val="en-US" w:eastAsia="zh-CN"/>
                    </w:rPr>
                  </w:pPr>
                  <w:r>
                    <w:rPr>
                      <w:rFonts w:ascii="Times New Roman" w:hAnsi="Times New Roman"/>
                      <w:sz w:val="21"/>
                      <w:szCs w:val="21"/>
                    </w:rPr>
                    <w:t>2</w:t>
                  </w:r>
                </w:p>
              </w:tc>
              <w:tc>
                <w:tcPr>
                  <w:tcW w:w="1314" w:type="dxa"/>
                  <w:vAlign w:val="center"/>
                </w:tcPr>
                <w:p w14:paraId="22A75710">
                  <w:pPr>
                    <w:jc w:val="center"/>
                    <w:rPr>
                      <w:rFonts w:hint="default" w:eastAsia="宋体"/>
                      <w:color w:val="auto"/>
                      <w:szCs w:val="21"/>
                      <w:lang w:val="en-US" w:eastAsia="zh-CN"/>
                    </w:rPr>
                  </w:pPr>
                  <w:r>
                    <w:rPr>
                      <w:rFonts w:hint="eastAsia"/>
                      <w:color w:val="auto"/>
                      <w:szCs w:val="21"/>
                      <w:lang w:val="en-US" w:eastAsia="zh-CN"/>
                    </w:rPr>
                    <w:t>4</w:t>
                  </w:r>
                </w:p>
              </w:tc>
              <w:tc>
                <w:tcPr>
                  <w:tcW w:w="1500" w:type="dxa"/>
                  <w:vAlign w:val="center"/>
                </w:tcPr>
                <w:p w14:paraId="59DA25AB">
                  <w:pPr>
                    <w:adjustRightInd w:val="0"/>
                    <w:snapToGrid w:val="0"/>
                    <w:jc w:val="center"/>
                    <w:rPr>
                      <w:rFonts w:hint="eastAsia"/>
                      <w:color w:val="auto"/>
                      <w:szCs w:val="21"/>
                    </w:rPr>
                  </w:pPr>
                  <w:r>
                    <w:rPr>
                      <w:rFonts w:hint="eastAsia"/>
                      <w:color w:val="auto"/>
                      <w:szCs w:val="21"/>
                      <w:lang w:val="en-US" w:eastAsia="zh-CN"/>
                    </w:rPr>
                    <w:t>6</w:t>
                  </w:r>
                </w:p>
              </w:tc>
              <w:tc>
                <w:tcPr>
                  <w:tcW w:w="1079" w:type="dxa"/>
                  <w:vMerge w:val="continue"/>
                  <w:vAlign w:val="center"/>
                </w:tcPr>
                <w:p w14:paraId="540258AB">
                  <w:pPr>
                    <w:jc w:val="center"/>
                    <w:rPr>
                      <w:color w:val="auto"/>
                      <w:szCs w:val="21"/>
                    </w:rPr>
                  </w:pPr>
                </w:p>
              </w:tc>
            </w:tr>
            <w:tr w14:paraId="3C1A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8" w:type="dxa"/>
                  <w:vAlign w:val="center"/>
                </w:tcPr>
                <w:p w14:paraId="448D196A">
                  <w:pPr>
                    <w:jc w:val="center"/>
                    <w:rPr>
                      <w:rFonts w:hint="eastAsia" w:eastAsia="宋体"/>
                      <w:color w:val="auto"/>
                      <w:szCs w:val="21"/>
                      <w:lang w:val="en-US" w:eastAsia="zh-CN"/>
                    </w:rPr>
                  </w:pPr>
                  <w:r>
                    <w:rPr>
                      <w:rFonts w:hint="eastAsia"/>
                      <w:color w:val="auto"/>
                      <w:szCs w:val="21"/>
                      <w:lang w:val="en-US" w:eastAsia="zh-CN"/>
                    </w:rPr>
                    <w:t>7</w:t>
                  </w:r>
                </w:p>
              </w:tc>
              <w:tc>
                <w:tcPr>
                  <w:tcW w:w="1896" w:type="dxa"/>
                  <w:vAlign w:val="center"/>
                </w:tcPr>
                <w:p w14:paraId="27AD6080">
                  <w:pPr>
                    <w:jc w:val="center"/>
                    <w:rPr>
                      <w:rFonts w:hint="eastAsia"/>
                      <w:color w:val="auto"/>
                      <w:szCs w:val="21"/>
                    </w:rPr>
                  </w:pPr>
                  <w:r>
                    <w:rPr>
                      <w:rFonts w:ascii="Times New Roman" w:hAnsi="Times New Roman" w:eastAsiaTheme="minorEastAsia"/>
                      <w:sz w:val="21"/>
                      <w:szCs w:val="21"/>
                    </w:rPr>
                    <w:t>乳化液</w:t>
                  </w:r>
                </w:p>
              </w:tc>
              <w:tc>
                <w:tcPr>
                  <w:tcW w:w="851" w:type="dxa"/>
                  <w:vAlign w:val="center"/>
                </w:tcPr>
                <w:p w14:paraId="05D1F666">
                  <w:pPr>
                    <w:jc w:val="center"/>
                    <w:rPr>
                      <w:rFonts w:hint="eastAsia"/>
                      <w:color w:val="auto"/>
                      <w:szCs w:val="21"/>
                    </w:rPr>
                  </w:pPr>
                  <w:r>
                    <w:rPr>
                      <w:rFonts w:ascii="Times New Roman" w:hAnsi="Times New Roman" w:eastAsiaTheme="minorEastAsia"/>
                      <w:sz w:val="21"/>
                      <w:szCs w:val="21"/>
                    </w:rPr>
                    <w:t>t/a</w:t>
                  </w:r>
                </w:p>
              </w:tc>
              <w:tc>
                <w:tcPr>
                  <w:tcW w:w="1067" w:type="dxa"/>
                  <w:vAlign w:val="center"/>
                </w:tcPr>
                <w:p w14:paraId="23E6D819">
                  <w:pPr>
                    <w:jc w:val="center"/>
                    <w:rPr>
                      <w:rFonts w:hint="default" w:eastAsia="宋体"/>
                      <w:color w:val="auto"/>
                      <w:szCs w:val="21"/>
                      <w:lang w:val="en-US" w:eastAsia="zh-CN"/>
                    </w:rPr>
                  </w:pPr>
                  <w:r>
                    <w:rPr>
                      <w:rFonts w:ascii="Times New Roman" w:hAnsi="Times New Roman"/>
                      <w:sz w:val="21"/>
                      <w:szCs w:val="21"/>
                    </w:rPr>
                    <w:t>0.02</w:t>
                  </w:r>
                </w:p>
              </w:tc>
              <w:tc>
                <w:tcPr>
                  <w:tcW w:w="1314" w:type="dxa"/>
                  <w:vAlign w:val="center"/>
                </w:tcPr>
                <w:p w14:paraId="12E41036">
                  <w:pPr>
                    <w:jc w:val="center"/>
                    <w:rPr>
                      <w:rFonts w:hint="default" w:eastAsia="宋体"/>
                      <w:color w:val="auto"/>
                      <w:szCs w:val="21"/>
                      <w:lang w:val="en-US" w:eastAsia="zh-CN"/>
                    </w:rPr>
                  </w:pPr>
                  <w:r>
                    <w:rPr>
                      <w:rFonts w:hint="eastAsia"/>
                      <w:color w:val="auto"/>
                      <w:szCs w:val="21"/>
                      <w:lang w:val="en-US" w:eastAsia="zh-CN"/>
                    </w:rPr>
                    <w:t>0</w:t>
                  </w:r>
                </w:p>
              </w:tc>
              <w:tc>
                <w:tcPr>
                  <w:tcW w:w="1500" w:type="dxa"/>
                  <w:vAlign w:val="center"/>
                </w:tcPr>
                <w:p w14:paraId="03E51DA2">
                  <w:pPr>
                    <w:adjustRightInd w:val="0"/>
                    <w:snapToGrid w:val="0"/>
                    <w:jc w:val="center"/>
                    <w:rPr>
                      <w:rFonts w:hint="default"/>
                      <w:color w:val="auto"/>
                      <w:szCs w:val="21"/>
                      <w:lang w:val="en-US"/>
                    </w:rPr>
                  </w:pPr>
                  <w:r>
                    <w:rPr>
                      <w:rFonts w:hint="eastAsia"/>
                      <w:color w:val="auto"/>
                      <w:szCs w:val="21"/>
                      <w:lang w:val="en-US" w:eastAsia="zh-CN"/>
                    </w:rPr>
                    <w:t>0.02</w:t>
                  </w:r>
                </w:p>
              </w:tc>
              <w:tc>
                <w:tcPr>
                  <w:tcW w:w="1079" w:type="dxa"/>
                  <w:vMerge w:val="continue"/>
                  <w:vAlign w:val="center"/>
                </w:tcPr>
                <w:p w14:paraId="52CB9F7E">
                  <w:pPr>
                    <w:jc w:val="center"/>
                    <w:rPr>
                      <w:color w:val="auto"/>
                      <w:szCs w:val="21"/>
                    </w:rPr>
                  </w:pPr>
                </w:p>
              </w:tc>
            </w:tr>
            <w:tr w14:paraId="54E4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8" w:type="dxa"/>
                  <w:vAlign w:val="center"/>
                </w:tcPr>
                <w:p w14:paraId="4386E4B7">
                  <w:pPr>
                    <w:jc w:val="center"/>
                    <w:rPr>
                      <w:rFonts w:hint="default" w:eastAsia="宋体"/>
                      <w:color w:val="0000FF"/>
                      <w:szCs w:val="21"/>
                      <w:lang w:val="en-US" w:eastAsia="zh-CN"/>
                    </w:rPr>
                  </w:pPr>
                  <w:r>
                    <w:rPr>
                      <w:rFonts w:hint="eastAsia"/>
                      <w:color w:val="0000FF"/>
                      <w:szCs w:val="21"/>
                      <w:lang w:val="en-US" w:eastAsia="zh-CN"/>
                    </w:rPr>
                    <w:t>8</w:t>
                  </w:r>
                </w:p>
              </w:tc>
              <w:tc>
                <w:tcPr>
                  <w:tcW w:w="1896" w:type="dxa"/>
                  <w:vAlign w:val="center"/>
                </w:tcPr>
                <w:p w14:paraId="47AB8E41">
                  <w:pPr>
                    <w:jc w:val="center"/>
                    <w:rPr>
                      <w:color w:val="0000FF"/>
                      <w:szCs w:val="21"/>
                    </w:rPr>
                  </w:pPr>
                  <w:r>
                    <w:rPr>
                      <w:rFonts w:hint="eastAsia"/>
                      <w:snapToGrid w:val="0"/>
                      <w:color w:val="0000FF"/>
                      <w:szCs w:val="21"/>
                    </w:rPr>
                    <w:t>活性炭</w:t>
                  </w:r>
                </w:p>
              </w:tc>
              <w:tc>
                <w:tcPr>
                  <w:tcW w:w="851" w:type="dxa"/>
                  <w:vAlign w:val="center"/>
                </w:tcPr>
                <w:p w14:paraId="34DFC919">
                  <w:pPr>
                    <w:adjustRightInd w:val="0"/>
                    <w:snapToGrid w:val="0"/>
                    <w:jc w:val="center"/>
                    <w:rPr>
                      <w:color w:val="0000FF"/>
                      <w:szCs w:val="21"/>
                    </w:rPr>
                  </w:pPr>
                  <w:r>
                    <w:rPr>
                      <w:color w:val="0000FF"/>
                      <w:szCs w:val="21"/>
                    </w:rPr>
                    <w:t>t/a</w:t>
                  </w:r>
                </w:p>
              </w:tc>
              <w:tc>
                <w:tcPr>
                  <w:tcW w:w="1067" w:type="dxa"/>
                  <w:vAlign w:val="center"/>
                </w:tcPr>
                <w:p w14:paraId="40E32FE7">
                  <w:pPr>
                    <w:jc w:val="center"/>
                    <w:rPr>
                      <w:color w:val="0000FF"/>
                      <w:szCs w:val="21"/>
                    </w:rPr>
                  </w:pPr>
                  <w:r>
                    <w:rPr>
                      <w:rFonts w:hint="eastAsia"/>
                      <w:color w:val="0000FF"/>
                      <w:szCs w:val="21"/>
                      <w:lang w:val="en-US" w:eastAsia="zh-CN"/>
                    </w:rPr>
                    <w:t>3</w:t>
                  </w:r>
                </w:p>
              </w:tc>
              <w:tc>
                <w:tcPr>
                  <w:tcW w:w="1314" w:type="dxa"/>
                  <w:vAlign w:val="center"/>
                </w:tcPr>
                <w:p w14:paraId="476042B8">
                  <w:pPr>
                    <w:jc w:val="center"/>
                    <w:rPr>
                      <w:rFonts w:hint="default" w:eastAsia="宋体"/>
                      <w:color w:val="0000FF"/>
                      <w:szCs w:val="21"/>
                      <w:lang w:val="en-US" w:eastAsia="zh-CN"/>
                    </w:rPr>
                  </w:pPr>
                  <w:r>
                    <w:rPr>
                      <w:rFonts w:hint="eastAsia"/>
                      <w:color w:val="0000FF"/>
                      <w:szCs w:val="21"/>
                      <w:lang w:val="en-US" w:eastAsia="zh-CN"/>
                    </w:rPr>
                    <w:t>+7</w:t>
                  </w:r>
                </w:p>
              </w:tc>
              <w:tc>
                <w:tcPr>
                  <w:tcW w:w="1500" w:type="dxa"/>
                  <w:vAlign w:val="center"/>
                </w:tcPr>
                <w:p w14:paraId="6799D0C7">
                  <w:pPr>
                    <w:adjustRightInd w:val="0"/>
                    <w:snapToGrid w:val="0"/>
                    <w:jc w:val="center"/>
                    <w:rPr>
                      <w:rFonts w:hint="default" w:eastAsia="宋体"/>
                      <w:color w:val="0000FF"/>
                      <w:szCs w:val="21"/>
                      <w:lang w:val="en-US" w:eastAsia="zh-CN"/>
                    </w:rPr>
                  </w:pPr>
                  <w:r>
                    <w:rPr>
                      <w:rFonts w:hint="eastAsia"/>
                      <w:color w:val="0000FF"/>
                      <w:szCs w:val="21"/>
                      <w:lang w:val="en-US" w:eastAsia="zh-CN"/>
                    </w:rPr>
                    <w:t>10.0</w:t>
                  </w:r>
                </w:p>
              </w:tc>
              <w:tc>
                <w:tcPr>
                  <w:tcW w:w="1079" w:type="dxa"/>
                  <w:vAlign w:val="center"/>
                </w:tcPr>
                <w:p w14:paraId="0ECB0E54">
                  <w:pPr>
                    <w:adjustRightInd w:val="0"/>
                    <w:snapToGrid w:val="0"/>
                    <w:jc w:val="center"/>
                    <w:rPr>
                      <w:color w:val="auto"/>
                      <w:szCs w:val="21"/>
                    </w:rPr>
                  </w:pPr>
                  <w:r>
                    <w:rPr>
                      <w:rFonts w:hint="eastAsia"/>
                      <w:color w:val="auto"/>
                      <w:szCs w:val="21"/>
                    </w:rPr>
                    <w:t>废气处理</w:t>
                  </w:r>
                </w:p>
              </w:tc>
            </w:tr>
            <w:tr w14:paraId="16DC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8" w:type="dxa"/>
                  <w:vAlign w:val="center"/>
                </w:tcPr>
                <w:p w14:paraId="5B7F07B5">
                  <w:pPr>
                    <w:jc w:val="center"/>
                    <w:rPr>
                      <w:rFonts w:hint="default" w:eastAsia="宋体"/>
                      <w:color w:val="auto"/>
                      <w:szCs w:val="21"/>
                      <w:lang w:val="en-US" w:eastAsia="zh-CN"/>
                    </w:rPr>
                  </w:pPr>
                  <w:r>
                    <w:rPr>
                      <w:rFonts w:hint="eastAsia"/>
                      <w:color w:val="auto"/>
                      <w:szCs w:val="21"/>
                      <w:lang w:val="en-US" w:eastAsia="zh-CN"/>
                    </w:rPr>
                    <w:t>9</w:t>
                  </w:r>
                </w:p>
              </w:tc>
              <w:tc>
                <w:tcPr>
                  <w:tcW w:w="1896" w:type="dxa"/>
                  <w:vAlign w:val="center"/>
                </w:tcPr>
                <w:p w14:paraId="4D65E070">
                  <w:pPr>
                    <w:jc w:val="center"/>
                    <w:rPr>
                      <w:color w:val="auto"/>
                      <w:szCs w:val="21"/>
                    </w:rPr>
                  </w:pPr>
                  <w:r>
                    <w:rPr>
                      <w:rFonts w:hint="eastAsia"/>
                      <w:color w:val="auto"/>
                      <w:szCs w:val="21"/>
                    </w:rPr>
                    <w:t>水</w:t>
                  </w:r>
                </w:p>
              </w:tc>
              <w:tc>
                <w:tcPr>
                  <w:tcW w:w="851" w:type="dxa"/>
                  <w:vAlign w:val="center"/>
                </w:tcPr>
                <w:p w14:paraId="6AAFC71F">
                  <w:pPr>
                    <w:jc w:val="center"/>
                    <w:rPr>
                      <w:color w:val="auto"/>
                      <w:szCs w:val="21"/>
                    </w:rPr>
                  </w:pPr>
                  <w:r>
                    <w:rPr>
                      <w:rFonts w:hint="eastAsia"/>
                      <w:color w:val="auto"/>
                      <w:szCs w:val="21"/>
                    </w:rPr>
                    <w:t>t/a</w:t>
                  </w:r>
                </w:p>
              </w:tc>
              <w:tc>
                <w:tcPr>
                  <w:tcW w:w="1067" w:type="dxa"/>
                  <w:vAlign w:val="center"/>
                </w:tcPr>
                <w:p w14:paraId="696D243B">
                  <w:pPr>
                    <w:jc w:val="center"/>
                    <w:rPr>
                      <w:rFonts w:hint="default"/>
                      <w:color w:val="auto"/>
                      <w:szCs w:val="21"/>
                      <w:lang w:val="en-US"/>
                    </w:rPr>
                  </w:pPr>
                  <w:r>
                    <w:rPr>
                      <w:rFonts w:hint="eastAsia" w:hAnsi="宋体"/>
                      <w:color w:val="auto"/>
                      <w:szCs w:val="21"/>
                      <w:lang w:val="en-US" w:eastAsia="zh-CN"/>
                    </w:rPr>
                    <w:t>450</w:t>
                  </w:r>
                </w:p>
              </w:tc>
              <w:tc>
                <w:tcPr>
                  <w:tcW w:w="1314" w:type="dxa"/>
                  <w:vAlign w:val="center"/>
                </w:tcPr>
                <w:p w14:paraId="561EB8E5">
                  <w:pPr>
                    <w:jc w:val="center"/>
                    <w:rPr>
                      <w:rFonts w:hint="default" w:eastAsia="宋体"/>
                      <w:color w:val="auto"/>
                      <w:szCs w:val="21"/>
                      <w:lang w:val="en-US" w:eastAsia="zh-CN"/>
                    </w:rPr>
                  </w:pPr>
                  <w:r>
                    <w:rPr>
                      <w:rFonts w:hint="eastAsia"/>
                      <w:color w:val="auto"/>
                      <w:szCs w:val="21"/>
                      <w:lang w:val="en-US" w:eastAsia="zh-CN"/>
                    </w:rPr>
                    <w:t>0</w:t>
                  </w:r>
                </w:p>
              </w:tc>
              <w:tc>
                <w:tcPr>
                  <w:tcW w:w="1500" w:type="dxa"/>
                  <w:vAlign w:val="center"/>
                </w:tcPr>
                <w:p w14:paraId="1D75D6DF">
                  <w:pPr>
                    <w:jc w:val="center"/>
                    <w:rPr>
                      <w:rFonts w:hint="default" w:eastAsia="宋体"/>
                      <w:color w:val="auto"/>
                      <w:szCs w:val="21"/>
                      <w:lang w:val="en-US" w:eastAsia="zh-CN"/>
                    </w:rPr>
                  </w:pPr>
                  <w:r>
                    <w:rPr>
                      <w:rFonts w:hint="eastAsia"/>
                      <w:color w:val="auto"/>
                      <w:szCs w:val="21"/>
                      <w:lang w:val="en-US" w:eastAsia="zh-CN"/>
                    </w:rPr>
                    <w:t>450</w:t>
                  </w:r>
                </w:p>
              </w:tc>
              <w:tc>
                <w:tcPr>
                  <w:tcW w:w="1079" w:type="dxa"/>
                  <w:vMerge w:val="restart"/>
                  <w:vAlign w:val="center"/>
                </w:tcPr>
                <w:p w14:paraId="4B6E8E92">
                  <w:pPr>
                    <w:jc w:val="center"/>
                    <w:rPr>
                      <w:color w:val="auto"/>
                      <w:szCs w:val="21"/>
                    </w:rPr>
                  </w:pPr>
                  <w:r>
                    <w:rPr>
                      <w:rFonts w:hint="eastAsia"/>
                      <w:color w:val="auto"/>
                      <w:szCs w:val="21"/>
                    </w:rPr>
                    <w:t>公用工程</w:t>
                  </w:r>
                </w:p>
              </w:tc>
            </w:tr>
            <w:tr w14:paraId="6341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8" w:type="dxa"/>
                  <w:vAlign w:val="center"/>
                </w:tcPr>
                <w:p w14:paraId="2362BAA3">
                  <w:pPr>
                    <w:jc w:val="center"/>
                    <w:rPr>
                      <w:rFonts w:hint="default" w:eastAsia="宋体"/>
                      <w:color w:val="auto"/>
                      <w:szCs w:val="21"/>
                      <w:lang w:val="en-US" w:eastAsia="zh-CN"/>
                    </w:rPr>
                  </w:pPr>
                  <w:r>
                    <w:rPr>
                      <w:rFonts w:hint="eastAsia"/>
                      <w:color w:val="auto"/>
                      <w:szCs w:val="21"/>
                      <w:lang w:val="en-US" w:eastAsia="zh-CN"/>
                    </w:rPr>
                    <w:t>10</w:t>
                  </w:r>
                </w:p>
              </w:tc>
              <w:tc>
                <w:tcPr>
                  <w:tcW w:w="1896" w:type="dxa"/>
                  <w:vAlign w:val="center"/>
                </w:tcPr>
                <w:p w14:paraId="70BAC954">
                  <w:pPr>
                    <w:jc w:val="center"/>
                    <w:rPr>
                      <w:color w:val="auto"/>
                      <w:szCs w:val="21"/>
                    </w:rPr>
                  </w:pPr>
                  <w:r>
                    <w:rPr>
                      <w:rFonts w:hint="eastAsia"/>
                      <w:color w:val="auto"/>
                      <w:szCs w:val="21"/>
                    </w:rPr>
                    <w:t>电</w:t>
                  </w:r>
                </w:p>
              </w:tc>
              <w:tc>
                <w:tcPr>
                  <w:tcW w:w="851" w:type="dxa"/>
                  <w:vAlign w:val="center"/>
                </w:tcPr>
                <w:p w14:paraId="5540F237">
                  <w:pPr>
                    <w:jc w:val="center"/>
                    <w:rPr>
                      <w:color w:val="auto"/>
                      <w:szCs w:val="21"/>
                    </w:rPr>
                  </w:pPr>
                  <w:r>
                    <w:rPr>
                      <w:rFonts w:hint="eastAsia"/>
                      <w:color w:val="auto"/>
                      <w:szCs w:val="21"/>
                    </w:rPr>
                    <w:t>kWh/a</w:t>
                  </w:r>
                </w:p>
              </w:tc>
              <w:tc>
                <w:tcPr>
                  <w:tcW w:w="1067" w:type="dxa"/>
                  <w:vAlign w:val="center"/>
                </w:tcPr>
                <w:p w14:paraId="37C5AC08">
                  <w:pPr>
                    <w:jc w:val="center"/>
                    <w:rPr>
                      <w:rFonts w:hAnsi="宋体"/>
                      <w:color w:val="auto"/>
                      <w:szCs w:val="21"/>
                    </w:rPr>
                  </w:pPr>
                  <w:r>
                    <w:rPr>
                      <w:rFonts w:hint="eastAsia"/>
                      <w:color w:val="auto"/>
                      <w:szCs w:val="21"/>
                      <w:lang w:val="en-US" w:eastAsia="zh-CN"/>
                    </w:rPr>
                    <w:t>3</w:t>
                  </w:r>
                  <w:r>
                    <w:rPr>
                      <w:rFonts w:hint="eastAsia"/>
                      <w:color w:val="auto"/>
                      <w:szCs w:val="21"/>
                    </w:rPr>
                    <w:t>0万</w:t>
                  </w:r>
                </w:p>
              </w:tc>
              <w:tc>
                <w:tcPr>
                  <w:tcW w:w="1314" w:type="dxa"/>
                  <w:vAlign w:val="center"/>
                </w:tcPr>
                <w:p w14:paraId="4F3D2003">
                  <w:pPr>
                    <w:jc w:val="center"/>
                    <w:rPr>
                      <w:rFonts w:hint="eastAsia" w:eastAsia="宋体"/>
                      <w:color w:val="auto"/>
                      <w:szCs w:val="21"/>
                      <w:lang w:eastAsia="zh-CN"/>
                    </w:rPr>
                  </w:pPr>
                  <w:r>
                    <w:rPr>
                      <w:rFonts w:hint="eastAsia"/>
                      <w:color w:val="auto"/>
                      <w:szCs w:val="21"/>
                      <w:lang w:val="en-US" w:eastAsia="zh-CN"/>
                    </w:rPr>
                    <w:t xml:space="preserve">0 </w:t>
                  </w:r>
                </w:p>
              </w:tc>
              <w:tc>
                <w:tcPr>
                  <w:tcW w:w="1500" w:type="dxa"/>
                  <w:vAlign w:val="center"/>
                </w:tcPr>
                <w:p w14:paraId="31FD2894">
                  <w:pPr>
                    <w:jc w:val="center"/>
                    <w:rPr>
                      <w:color w:val="auto"/>
                      <w:szCs w:val="21"/>
                    </w:rPr>
                  </w:pPr>
                  <w:r>
                    <w:rPr>
                      <w:rFonts w:hint="eastAsia"/>
                      <w:color w:val="auto"/>
                      <w:szCs w:val="21"/>
                      <w:lang w:val="en-US" w:eastAsia="zh-CN"/>
                    </w:rPr>
                    <w:t>3</w:t>
                  </w:r>
                  <w:r>
                    <w:rPr>
                      <w:rFonts w:hint="eastAsia"/>
                      <w:color w:val="auto"/>
                      <w:szCs w:val="21"/>
                    </w:rPr>
                    <w:t>0万</w:t>
                  </w:r>
                </w:p>
              </w:tc>
              <w:tc>
                <w:tcPr>
                  <w:tcW w:w="1079" w:type="dxa"/>
                  <w:vMerge w:val="continue"/>
                  <w:vAlign w:val="center"/>
                </w:tcPr>
                <w:p w14:paraId="0F83053A">
                  <w:pPr>
                    <w:jc w:val="center"/>
                    <w:rPr>
                      <w:color w:val="auto"/>
                      <w:szCs w:val="21"/>
                    </w:rPr>
                  </w:pPr>
                </w:p>
              </w:tc>
            </w:tr>
          </w:tbl>
          <w:p w14:paraId="0B21FF38">
            <w:pPr>
              <w:spacing w:line="430" w:lineRule="exact"/>
              <w:ind w:firstLine="440" w:firstLineChars="200"/>
              <w:rPr>
                <w:rFonts w:hint="eastAsia" w:ascii="Times New Roman" w:hAnsi="宋体" w:cs="Times New Roman"/>
                <w:color w:val="auto"/>
                <w:sz w:val="22"/>
                <w:szCs w:val="22"/>
                <w:lang w:eastAsia="zh-CN"/>
              </w:rPr>
            </w:pPr>
            <w:r>
              <w:rPr>
                <w:rFonts w:hint="eastAsia" w:ascii="Times New Roman" w:hAnsi="宋体" w:cs="Times New Roman"/>
                <w:color w:val="auto"/>
                <w:sz w:val="22"/>
                <w:szCs w:val="22"/>
                <w:lang w:eastAsia="zh-CN"/>
              </w:rPr>
              <w:t>注：由于五金配件工艺提升，焊丝用量增加。</w:t>
            </w:r>
            <w:bookmarkStart w:id="21" w:name="_GoBack"/>
            <w:bookmarkEnd w:id="21"/>
          </w:p>
          <w:p w14:paraId="728C2285">
            <w:pPr>
              <w:adjustRightInd w:val="0"/>
              <w:snapToGrid w:val="0"/>
              <w:spacing w:line="430" w:lineRule="exact"/>
              <w:rPr>
                <w:b/>
                <w:color w:val="auto"/>
                <w:sz w:val="24"/>
              </w:rPr>
            </w:pPr>
            <w:r>
              <w:rPr>
                <w:rFonts w:hint="eastAsia" w:hAnsi="宋体"/>
                <w:b/>
                <w:color w:val="auto"/>
                <w:sz w:val="24"/>
              </w:rPr>
              <w:t xml:space="preserve">2.1.5 </w:t>
            </w:r>
            <w:r>
              <w:rPr>
                <w:rFonts w:hAnsi="宋体"/>
                <w:b/>
                <w:color w:val="auto"/>
                <w:sz w:val="24"/>
              </w:rPr>
              <w:t>劳动定员及生产班制</w:t>
            </w:r>
          </w:p>
          <w:p w14:paraId="7C056960">
            <w:pPr>
              <w:spacing w:line="430" w:lineRule="exact"/>
              <w:ind w:firstLine="480" w:firstLineChars="200"/>
              <w:rPr>
                <w:rFonts w:hAnsi="宋体"/>
                <w:color w:val="auto"/>
                <w:sz w:val="24"/>
              </w:rPr>
            </w:pPr>
            <w:r>
              <w:rPr>
                <w:rFonts w:hint="eastAsia"/>
                <w:color w:val="auto"/>
                <w:sz w:val="24"/>
              </w:rPr>
              <w:t>本项目职工定员为</w:t>
            </w:r>
            <w:r>
              <w:rPr>
                <w:rFonts w:hint="eastAsia"/>
                <w:color w:val="auto"/>
                <w:sz w:val="24"/>
                <w:lang w:val="en-US" w:eastAsia="zh-CN"/>
              </w:rPr>
              <w:t>2</w:t>
            </w:r>
            <w:r>
              <w:rPr>
                <w:rFonts w:hint="eastAsia"/>
                <w:color w:val="auto"/>
                <w:sz w:val="24"/>
              </w:rPr>
              <w:t>0人</w:t>
            </w:r>
            <w:r>
              <w:rPr>
                <w:rFonts w:hAnsi="宋体"/>
                <w:color w:val="auto"/>
                <w:sz w:val="24"/>
              </w:rPr>
              <w:t>。本项目实行昼</w:t>
            </w:r>
            <w:r>
              <w:rPr>
                <w:rFonts w:hint="eastAsia" w:hAnsi="宋体"/>
                <w:color w:val="auto"/>
                <w:sz w:val="24"/>
                <w:lang w:eastAsia="zh-CN"/>
              </w:rPr>
              <w:t>夜二</w:t>
            </w:r>
            <w:r>
              <w:rPr>
                <w:rFonts w:hint="eastAsia" w:hAnsi="宋体"/>
                <w:color w:val="auto"/>
                <w:sz w:val="24"/>
              </w:rPr>
              <w:t>班制，</w:t>
            </w:r>
            <w:r>
              <w:rPr>
                <w:rFonts w:hAnsi="宋体"/>
                <w:color w:val="auto"/>
                <w:sz w:val="24"/>
              </w:rPr>
              <w:t>年生产天数为</w:t>
            </w:r>
            <w:r>
              <w:rPr>
                <w:rFonts w:hint="eastAsia"/>
                <w:color w:val="auto"/>
                <w:sz w:val="24"/>
              </w:rPr>
              <w:t>30</w:t>
            </w:r>
            <w:r>
              <w:rPr>
                <w:color w:val="auto"/>
                <w:sz w:val="24"/>
              </w:rPr>
              <w:t>0d</w:t>
            </w:r>
            <w:r>
              <w:rPr>
                <w:rFonts w:hint="eastAsia"/>
                <w:color w:val="auto"/>
                <w:sz w:val="24"/>
              </w:rPr>
              <w:t>（企业生产工序有效工作时间约为</w:t>
            </w:r>
            <w:r>
              <w:rPr>
                <w:rFonts w:hint="eastAsia"/>
                <w:color w:val="auto"/>
                <w:sz w:val="24"/>
                <w:lang w:val="en-US" w:eastAsia="zh-CN"/>
              </w:rPr>
              <w:t>36</w:t>
            </w:r>
            <w:r>
              <w:rPr>
                <w:rFonts w:hint="eastAsia"/>
                <w:color w:val="auto"/>
                <w:sz w:val="24"/>
              </w:rPr>
              <w:t>00h/a）</w:t>
            </w:r>
            <w:r>
              <w:rPr>
                <w:rFonts w:hAnsi="宋体"/>
                <w:color w:val="auto"/>
                <w:sz w:val="24"/>
              </w:rPr>
              <w:t>。</w:t>
            </w:r>
            <w:r>
              <w:rPr>
                <w:rFonts w:hint="eastAsia" w:hAnsi="宋体"/>
                <w:color w:val="auto"/>
                <w:sz w:val="24"/>
              </w:rPr>
              <w:t>企业不设食堂和住宿。</w:t>
            </w:r>
          </w:p>
          <w:p w14:paraId="64E5FC18">
            <w:pPr>
              <w:pStyle w:val="80"/>
              <w:spacing w:line="430" w:lineRule="exact"/>
              <w:ind w:firstLine="0" w:firstLineChars="0"/>
              <w:jc w:val="left"/>
              <w:rPr>
                <w:rFonts w:eastAsia="宋体"/>
                <w:color w:val="auto"/>
              </w:rPr>
            </w:pPr>
            <w:r>
              <w:rPr>
                <w:rFonts w:eastAsia="宋体"/>
                <w:b/>
                <w:color w:val="auto"/>
              </w:rPr>
              <w:t>2.</w:t>
            </w:r>
            <w:r>
              <w:rPr>
                <w:rFonts w:hint="eastAsia" w:eastAsia="宋体"/>
                <w:b/>
                <w:color w:val="auto"/>
              </w:rPr>
              <w:t>1.</w:t>
            </w:r>
            <w:r>
              <w:rPr>
                <w:rFonts w:eastAsia="宋体"/>
                <w:b/>
                <w:color w:val="auto"/>
              </w:rPr>
              <w:t>6</w:t>
            </w:r>
            <w:r>
              <w:rPr>
                <w:rFonts w:hAnsi="宋体" w:eastAsia="宋体"/>
                <w:b/>
                <w:color w:val="auto"/>
              </w:rPr>
              <w:t>周围环境状况</w:t>
            </w:r>
          </w:p>
          <w:p w14:paraId="6AD583BD">
            <w:pPr>
              <w:spacing w:line="430" w:lineRule="exact"/>
              <w:ind w:firstLine="480" w:firstLineChars="200"/>
              <w:rPr>
                <w:color w:val="auto"/>
                <w:sz w:val="24"/>
              </w:rPr>
            </w:pPr>
            <w:r>
              <w:rPr>
                <w:rFonts w:hint="eastAsia" w:hAnsi="宋体"/>
                <w:color w:val="auto"/>
                <w:sz w:val="24"/>
                <w:lang w:eastAsia="zh-CN"/>
              </w:rPr>
              <w:t>安吉联红五金制品厂</w:t>
            </w:r>
            <w:r>
              <w:rPr>
                <w:rFonts w:hint="eastAsia" w:hAnsi="宋体"/>
                <w:color w:val="auto"/>
                <w:sz w:val="24"/>
              </w:rPr>
              <w:t>选址于安吉县</w:t>
            </w:r>
            <w:r>
              <w:rPr>
                <w:rFonts w:hint="eastAsia" w:hAnsi="宋体"/>
                <w:color w:val="auto"/>
                <w:sz w:val="24"/>
                <w:lang w:eastAsia="zh-CN"/>
              </w:rPr>
              <w:t>天荒坪镇白水湾工业园（安吉县春风木制品厂）</w:t>
            </w:r>
            <w:r>
              <w:rPr>
                <w:rFonts w:hint="eastAsia" w:hAnsi="宋体"/>
                <w:color w:val="auto"/>
                <w:sz w:val="24"/>
              </w:rPr>
              <w:t>，地理坐标为</w:t>
            </w:r>
            <w:r>
              <w:rPr>
                <w:color w:val="auto"/>
                <w:sz w:val="24"/>
              </w:rPr>
              <w:t>东经东经1</w:t>
            </w:r>
            <w:r>
              <w:rPr>
                <w:rFonts w:hint="eastAsia"/>
                <w:color w:val="auto"/>
                <w:sz w:val="24"/>
              </w:rPr>
              <w:t>19</w:t>
            </w:r>
            <w:r>
              <w:rPr>
                <w:color w:val="auto"/>
                <w:sz w:val="24"/>
              </w:rPr>
              <w:t>°</w:t>
            </w:r>
            <w:r>
              <w:rPr>
                <w:rFonts w:hint="eastAsia"/>
                <w:color w:val="auto"/>
                <w:sz w:val="24"/>
              </w:rPr>
              <w:t>38</w:t>
            </w:r>
            <w:r>
              <w:rPr>
                <w:color w:val="auto"/>
                <w:sz w:val="24"/>
              </w:rPr>
              <w:t>′</w:t>
            </w:r>
            <w:r>
              <w:rPr>
                <w:rFonts w:hint="eastAsia"/>
                <w:color w:val="auto"/>
                <w:sz w:val="24"/>
              </w:rPr>
              <w:t>3</w:t>
            </w:r>
            <w:r>
              <w:rPr>
                <w:rFonts w:hint="eastAsia"/>
                <w:color w:val="auto"/>
                <w:sz w:val="24"/>
                <w:lang w:val="en-US" w:eastAsia="zh-CN"/>
              </w:rPr>
              <w:t>4</w:t>
            </w:r>
            <w:r>
              <w:rPr>
                <w:rFonts w:hint="eastAsia"/>
                <w:color w:val="auto"/>
                <w:sz w:val="24"/>
              </w:rPr>
              <w:t>.</w:t>
            </w:r>
            <w:r>
              <w:rPr>
                <w:rFonts w:hint="eastAsia"/>
                <w:color w:val="auto"/>
                <w:sz w:val="24"/>
                <w:lang w:val="en-US" w:eastAsia="zh-CN"/>
              </w:rPr>
              <w:t>457</w:t>
            </w:r>
            <w:r>
              <w:rPr>
                <w:color w:val="auto"/>
                <w:sz w:val="24"/>
              </w:rPr>
              <w:t>″，北纬30°</w:t>
            </w:r>
            <w:r>
              <w:rPr>
                <w:rFonts w:hint="eastAsia"/>
                <w:color w:val="auto"/>
                <w:sz w:val="24"/>
              </w:rPr>
              <w:t>33</w:t>
            </w:r>
            <w:r>
              <w:rPr>
                <w:color w:val="auto"/>
                <w:sz w:val="24"/>
              </w:rPr>
              <w:t>′</w:t>
            </w:r>
            <w:r>
              <w:rPr>
                <w:rFonts w:hint="eastAsia"/>
                <w:color w:val="auto"/>
                <w:sz w:val="24"/>
                <w:lang w:val="en-US" w:eastAsia="zh-CN"/>
              </w:rPr>
              <w:t>50</w:t>
            </w:r>
            <w:r>
              <w:rPr>
                <w:rFonts w:hint="eastAsia"/>
                <w:color w:val="auto"/>
                <w:sz w:val="24"/>
              </w:rPr>
              <w:t>.</w:t>
            </w:r>
            <w:r>
              <w:rPr>
                <w:rFonts w:hint="eastAsia"/>
                <w:color w:val="auto"/>
                <w:sz w:val="24"/>
                <w:lang w:val="en-US" w:eastAsia="zh-CN"/>
              </w:rPr>
              <w:t>669</w:t>
            </w:r>
            <w:r>
              <w:rPr>
                <w:color w:val="auto"/>
                <w:sz w:val="24"/>
              </w:rPr>
              <w:t>″</w:t>
            </w:r>
            <w:r>
              <w:rPr>
                <w:rFonts w:hint="eastAsia" w:hAnsi="宋体"/>
                <w:color w:val="auto"/>
                <w:sz w:val="24"/>
              </w:rPr>
              <w:t>。</w:t>
            </w:r>
            <w:r>
              <w:rPr>
                <w:rFonts w:hAnsi="宋体"/>
                <w:color w:val="auto"/>
                <w:sz w:val="24"/>
              </w:rPr>
              <w:t>项目周围环境状况如下：</w:t>
            </w:r>
          </w:p>
          <w:p w14:paraId="04C5CA78">
            <w:pPr>
              <w:spacing w:line="430" w:lineRule="exact"/>
              <w:ind w:firstLine="480" w:firstLineChars="200"/>
              <w:rPr>
                <w:rFonts w:cs="Arial"/>
                <w:color w:val="auto"/>
                <w:sz w:val="24"/>
              </w:rPr>
            </w:pPr>
            <w:r>
              <w:rPr>
                <w:rFonts w:hint="eastAsia" w:cs="Arial"/>
                <w:color w:val="auto"/>
                <w:sz w:val="24"/>
              </w:rPr>
              <w:t>项目所在地东侧为</w:t>
            </w:r>
            <w:r>
              <w:rPr>
                <w:rFonts w:hint="eastAsia" w:hAnsi="宋体"/>
                <w:color w:val="auto"/>
                <w:sz w:val="24"/>
              </w:rPr>
              <w:t>安吉</w:t>
            </w:r>
            <w:r>
              <w:rPr>
                <w:rFonts w:hint="eastAsia" w:hAnsi="宋体"/>
                <w:color w:val="auto"/>
                <w:sz w:val="24"/>
                <w:lang w:eastAsia="zh-CN"/>
              </w:rPr>
              <w:t>周盛家具有限公司</w:t>
            </w:r>
            <w:r>
              <w:rPr>
                <w:rFonts w:hint="eastAsia" w:cs="Arial"/>
                <w:color w:val="auto"/>
                <w:sz w:val="24"/>
              </w:rPr>
              <w:t>；</w:t>
            </w:r>
          </w:p>
          <w:p w14:paraId="653730CC">
            <w:pPr>
              <w:spacing w:line="430" w:lineRule="exact"/>
              <w:ind w:firstLine="480" w:firstLineChars="200"/>
              <w:rPr>
                <w:rFonts w:cs="宋体"/>
                <w:color w:val="auto"/>
                <w:sz w:val="24"/>
              </w:rPr>
            </w:pPr>
            <w:r>
              <w:rPr>
                <w:rFonts w:hint="eastAsia" w:cs="宋体"/>
                <w:color w:val="auto"/>
                <w:sz w:val="24"/>
              </w:rPr>
              <w:t>项目所在地南侧为</w:t>
            </w:r>
            <w:r>
              <w:rPr>
                <w:rFonts w:hint="eastAsia" w:hAnsi="宋体"/>
                <w:color w:val="auto"/>
                <w:sz w:val="24"/>
              </w:rPr>
              <w:t>安吉</w:t>
            </w:r>
            <w:r>
              <w:rPr>
                <w:rFonts w:hint="eastAsia" w:hAnsi="宋体"/>
                <w:color w:val="auto"/>
                <w:sz w:val="24"/>
                <w:lang w:eastAsia="zh-CN"/>
              </w:rPr>
              <w:t>双鑫家居</w:t>
            </w:r>
            <w:r>
              <w:rPr>
                <w:rFonts w:hint="eastAsia" w:hAnsi="宋体"/>
                <w:color w:val="auto"/>
                <w:sz w:val="24"/>
              </w:rPr>
              <w:t>有限公司</w:t>
            </w:r>
            <w:r>
              <w:rPr>
                <w:rFonts w:hint="eastAsia" w:cs="宋体"/>
                <w:color w:val="auto"/>
                <w:sz w:val="24"/>
              </w:rPr>
              <w:t>；</w:t>
            </w:r>
          </w:p>
          <w:p w14:paraId="35ACE476">
            <w:pPr>
              <w:spacing w:line="430" w:lineRule="exact"/>
              <w:ind w:firstLine="480" w:firstLineChars="200"/>
              <w:rPr>
                <w:rFonts w:cs="宋体"/>
                <w:color w:val="auto"/>
                <w:sz w:val="24"/>
              </w:rPr>
            </w:pPr>
            <w:r>
              <w:rPr>
                <w:rFonts w:hint="eastAsia" w:cs="宋体"/>
                <w:color w:val="auto"/>
                <w:sz w:val="24"/>
              </w:rPr>
              <w:t>项目所在地西侧为</w:t>
            </w:r>
            <w:r>
              <w:rPr>
                <w:rFonts w:hint="eastAsia" w:hAnsi="宋体"/>
                <w:color w:val="auto"/>
                <w:sz w:val="24"/>
                <w:lang w:eastAsia="zh-CN"/>
              </w:rPr>
              <w:t>雅风大道</w:t>
            </w:r>
            <w:r>
              <w:rPr>
                <w:rFonts w:hint="eastAsia" w:hAnsi="宋体"/>
                <w:color w:val="auto"/>
                <w:sz w:val="24"/>
              </w:rPr>
              <w:t>，路西为</w:t>
            </w:r>
            <w:r>
              <w:rPr>
                <w:rFonts w:hint="eastAsia" w:hAnsi="宋体"/>
                <w:color w:val="auto"/>
                <w:sz w:val="24"/>
                <w:lang w:eastAsia="zh-CN"/>
              </w:rPr>
              <w:t>安吉万航家具有限公司</w:t>
            </w:r>
            <w:r>
              <w:rPr>
                <w:rFonts w:hint="eastAsia" w:cs="宋体"/>
                <w:color w:val="auto"/>
                <w:sz w:val="24"/>
              </w:rPr>
              <w:t>；</w:t>
            </w:r>
          </w:p>
          <w:p w14:paraId="29ED4E58">
            <w:pPr>
              <w:spacing w:line="430" w:lineRule="exact"/>
              <w:ind w:firstLine="480" w:firstLineChars="200"/>
              <w:rPr>
                <w:rFonts w:cs="宋体"/>
                <w:color w:val="auto"/>
                <w:sz w:val="24"/>
              </w:rPr>
            </w:pPr>
            <w:r>
              <w:rPr>
                <w:rFonts w:hint="eastAsia" w:cs="宋体"/>
                <w:color w:val="auto"/>
                <w:sz w:val="24"/>
              </w:rPr>
              <w:t>项目所在地北侧为</w:t>
            </w:r>
            <w:r>
              <w:rPr>
                <w:rFonts w:hint="eastAsia" w:hAnsi="宋体"/>
                <w:color w:val="auto"/>
                <w:sz w:val="24"/>
              </w:rPr>
              <w:t>安吉</w:t>
            </w:r>
            <w:r>
              <w:rPr>
                <w:rFonts w:hint="eastAsia" w:hAnsi="宋体"/>
                <w:color w:val="auto"/>
                <w:sz w:val="24"/>
                <w:lang w:eastAsia="zh-CN"/>
              </w:rPr>
              <w:t>会盈家具有限公司</w:t>
            </w:r>
            <w:r>
              <w:rPr>
                <w:rFonts w:hint="eastAsia" w:cs="宋体"/>
                <w:color w:val="auto"/>
                <w:sz w:val="24"/>
              </w:rPr>
              <w:t>。</w:t>
            </w:r>
          </w:p>
          <w:p w14:paraId="0D964C7A">
            <w:pPr>
              <w:spacing w:line="430" w:lineRule="exact"/>
              <w:rPr>
                <w:rFonts w:hAnsi="宋体"/>
                <w:b/>
                <w:color w:val="auto"/>
                <w:sz w:val="24"/>
              </w:rPr>
            </w:pPr>
            <w:r>
              <w:rPr>
                <w:rFonts w:hAnsi="宋体"/>
                <w:b/>
                <w:color w:val="auto"/>
                <w:sz w:val="24"/>
              </w:rPr>
              <w:t>2.1.7 厂区平面布置</w:t>
            </w:r>
          </w:p>
          <w:p w14:paraId="5000A000">
            <w:pPr>
              <w:spacing w:line="430" w:lineRule="exact"/>
              <w:ind w:firstLine="480" w:firstLineChars="200"/>
              <w:rPr>
                <w:rFonts w:cs="宋体"/>
                <w:color w:val="auto"/>
                <w:sz w:val="24"/>
              </w:rPr>
            </w:pPr>
            <w:r>
              <w:rPr>
                <w:rFonts w:cs="宋体"/>
                <w:color w:val="auto"/>
                <w:sz w:val="24"/>
              </w:rPr>
              <w:t>本项目位于</w:t>
            </w:r>
            <w:r>
              <w:rPr>
                <w:rFonts w:hint="eastAsia" w:cs="宋体"/>
                <w:color w:val="auto"/>
                <w:sz w:val="24"/>
              </w:rPr>
              <w:t>安吉县</w:t>
            </w:r>
            <w:r>
              <w:rPr>
                <w:rFonts w:hint="eastAsia" w:cs="宋体"/>
                <w:color w:val="auto"/>
                <w:sz w:val="24"/>
                <w:lang w:eastAsia="zh-CN"/>
              </w:rPr>
              <w:t>天荒坪镇白水湾工业园（安吉县春风木制品厂）</w:t>
            </w:r>
            <w:r>
              <w:rPr>
                <w:rFonts w:cs="宋体"/>
                <w:color w:val="auto"/>
                <w:sz w:val="24"/>
              </w:rPr>
              <w:t>，</w:t>
            </w:r>
            <w:r>
              <w:rPr>
                <w:rFonts w:hint="eastAsia" w:cs="宋体"/>
                <w:color w:val="auto"/>
                <w:sz w:val="24"/>
              </w:rPr>
              <w:t>企业所在生产厂房位于厂区</w:t>
            </w:r>
            <w:r>
              <w:rPr>
                <w:rFonts w:hint="eastAsia" w:cs="宋体"/>
                <w:color w:val="auto"/>
                <w:sz w:val="24"/>
                <w:lang w:eastAsia="zh-CN"/>
              </w:rPr>
              <w:t>中心</w:t>
            </w:r>
            <w:r>
              <w:rPr>
                <w:rFonts w:hint="eastAsia" w:cs="宋体"/>
                <w:color w:val="auto"/>
                <w:sz w:val="24"/>
              </w:rPr>
              <w:t>（共5层，本项目租用</w:t>
            </w:r>
            <w:r>
              <w:rPr>
                <w:rFonts w:hint="eastAsia" w:cs="宋体"/>
                <w:color w:val="auto"/>
                <w:sz w:val="24"/>
                <w:lang w:val="en-US" w:eastAsia="zh-CN"/>
              </w:rPr>
              <w:t>1</w:t>
            </w:r>
            <w:r>
              <w:rPr>
                <w:rFonts w:hint="eastAsia" w:cs="宋体"/>
                <w:color w:val="auto"/>
                <w:sz w:val="24"/>
              </w:rPr>
              <w:t>层，</w:t>
            </w:r>
            <w:r>
              <w:rPr>
                <w:rFonts w:hint="eastAsia" w:cs="宋体"/>
                <w:color w:val="auto"/>
                <w:sz w:val="24"/>
                <w:lang w:val="en-US" w:eastAsia="zh-CN"/>
              </w:rPr>
              <w:t>2</w:t>
            </w:r>
            <w:r>
              <w:rPr>
                <w:rFonts w:hint="eastAsia" w:cs="宋体"/>
                <w:color w:val="auto"/>
                <w:sz w:val="24"/>
              </w:rPr>
              <w:t>～5层为安吉</w:t>
            </w:r>
            <w:r>
              <w:rPr>
                <w:rFonts w:hint="eastAsia" w:cs="宋体"/>
                <w:color w:val="auto"/>
                <w:sz w:val="24"/>
                <w:lang w:eastAsia="zh-CN"/>
              </w:rPr>
              <w:t>县春风木制品</w:t>
            </w:r>
            <w:r>
              <w:rPr>
                <w:rFonts w:hint="eastAsia" w:cs="宋体"/>
                <w:color w:val="auto"/>
                <w:sz w:val="24"/>
              </w:rPr>
              <w:t>厂生产车间），其中</w:t>
            </w:r>
            <w:r>
              <w:rPr>
                <w:rFonts w:hint="eastAsia" w:cs="宋体"/>
                <w:color w:val="auto"/>
                <w:sz w:val="24"/>
                <w:lang w:val="en-US" w:eastAsia="zh-CN"/>
              </w:rPr>
              <w:t>1</w:t>
            </w:r>
            <w:r>
              <w:rPr>
                <w:rFonts w:hint="eastAsia" w:cs="宋体"/>
                <w:color w:val="auto"/>
                <w:sz w:val="24"/>
              </w:rPr>
              <w:t>层自</w:t>
            </w:r>
            <w:r>
              <w:rPr>
                <w:rFonts w:hint="eastAsia" w:cs="宋体"/>
                <w:color w:val="auto"/>
                <w:sz w:val="24"/>
                <w:lang w:eastAsia="zh-CN"/>
              </w:rPr>
              <w:t>北</w:t>
            </w:r>
            <w:r>
              <w:rPr>
                <w:rFonts w:hint="eastAsia" w:cs="宋体"/>
                <w:color w:val="auto"/>
                <w:sz w:val="24"/>
              </w:rPr>
              <w:t>向</w:t>
            </w:r>
            <w:r>
              <w:rPr>
                <w:rFonts w:hint="eastAsia" w:cs="宋体"/>
                <w:color w:val="auto"/>
                <w:sz w:val="24"/>
                <w:lang w:eastAsia="zh-CN"/>
              </w:rPr>
              <w:t>南</w:t>
            </w:r>
            <w:r>
              <w:rPr>
                <w:rFonts w:hint="eastAsia" w:cs="宋体"/>
                <w:color w:val="auto"/>
                <w:sz w:val="24"/>
              </w:rPr>
              <w:t>设置有</w:t>
            </w:r>
            <w:r>
              <w:rPr>
                <w:rFonts w:hint="eastAsia" w:cs="宋体"/>
                <w:color w:val="auto"/>
                <w:sz w:val="24"/>
                <w:lang w:eastAsia="zh-CN"/>
              </w:rPr>
              <w:t>包装、五金、注塑、组装</w:t>
            </w:r>
            <w:r>
              <w:rPr>
                <w:rFonts w:hint="eastAsia" w:cs="宋体"/>
                <w:color w:val="auto"/>
                <w:sz w:val="24"/>
              </w:rPr>
              <w:t>等生产工序以及仓储区、办公区。</w:t>
            </w:r>
          </w:p>
          <w:p w14:paraId="59A42D60">
            <w:pPr>
              <w:spacing w:line="430" w:lineRule="exact"/>
              <w:ind w:firstLine="480" w:firstLineChars="200"/>
              <w:rPr>
                <w:rFonts w:hAnsi="宋体"/>
                <w:color w:val="auto"/>
                <w:sz w:val="24"/>
              </w:rPr>
            </w:pPr>
            <w:r>
              <w:rPr>
                <w:rFonts w:hAnsi="宋体"/>
                <w:color w:val="auto"/>
                <w:sz w:val="24"/>
              </w:rPr>
              <w:t>项目生产设备均置于车间内部，并优选低噪声设备、采取基础减振等措施，对周围环境影响较小。厂区设计过程中，严格按照《建筑设计防火规范》要求布置各建筑物，确保了防火间距和消防通道符合规范要求。车间内规划符合工艺流向，便于工艺的流畅衔接。各区域功能明确，便于操作和管理，提高了工作效率。</w:t>
            </w:r>
          </w:p>
          <w:p w14:paraId="456CCECA">
            <w:pPr>
              <w:pStyle w:val="2"/>
              <w:spacing w:line="430" w:lineRule="exact"/>
              <w:ind w:firstLine="480"/>
              <w:rPr>
                <w:color w:val="auto"/>
                <w:sz w:val="24"/>
              </w:rPr>
            </w:pPr>
            <w:r>
              <w:rPr>
                <w:rFonts w:hint="eastAsia"/>
                <w:color w:val="auto"/>
                <w:sz w:val="24"/>
              </w:rPr>
              <w:t>综上所述，本项目平面布置较为合理。</w:t>
            </w:r>
          </w:p>
          <w:p w14:paraId="571B65BC">
            <w:pPr>
              <w:adjustRightInd w:val="0"/>
              <w:snapToGrid w:val="0"/>
              <w:spacing w:line="430" w:lineRule="exact"/>
              <w:rPr>
                <w:color w:val="auto"/>
              </w:rPr>
            </w:pPr>
            <w:r>
              <w:rPr>
                <w:b/>
                <w:color w:val="auto"/>
                <w:sz w:val="24"/>
              </w:rPr>
              <w:t>2.</w:t>
            </w:r>
            <w:r>
              <w:rPr>
                <w:rFonts w:hint="eastAsia"/>
                <w:b/>
                <w:color w:val="auto"/>
                <w:sz w:val="24"/>
              </w:rPr>
              <w:t>1.8 项目水平衡图</w:t>
            </w:r>
          </w:p>
          <w:p w14:paraId="0FE8206F">
            <w:pPr>
              <w:spacing w:line="360" w:lineRule="auto"/>
              <w:ind w:firstLine="480"/>
              <w:jc w:val="left"/>
              <w:rPr>
                <w:rFonts w:hAnsi="宋体"/>
                <w:color w:val="auto"/>
                <w:sz w:val="24"/>
              </w:rPr>
            </w:pPr>
            <w:r>
              <w:rPr>
                <w:color w:val="auto"/>
              </w:rPr>
              <mc:AlternateContent>
                <mc:Choice Requires="wps">
                  <w:drawing>
                    <wp:anchor distT="0" distB="0" distL="114300" distR="114300" simplePos="0" relativeHeight="251670528" behindDoc="0" locked="0" layoutInCell="1" allowOverlap="1">
                      <wp:simplePos x="0" y="0"/>
                      <wp:positionH relativeFrom="column">
                        <wp:posOffset>2291715</wp:posOffset>
                      </wp:positionH>
                      <wp:positionV relativeFrom="paragraph">
                        <wp:posOffset>122555</wp:posOffset>
                      </wp:positionV>
                      <wp:extent cx="852805" cy="295275"/>
                      <wp:effectExtent l="0" t="0" r="4445" b="9525"/>
                      <wp:wrapNone/>
                      <wp:docPr id="11" name="文本框 69"/>
                      <wp:cNvGraphicFramePr/>
                      <a:graphic xmlns:a="http://schemas.openxmlformats.org/drawingml/2006/main">
                        <a:graphicData uri="http://schemas.microsoft.com/office/word/2010/wordprocessingShape">
                          <wps:wsp>
                            <wps:cNvSpPr txBox="1"/>
                            <wps:spPr>
                              <a:xfrm>
                                <a:off x="0" y="0"/>
                                <a:ext cx="852805" cy="295275"/>
                              </a:xfrm>
                              <a:prstGeom prst="rect">
                                <a:avLst/>
                              </a:prstGeom>
                              <a:solidFill>
                                <a:srgbClr val="FFFFFF"/>
                              </a:solidFill>
                              <a:ln>
                                <a:noFill/>
                              </a:ln>
                              <a:effectLst/>
                            </wps:spPr>
                            <wps:txbx>
                              <w:txbxContent>
                                <w:p w14:paraId="3F14FF13">
                                  <w:pPr>
                                    <w:rPr>
                                      <w:szCs w:val="21"/>
                                    </w:rPr>
                                  </w:pPr>
                                  <w:r>
                                    <w:rPr>
                                      <w:rFonts w:hint="eastAsia"/>
                                      <w:szCs w:val="21"/>
                                    </w:rPr>
                                    <w:t>损耗</w:t>
                                  </w:r>
                                  <w:r>
                                    <w:rPr>
                                      <w:rFonts w:hint="eastAsia"/>
                                      <w:szCs w:val="21"/>
                                      <w:lang w:val="en-US" w:eastAsia="zh-CN"/>
                                    </w:rPr>
                                    <w:t>6</w:t>
                                  </w:r>
                                  <w:r>
                                    <w:rPr>
                                      <w:rFonts w:hint="eastAsia"/>
                                      <w:szCs w:val="21"/>
                                    </w:rPr>
                                    <w:t>0t</w:t>
                                  </w:r>
                                </w:p>
                              </w:txbxContent>
                            </wps:txbx>
                            <wps:bodyPr upright="1"/>
                          </wps:wsp>
                        </a:graphicData>
                      </a:graphic>
                    </wp:anchor>
                  </w:drawing>
                </mc:Choice>
                <mc:Fallback>
                  <w:pict>
                    <v:shape id="文本框 69" o:spid="_x0000_s1026" o:spt="202" type="#_x0000_t202" style="position:absolute;left:0pt;margin-left:180.45pt;margin-top:9.65pt;height:23.25pt;width:67.15pt;z-index:251670528;mso-width-relative:page;mso-height-relative:page;" fillcolor="#FFFFFF" filled="t" stroked="f" coordsize="21600,21600" o:gfxdata="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h34/bYAAAACQEAAA8AAAAAAAAAAQAgAAAAIgAAAGRycy9kb3du&#10;cmV2LnhtbFBLAQIUABQAAAAIAIdO4kAMBvYexgEAAIYDAAAOAAAAAAAAAAEAIAAAACcBAABkcnMv&#10;ZTJvRG9jLnhtbFBLBQYAAAAABgAGAFkBAABfBQAAAAA=&#10;">
                      <v:fill on="t" focussize="0,0"/>
                      <v:stroke on="f"/>
                      <v:imagedata o:title=""/>
                      <o:lock v:ext="edit" aspectratio="f"/>
                      <v:textbox>
                        <w:txbxContent>
                          <w:p w14:paraId="3F14FF13">
                            <w:pPr>
                              <w:rPr>
                                <w:szCs w:val="21"/>
                              </w:rPr>
                            </w:pPr>
                            <w:r>
                              <w:rPr>
                                <w:rFonts w:hint="eastAsia"/>
                                <w:szCs w:val="21"/>
                              </w:rPr>
                              <w:t>损耗</w:t>
                            </w:r>
                            <w:r>
                              <w:rPr>
                                <w:rFonts w:hint="eastAsia"/>
                                <w:szCs w:val="21"/>
                                <w:lang w:val="en-US" w:eastAsia="zh-CN"/>
                              </w:rPr>
                              <w:t>6</w:t>
                            </w:r>
                            <w:r>
                              <w:rPr>
                                <w:rFonts w:hint="eastAsia"/>
                                <w:szCs w:val="21"/>
                              </w:rPr>
                              <w:t>0t</w:t>
                            </w:r>
                          </w:p>
                        </w:txbxContent>
                      </v:textbox>
                    </v:shape>
                  </w:pict>
                </mc:Fallback>
              </mc:AlternateContent>
            </w:r>
          </w:p>
          <w:p w14:paraId="2C9E2B67">
            <w:pPr>
              <w:spacing w:line="360" w:lineRule="auto"/>
              <w:ind w:firstLine="480"/>
              <w:jc w:val="left"/>
              <w:rPr>
                <w:rFonts w:hAnsi="宋体"/>
                <w:color w:val="auto"/>
                <w:sz w:val="24"/>
              </w:rPr>
            </w:pPr>
            <w:r>
              <w:rPr>
                <w:color w:val="auto"/>
              </w:rPr>
              <mc:AlternateContent>
                <mc:Choice Requires="wps">
                  <w:drawing>
                    <wp:anchor distT="0" distB="0" distL="114300" distR="114300" simplePos="0" relativeHeight="251668480" behindDoc="0" locked="0" layoutInCell="1" allowOverlap="1">
                      <wp:simplePos x="0" y="0"/>
                      <wp:positionH relativeFrom="column">
                        <wp:posOffset>1983105</wp:posOffset>
                      </wp:positionH>
                      <wp:positionV relativeFrom="paragraph">
                        <wp:posOffset>186690</wp:posOffset>
                      </wp:positionV>
                      <wp:extent cx="2540" cy="234315"/>
                      <wp:effectExtent l="4445" t="0" r="12065" b="13335"/>
                      <wp:wrapNone/>
                      <wp:docPr id="9" name="直线 66"/>
                      <wp:cNvGraphicFramePr/>
                      <a:graphic xmlns:a="http://schemas.openxmlformats.org/drawingml/2006/main">
                        <a:graphicData uri="http://schemas.microsoft.com/office/word/2010/wordprocessingShape">
                          <wps:wsp>
                            <wps:cNvCnPr/>
                            <wps:spPr>
                              <a:xfrm flipH="1">
                                <a:off x="0" y="0"/>
                                <a:ext cx="2540" cy="234315"/>
                              </a:xfrm>
                              <a:prstGeom prst="line">
                                <a:avLst/>
                              </a:prstGeom>
                              <a:ln w="9525" cap="flat" cmpd="sng">
                                <a:solidFill>
                                  <a:srgbClr val="000000"/>
                                </a:solidFill>
                                <a:prstDash val="lgDash"/>
                                <a:headEnd type="none" w="med" len="med"/>
                                <a:tailEnd type="none" w="sm" len="lg"/>
                              </a:ln>
                              <a:effectLst/>
                            </wps:spPr>
                            <wps:bodyPr upright="1"/>
                          </wps:wsp>
                        </a:graphicData>
                      </a:graphic>
                    </wp:anchor>
                  </w:drawing>
                </mc:Choice>
                <mc:Fallback>
                  <w:pict>
                    <v:line id="直线 66" o:spid="_x0000_s1026" o:spt="20" style="position:absolute;left:0pt;flip:x;margin-left:156.15pt;margin-top:14.7pt;height:18.45pt;width:0.2pt;z-index:251668480;mso-width-relative:page;mso-height-relative:page;" filled="f" stroked="t" coordsize="21600,21600" o:gfxdata="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ukKiNcAAAAJAQAADwAAAAAAAAABACAAAAAiAAAAZHJzL2Rvd25yZXYu&#10;eG1sUEsBAhQAFAAAAAgAh07iQHCO3/P8AQAA9QMAAA4AAAAAAAAAAQAgAAAAJgEAAGRycy9lMm9E&#10;b2MueG1sUEsFBgAAAAAGAAYAWQEAAJQFAAAAAA==&#10;">
                      <v:fill on="f" focussize="0,0"/>
                      <v:stroke color="#000000" joinstyle="round" dashstyle="longDash" endarrowwidth="narrow" endarrowlength="long"/>
                      <v:imagedata o:title=""/>
                      <o:lock v:ext="edit" aspectratio="f"/>
                    </v:line>
                  </w:pict>
                </mc:Fallback>
              </mc:AlternateContent>
            </w:r>
            <w:r>
              <w:rPr>
                <w:b/>
                <w:color w:val="auto"/>
                <w:sz w:val="28"/>
                <w:szCs w:val="28"/>
              </w:rPr>
              <mc:AlternateContent>
                <mc:Choice Requires="wps">
                  <w:drawing>
                    <wp:anchor distT="0" distB="0" distL="114300" distR="114300" simplePos="0" relativeHeight="251677696" behindDoc="0" locked="0" layoutInCell="1" allowOverlap="1">
                      <wp:simplePos x="0" y="0"/>
                      <wp:positionH relativeFrom="column">
                        <wp:posOffset>2004060</wp:posOffset>
                      </wp:positionH>
                      <wp:positionV relativeFrom="paragraph">
                        <wp:posOffset>87630</wp:posOffset>
                      </wp:positionV>
                      <wp:extent cx="246380" cy="361950"/>
                      <wp:effectExtent l="3810" t="0" r="16510" b="19050"/>
                      <wp:wrapNone/>
                      <wp:docPr id="24" name="直线 83"/>
                      <wp:cNvGraphicFramePr/>
                      <a:graphic xmlns:a="http://schemas.openxmlformats.org/drawingml/2006/main">
                        <a:graphicData uri="http://schemas.microsoft.com/office/word/2010/wordprocessingShape">
                          <wps:wsp>
                            <wps:cNvCnPr/>
                            <wps:spPr>
                              <a:xfrm flipV="1">
                                <a:off x="0" y="0"/>
                                <a:ext cx="246380" cy="361950"/>
                              </a:xfrm>
                              <a:prstGeom prst="line">
                                <a:avLst/>
                              </a:prstGeom>
                              <a:ln w="9525" cap="flat" cmpd="sng">
                                <a:solidFill>
                                  <a:srgbClr val="000000"/>
                                </a:solidFill>
                                <a:prstDash val="lgDash"/>
                                <a:headEnd type="none" w="med" len="med"/>
                                <a:tailEnd type="triangle" w="sm" len="lg"/>
                              </a:ln>
                              <a:effectLst/>
                            </wps:spPr>
                            <wps:bodyPr upright="1"/>
                          </wps:wsp>
                        </a:graphicData>
                      </a:graphic>
                    </wp:anchor>
                  </w:drawing>
                </mc:Choice>
                <mc:Fallback>
                  <w:pict>
                    <v:line id="直线 83" o:spid="_x0000_s1026" o:spt="20" style="position:absolute;left:0pt;flip:y;margin-left:157.8pt;margin-top:6.9pt;height:28.5pt;width:19.4pt;z-index:251677696;mso-width-relative:page;mso-height-relative:page;" filled="f" stroked="t" coordsize="21600,21600" o:gfxdata="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5FXG1wAAAAkBAAAPAAAAAAAAAAEAIAAAACIAAABk&#10;cnMvZG93bnJldi54bWxQSwECFAAUAAAACACHTuJAh6sfawcCAAD8AwAADgAAAAAAAAABACAAAAAm&#10;AQAAZHJzL2Uyb0RvYy54bWxQSwUGAAAAAAYABgBZAQAAnwUAAAAA&#10;">
                      <v:fill on="f" focussize="0,0"/>
                      <v:stroke color="#000000" joinstyle="round" dashstyle="longDash" endarrow="block" endarrowwidth="narrow" endarrowlength="long"/>
                      <v:imagedata o:title=""/>
                      <o:lock v:ext="edit" aspectratio="f"/>
                    </v:line>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1813560</wp:posOffset>
                      </wp:positionH>
                      <wp:positionV relativeFrom="paragraph">
                        <wp:posOffset>173355</wp:posOffset>
                      </wp:positionV>
                      <wp:extent cx="180340" cy="276225"/>
                      <wp:effectExtent l="3810" t="2540" r="6350" b="6985"/>
                      <wp:wrapNone/>
                      <wp:docPr id="8" name="直线 65"/>
                      <wp:cNvGraphicFramePr/>
                      <a:graphic xmlns:a="http://schemas.openxmlformats.org/drawingml/2006/main">
                        <a:graphicData uri="http://schemas.microsoft.com/office/word/2010/wordprocessingShape">
                          <wps:wsp>
                            <wps:cNvCnPr/>
                            <wps:spPr>
                              <a:xfrm flipV="1">
                                <a:off x="0" y="0"/>
                                <a:ext cx="180340" cy="276225"/>
                              </a:xfrm>
                              <a:prstGeom prst="line">
                                <a:avLst/>
                              </a:prstGeom>
                              <a:ln w="9525" cap="flat" cmpd="sng">
                                <a:solidFill>
                                  <a:srgbClr val="000000"/>
                                </a:solidFill>
                                <a:prstDash val="lgDash"/>
                                <a:headEnd type="none" w="med" len="med"/>
                                <a:tailEnd type="none" w="sm" len="lg"/>
                              </a:ln>
                              <a:effectLst/>
                            </wps:spPr>
                            <wps:bodyPr upright="1"/>
                          </wps:wsp>
                        </a:graphicData>
                      </a:graphic>
                    </wp:anchor>
                  </w:drawing>
                </mc:Choice>
                <mc:Fallback>
                  <w:pict>
                    <v:line id="直线 65" o:spid="_x0000_s1026" o:spt="20" style="position:absolute;left:0pt;flip:y;margin-left:142.8pt;margin-top:13.65pt;height:21.75pt;width:14.2pt;z-index:251667456;mso-width-relative:page;mso-height-relative:page;" filled="f" stroked="t" coordsize="21600,21600" o:gfxdata="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6YL9rYAAAACQEAAA8AAAAAAAAAAQAgAAAAIgAAAGRycy9kb3du&#10;cmV2LnhtbFBLAQIUABQAAAAIAIdO4kA08NyD/wEAAPcDAAAOAAAAAAAAAAEAIAAAACcBAABkcnMv&#10;ZTJvRG9jLnhtbFBLBQYAAAAABgAGAFkBAACYBQAAAAA=&#10;">
                      <v:fill on="f" focussize="0,0"/>
                      <v:stroke color="#000000" joinstyle="round" dashstyle="longDash" endarrowwidth="narrow" endarrowlength="long"/>
                      <v:imagedata o:title=""/>
                      <o:lock v:ext="edit" aspectratio="f"/>
                    </v:line>
                  </w:pict>
                </mc:Fallback>
              </mc:AlternateContent>
            </w:r>
          </w:p>
          <w:p w14:paraId="15687443">
            <w:pPr>
              <w:spacing w:line="360" w:lineRule="auto"/>
              <w:ind w:firstLine="480"/>
              <w:jc w:val="left"/>
              <w:rPr>
                <w:rFonts w:hAnsi="宋体"/>
                <w:color w:val="auto"/>
                <w:sz w:val="24"/>
              </w:rPr>
            </w:pPr>
            <w:r>
              <w:rPr>
                <w:b/>
                <w:color w:val="auto"/>
                <w:sz w:val="28"/>
                <w:szCs w:val="28"/>
              </w:rPr>
              <mc:AlternateContent>
                <mc:Choice Requires="wps">
                  <w:drawing>
                    <wp:anchor distT="0" distB="0" distL="114300" distR="114300" simplePos="0" relativeHeight="251674624" behindDoc="0" locked="0" layoutInCell="1" allowOverlap="1">
                      <wp:simplePos x="0" y="0"/>
                      <wp:positionH relativeFrom="column">
                        <wp:posOffset>1548130</wp:posOffset>
                      </wp:positionH>
                      <wp:positionV relativeFrom="paragraph">
                        <wp:posOffset>205105</wp:posOffset>
                      </wp:positionV>
                      <wp:extent cx="861695" cy="288925"/>
                      <wp:effectExtent l="4445" t="4445" r="10160" b="11430"/>
                      <wp:wrapNone/>
                      <wp:docPr id="6" name="文本框 76"/>
                      <wp:cNvGraphicFramePr/>
                      <a:graphic xmlns:a="http://schemas.openxmlformats.org/drawingml/2006/main">
                        <a:graphicData uri="http://schemas.microsoft.com/office/word/2010/wordprocessingShape">
                          <wps:wsp>
                            <wps:cNvSpPr txBox="1"/>
                            <wps:spPr>
                              <a:xfrm>
                                <a:off x="0" y="0"/>
                                <a:ext cx="861695" cy="288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451352">
                                  <w:pPr>
                                    <w:jc w:val="center"/>
                                    <w:rPr>
                                      <w:szCs w:val="21"/>
                                    </w:rPr>
                                  </w:pPr>
                                  <w:r>
                                    <w:rPr>
                                      <w:rFonts w:hint="eastAsia"/>
                                      <w:szCs w:val="21"/>
                                    </w:rPr>
                                    <w:t>生活</w:t>
                                  </w:r>
                                  <w:r>
                                    <w:rPr>
                                      <w:szCs w:val="21"/>
                                    </w:rPr>
                                    <w:t>用水</w:t>
                                  </w:r>
                                </w:p>
                              </w:txbxContent>
                            </wps:txbx>
                            <wps:bodyPr upright="1"/>
                          </wps:wsp>
                        </a:graphicData>
                      </a:graphic>
                    </wp:anchor>
                  </w:drawing>
                </mc:Choice>
                <mc:Fallback>
                  <w:pict>
                    <v:shape id="文本框 76" o:spid="_x0000_s1026" o:spt="202" type="#_x0000_t202" style="position:absolute;left:0pt;margin-left:121.9pt;margin-top:16.15pt;height:22.75pt;width:67.85pt;z-index:251674624;mso-width-relative:page;mso-height-relative:page;" fillcolor="#FFFFFF" filled="t" stroked="t" coordsize="21600,21600" o:gfxdata="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MY/q7ZAAAACQEAAA8AAAAAAAAA&#10;AQAgAAAAIgAAAGRycy9kb3ducmV2LnhtbFBLAQIUABQAAAAIAIdO4kAklaWfEAIAAEQEAAAOAAAA&#10;AAAAAAEAIAAAACgBAABkcnMvZTJvRG9jLnhtbFBLBQYAAAAABgAGAFkBAACqBQAAAAA=&#10;">
                      <v:fill on="t" focussize="0,0"/>
                      <v:stroke color="#000000" joinstyle="miter"/>
                      <v:imagedata o:title=""/>
                      <o:lock v:ext="edit" aspectratio="f"/>
                      <v:textbox>
                        <w:txbxContent>
                          <w:p w14:paraId="33451352">
                            <w:pPr>
                              <w:jc w:val="center"/>
                              <w:rPr>
                                <w:szCs w:val="21"/>
                              </w:rPr>
                            </w:pPr>
                            <w:r>
                              <w:rPr>
                                <w:rFonts w:hint="eastAsia"/>
                                <w:szCs w:val="21"/>
                              </w:rPr>
                              <w:t>生活</w:t>
                            </w:r>
                            <w:r>
                              <w:rPr>
                                <w:szCs w:val="21"/>
                              </w:rPr>
                              <w:t>用水</w:t>
                            </w:r>
                          </w:p>
                        </w:txbxContent>
                      </v:textbox>
                    </v:shape>
                  </w:pict>
                </mc:Fallback>
              </mc:AlternateContent>
            </w:r>
            <w:r>
              <w:rPr>
                <w:color w:val="auto"/>
              </w:rPr>
              <mc:AlternateContent>
                <mc:Choice Requires="wps">
                  <w:drawing>
                    <wp:anchor distT="0" distB="0" distL="114300" distR="114300" simplePos="0" relativeHeight="251678720" behindDoc="0" locked="0" layoutInCell="1" allowOverlap="1">
                      <wp:simplePos x="0" y="0"/>
                      <wp:positionH relativeFrom="column">
                        <wp:posOffset>4159250</wp:posOffset>
                      </wp:positionH>
                      <wp:positionV relativeFrom="paragraph">
                        <wp:posOffset>27305</wp:posOffset>
                      </wp:positionV>
                      <wp:extent cx="598805" cy="247015"/>
                      <wp:effectExtent l="0" t="0" r="0" b="0"/>
                      <wp:wrapNone/>
                      <wp:docPr id="25" name="文本框 84"/>
                      <wp:cNvGraphicFramePr/>
                      <a:graphic xmlns:a="http://schemas.openxmlformats.org/drawingml/2006/main">
                        <a:graphicData uri="http://schemas.microsoft.com/office/word/2010/wordprocessingShape">
                          <wps:wsp>
                            <wps:cNvSpPr txBox="1"/>
                            <wps:spPr>
                              <a:xfrm>
                                <a:off x="0" y="0"/>
                                <a:ext cx="598805" cy="247015"/>
                              </a:xfrm>
                              <a:prstGeom prst="rect">
                                <a:avLst/>
                              </a:prstGeom>
                              <a:noFill/>
                              <a:ln>
                                <a:noFill/>
                              </a:ln>
                              <a:effectLst/>
                            </wps:spPr>
                            <wps:txbx>
                              <w:txbxContent>
                                <w:p w14:paraId="1F26BE84">
                                  <w:pPr>
                                    <w:rPr>
                                      <w:szCs w:val="21"/>
                                    </w:rPr>
                                  </w:pPr>
                                  <w:r>
                                    <w:rPr>
                                      <w:rFonts w:hint="eastAsia"/>
                                      <w:szCs w:val="21"/>
                                      <w:lang w:val="en-US" w:eastAsia="zh-CN"/>
                                    </w:rPr>
                                    <w:t>24</w:t>
                                  </w:r>
                                  <w:r>
                                    <w:rPr>
                                      <w:rFonts w:hint="eastAsia"/>
                                      <w:szCs w:val="21"/>
                                    </w:rPr>
                                    <w:t>0t</w:t>
                                  </w:r>
                                </w:p>
                              </w:txbxContent>
                            </wps:txbx>
                            <wps:bodyPr upright="1"/>
                          </wps:wsp>
                        </a:graphicData>
                      </a:graphic>
                    </wp:anchor>
                  </w:drawing>
                </mc:Choice>
                <mc:Fallback>
                  <w:pict>
                    <v:shape id="文本框 84" o:spid="_x0000_s1026" o:spt="202" type="#_x0000_t202" style="position:absolute;left:0pt;margin-left:327.5pt;margin-top:2.15pt;height:19.45pt;width:47.15pt;z-index:251678720;mso-width-relative:page;mso-height-relative:page;" filled="f" stroked="f" coordsize="21600,21600" o:gfxdata="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O9&#10;TrLWAAAACAEAAA8AAAAAAAAAAQAgAAAAIgAAAGRycy9kb3ducmV2LnhtbFBLAQIUABQAAAAIAIdO&#10;4kAFN7BMswEAAF0DAAAOAAAAAAAAAAEAIAAAACUBAABkcnMvZTJvRG9jLnhtbFBLBQYAAAAABgAG&#10;AFkBAABKBQAAAAA=&#10;">
                      <v:fill on="f" focussize="0,0"/>
                      <v:stroke on="f"/>
                      <v:imagedata o:title=""/>
                      <o:lock v:ext="edit" aspectratio="f"/>
                      <v:textbox>
                        <w:txbxContent>
                          <w:p w14:paraId="1F26BE84">
                            <w:pPr>
                              <w:rPr>
                                <w:szCs w:val="21"/>
                              </w:rPr>
                            </w:pPr>
                            <w:r>
                              <w:rPr>
                                <w:rFonts w:hint="eastAsia"/>
                                <w:szCs w:val="21"/>
                                <w:lang w:val="en-US" w:eastAsia="zh-CN"/>
                              </w:rPr>
                              <w:t>24</w:t>
                            </w:r>
                            <w:r>
                              <w:rPr>
                                <w:rFonts w:hint="eastAsia"/>
                                <w:szCs w:val="21"/>
                              </w:rPr>
                              <w:t>0t</w:t>
                            </w:r>
                          </w:p>
                        </w:txbxContent>
                      </v:textbox>
                    </v:shape>
                  </w:pict>
                </mc:Fallback>
              </mc:AlternateContent>
            </w:r>
            <w:r>
              <w:rPr>
                <w:b/>
                <w:color w:val="auto"/>
                <w:sz w:val="28"/>
                <w:szCs w:val="28"/>
              </w:rPr>
              <mc:AlternateContent>
                <mc:Choice Requires="wps">
                  <w:drawing>
                    <wp:anchor distT="0" distB="0" distL="114300" distR="114300" simplePos="0" relativeHeight="251675648" behindDoc="0" locked="0" layoutInCell="1" allowOverlap="1">
                      <wp:simplePos x="0" y="0"/>
                      <wp:positionH relativeFrom="column">
                        <wp:posOffset>3249930</wp:posOffset>
                      </wp:positionH>
                      <wp:positionV relativeFrom="paragraph">
                        <wp:posOffset>186690</wp:posOffset>
                      </wp:positionV>
                      <wp:extent cx="861695" cy="288925"/>
                      <wp:effectExtent l="4445" t="4445" r="10160" b="11430"/>
                      <wp:wrapNone/>
                      <wp:docPr id="10" name="文本框 77"/>
                      <wp:cNvGraphicFramePr/>
                      <a:graphic xmlns:a="http://schemas.openxmlformats.org/drawingml/2006/main">
                        <a:graphicData uri="http://schemas.microsoft.com/office/word/2010/wordprocessingShape">
                          <wps:wsp>
                            <wps:cNvSpPr txBox="1"/>
                            <wps:spPr>
                              <a:xfrm>
                                <a:off x="0" y="0"/>
                                <a:ext cx="861695" cy="288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550F59">
                                  <w:pPr>
                                    <w:jc w:val="center"/>
                                    <w:rPr>
                                      <w:szCs w:val="21"/>
                                    </w:rPr>
                                  </w:pPr>
                                  <w:r>
                                    <w:rPr>
                                      <w:rFonts w:hint="eastAsia"/>
                                      <w:szCs w:val="21"/>
                                    </w:rPr>
                                    <w:t>纳管排放</w:t>
                                  </w:r>
                                </w:p>
                              </w:txbxContent>
                            </wps:txbx>
                            <wps:bodyPr upright="1"/>
                          </wps:wsp>
                        </a:graphicData>
                      </a:graphic>
                    </wp:anchor>
                  </w:drawing>
                </mc:Choice>
                <mc:Fallback>
                  <w:pict>
                    <v:shape id="文本框 77" o:spid="_x0000_s1026" o:spt="202" type="#_x0000_t202" style="position:absolute;left:0pt;margin-left:255.9pt;margin-top:14.7pt;height:22.75pt;width:67.85pt;z-index:251675648;mso-width-relative:page;mso-height-relative:page;" fillcolor="#FFFFFF" filled="t" stroked="t" coordsize="21600,21600" o:gfxdata="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ob+PZAAAACQEAAA8AAAAAAAAA&#10;AQAgAAAAIgAAAGRycy9kb3ducmV2LnhtbFBLAQIUABQAAAAIAIdO4kBpK3snEAIAAEUEAAAOAAAA&#10;AAAAAAEAIAAAACgBAABkcnMvZTJvRG9jLnhtbFBLBQYAAAAABgAGAFkBAACqBQAAAAA=&#10;">
                      <v:fill on="t" focussize="0,0"/>
                      <v:stroke color="#000000" joinstyle="miter"/>
                      <v:imagedata o:title=""/>
                      <o:lock v:ext="edit" aspectratio="f"/>
                      <v:textbox>
                        <w:txbxContent>
                          <w:p w14:paraId="3C550F59">
                            <w:pPr>
                              <w:jc w:val="center"/>
                              <w:rPr>
                                <w:szCs w:val="21"/>
                              </w:rPr>
                            </w:pPr>
                            <w:r>
                              <w:rPr>
                                <w:rFonts w:hint="eastAsia"/>
                                <w:szCs w:val="21"/>
                              </w:rPr>
                              <w:t>纳管排放</w:t>
                            </w:r>
                          </w:p>
                        </w:txbxContent>
                      </v:textbox>
                    </v:shape>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2538730</wp:posOffset>
                      </wp:positionH>
                      <wp:positionV relativeFrom="paragraph">
                        <wp:posOffset>27305</wp:posOffset>
                      </wp:positionV>
                      <wp:extent cx="598805" cy="247015"/>
                      <wp:effectExtent l="0" t="0" r="10795" b="635"/>
                      <wp:wrapNone/>
                      <wp:docPr id="20" name="文本框 71"/>
                      <wp:cNvGraphicFramePr/>
                      <a:graphic xmlns:a="http://schemas.openxmlformats.org/drawingml/2006/main">
                        <a:graphicData uri="http://schemas.microsoft.com/office/word/2010/wordprocessingShape">
                          <wps:wsp>
                            <wps:cNvSpPr txBox="1"/>
                            <wps:spPr>
                              <a:xfrm>
                                <a:off x="0" y="0"/>
                                <a:ext cx="598805" cy="247015"/>
                              </a:xfrm>
                              <a:prstGeom prst="rect">
                                <a:avLst/>
                              </a:prstGeom>
                              <a:solidFill>
                                <a:srgbClr val="FFFFFF"/>
                              </a:solidFill>
                              <a:ln>
                                <a:noFill/>
                              </a:ln>
                              <a:effectLst/>
                            </wps:spPr>
                            <wps:txbx>
                              <w:txbxContent>
                                <w:p w14:paraId="0F30A4D2">
                                  <w:pPr>
                                    <w:rPr>
                                      <w:szCs w:val="21"/>
                                    </w:rPr>
                                  </w:pPr>
                                  <w:r>
                                    <w:rPr>
                                      <w:rFonts w:hint="eastAsia"/>
                                      <w:szCs w:val="21"/>
                                      <w:lang w:val="en-US" w:eastAsia="zh-CN"/>
                                    </w:rPr>
                                    <w:t>24</w:t>
                                  </w:r>
                                  <w:r>
                                    <w:rPr>
                                      <w:rFonts w:hint="eastAsia"/>
                                      <w:szCs w:val="21"/>
                                    </w:rPr>
                                    <w:t>0t</w:t>
                                  </w:r>
                                </w:p>
                              </w:txbxContent>
                            </wps:txbx>
                            <wps:bodyPr upright="1"/>
                          </wps:wsp>
                        </a:graphicData>
                      </a:graphic>
                    </wp:anchor>
                  </w:drawing>
                </mc:Choice>
                <mc:Fallback>
                  <w:pict>
                    <v:shape id="文本框 71" o:spid="_x0000_s1026" o:spt="202" type="#_x0000_t202" style="position:absolute;left:0pt;margin-left:199.9pt;margin-top:2.15pt;height:19.45pt;width:47.15pt;z-index:251672576;mso-width-relative:page;mso-height-relative:page;" fillcolor="#FFFFFF" filled="t" stroked="f" coordsize="21600,21600" o:gfxdata="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s9qXI1gAAAAgBAAAPAAAAAAAAAAEAIAAAACIAAABkcnMvZG93bnJl&#10;di54bWxQSwECFAAUAAAACACHTuJAN4LQKMYBAACGAwAADgAAAAAAAAABACAAAAAlAQAAZHJzL2Uy&#10;b0RvYy54bWxQSwUGAAAAAAYABgBZAQAAXQUAAAAA&#10;">
                      <v:fill on="t" focussize="0,0"/>
                      <v:stroke on="f"/>
                      <v:imagedata o:title=""/>
                      <o:lock v:ext="edit" aspectratio="f"/>
                      <v:textbox>
                        <w:txbxContent>
                          <w:p w14:paraId="0F30A4D2">
                            <w:pPr>
                              <w:rPr>
                                <w:szCs w:val="21"/>
                              </w:rPr>
                            </w:pPr>
                            <w:r>
                              <w:rPr>
                                <w:rFonts w:hint="eastAsia"/>
                                <w:szCs w:val="21"/>
                                <w:lang w:val="en-US" w:eastAsia="zh-CN"/>
                              </w:rPr>
                              <w:t>24</w:t>
                            </w:r>
                            <w:r>
                              <w:rPr>
                                <w:rFonts w:hint="eastAsia"/>
                                <w:szCs w:val="21"/>
                              </w:rPr>
                              <w:t>0t</w:t>
                            </w:r>
                          </w:p>
                        </w:txbxContent>
                      </v:textbox>
                    </v:shape>
                  </w:pict>
                </mc:Fallback>
              </mc:AlternateContent>
            </w:r>
            <w:r>
              <w:rPr>
                <w:rFonts w:hAnsi="宋体"/>
                <w:b/>
                <w:color w:val="auto"/>
                <w:sz w:val="24"/>
              </w:rPr>
              <mc:AlternateContent>
                <mc:Choice Requires="wps">
                  <w:drawing>
                    <wp:anchor distT="0" distB="0" distL="114300" distR="114300" simplePos="0" relativeHeight="251673600" behindDoc="0" locked="0" layoutInCell="1" allowOverlap="1">
                      <wp:simplePos x="0" y="0"/>
                      <wp:positionH relativeFrom="column">
                        <wp:posOffset>4612640</wp:posOffset>
                      </wp:positionH>
                      <wp:positionV relativeFrom="paragraph">
                        <wp:posOffset>163830</wp:posOffset>
                      </wp:positionV>
                      <wp:extent cx="859155" cy="329565"/>
                      <wp:effectExtent l="0" t="0" r="0" b="0"/>
                      <wp:wrapNone/>
                      <wp:docPr id="23" name="文本框 73"/>
                      <wp:cNvGraphicFramePr/>
                      <a:graphic xmlns:a="http://schemas.openxmlformats.org/drawingml/2006/main">
                        <a:graphicData uri="http://schemas.microsoft.com/office/word/2010/wordprocessingShape">
                          <wps:wsp>
                            <wps:cNvSpPr txBox="1"/>
                            <wps:spPr>
                              <a:xfrm>
                                <a:off x="0" y="0"/>
                                <a:ext cx="859155" cy="329565"/>
                              </a:xfrm>
                              <a:prstGeom prst="rect">
                                <a:avLst/>
                              </a:prstGeom>
                              <a:noFill/>
                              <a:ln>
                                <a:noFill/>
                              </a:ln>
                              <a:effectLst/>
                            </wps:spPr>
                            <wps:txbx>
                              <w:txbxContent>
                                <w:p w14:paraId="50C0BC62">
                                  <w:pPr>
                                    <w:jc w:val="center"/>
                                    <w:rPr>
                                      <w:szCs w:val="21"/>
                                    </w:rPr>
                                  </w:pPr>
                                  <w:r>
                                    <w:rPr>
                                      <w:rFonts w:hint="eastAsia"/>
                                      <w:szCs w:val="21"/>
                                    </w:rPr>
                                    <w:t>污水处理厂</w:t>
                                  </w:r>
                                </w:p>
                              </w:txbxContent>
                            </wps:txbx>
                            <wps:bodyPr upright="1"/>
                          </wps:wsp>
                        </a:graphicData>
                      </a:graphic>
                    </wp:anchor>
                  </w:drawing>
                </mc:Choice>
                <mc:Fallback>
                  <w:pict>
                    <v:shape id="文本框 73" o:spid="_x0000_s1026" o:spt="202" type="#_x0000_t202" style="position:absolute;left:0pt;margin-left:363.2pt;margin-top:12.9pt;height:25.95pt;width:67.65pt;z-index:251673600;mso-width-relative:page;mso-height-relative:page;" filled="f" stroked="f" coordsize="21600,21600" o:gfxdata="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Uy2r1wAAAAkBAAAPAAAAAAAAAAEAIAAAACIAAABkcnMvZG93bnJldi54bWxQSwECFAAUAAAACACH&#10;TuJAu5jrx7MBAABdAwAADgAAAAAAAAABACAAAAAmAQAAZHJzL2Uyb0RvYy54bWxQSwUGAAAAAAYA&#10;BgBZAQAASwUAAAAA&#10;">
                      <v:fill on="f" focussize="0,0"/>
                      <v:stroke on="f"/>
                      <v:imagedata o:title=""/>
                      <o:lock v:ext="edit" aspectratio="f"/>
                      <v:textbox>
                        <w:txbxContent>
                          <w:p w14:paraId="50C0BC62">
                            <w:pPr>
                              <w:jc w:val="center"/>
                              <w:rPr>
                                <w:szCs w:val="21"/>
                              </w:rPr>
                            </w:pPr>
                            <w:r>
                              <w:rPr>
                                <w:rFonts w:hint="eastAsia"/>
                                <w:szCs w:val="21"/>
                              </w:rPr>
                              <w:t>污水处理厂</w:t>
                            </w:r>
                          </w:p>
                        </w:txbxContent>
                      </v:textbox>
                    </v:shape>
                  </w:pict>
                </mc:Fallback>
              </mc:AlternateContent>
            </w:r>
          </w:p>
          <w:p w14:paraId="1D9E314F">
            <w:pPr>
              <w:spacing w:line="360" w:lineRule="auto"/>
              <w:ind w:firstLine="480"/>
              <w:jc w:val="left"/>
              <w:rPr>
                <w:rFonts w:hAnsi="宋体"/>
                <w:color w:val="auto"/>
                <w:sz w:val="24"/>
              </w:rPr>
            </w:pPr>
            <w:r>
              <w:rPr>
                <w:color w:val="auto"/>
              </w:rPr>
              <mc:AlternateContent>
                <mc:Choice Requires="wps">
                  <w:drawing>
                    <wp:anchor distT="0" distB="0" distL="114300" distR="114300" simplePos="0" relativeHeight="251669504" behindDoc="0" locked="0" layoutInCell="1" allowOverlap="1">
                      <wp:simplePos x="0" y="0"/>
                      <wp:positionH relativeFrom="column">
                        <wp:posOffset>346075</wp:posOffset>
                      </wp:positionH>
                      <wp:positionV relativeFrom="paragraph">
                        <wp:posOffset>116840</wp:posOffset>
                      </wp:positionV>
                      <wp:extent cx="593725" cy="247015"/>
                      <wp:effectExtent l="0" t="0" r="15875" b="635"/>
                      <wp:wrapNone/>
                      <wp:docPr id="26" name="文本框 68"/>
                      <wp:cNvGraphicFramePr/>
                      <a:graphic xmlns:a="http://schemas.openxmlformats.org/drawingml/2006/main">
                        <a:graphicData uri="http://schemas.microsoft.com/office/word/2010/wordprocessingShape">
                          <wps:wsp>
                            <wps:cNvSpPr txBox="1"/>
                            <wps:spPr>
                              <a:xfrm>
                                <a:off x="0" y="0"/>
                                <a:ext cx="593725" cy="247015"/>
                              </a:xfrm>
                              <a:prstGeom prst="rect">
                                <a:avLst/>
                              </a:prstGeom>
                              <a:solidFill>
                                <a:srgbClr val="FFFFFF"/>
                              </a:solidFill>
                              <a:ln>
                                <a:noFill/>
                              </a:ln>
                              <a:effectLst/>
                            </wps:spPr>
                            <wps:txbx>
                              <w:txbxContent>
                                <w:p w14:paraId="3D755C50">
                                  <w:pPr>
                                    <w:rPr>
                                      <w:szCs w:val="21"/>
                                    </w:rPr>
                                  </w:pPr>
                                  <w:r>
                                    <w:rPr>
                                      <w:rFonts w:hint="eastAsia"/>
                                      <w:szCs w:val="21"/>
                                      <w:lang w:val="en-US" w:eastAsia="zh-CN"/>
                                    </w:rPr>
                                    <w:t>45</w:t>
                                  </w:r>
                                  <w:r>
                                    <w:rPr>
                                      <w:rFonts w:hint="eastAsia"/>
                                      <w:szCs w:val="21"/>
                                    </w:rPr>
                                    <w:t xml:space="preserve">0t </w:t>
                                  </w:r>
                                </w:p>
                              </w:txbxContent>
                            </wps:txbx>
                            <wps:bodyPr upright="1"/>
                          </wps:wsp>
                        </a:graphicData>
                      </a:graphic>
                    </wp:anchor>
                  </w:drawing>
                </mc:Choice>
                <mc:Fallback>
                  <w:pict>
                    <v:shape id="文本框 68" o:spid="_x0000_s1026" o:spt="202" type="#_x0000_t202" style="position:absolute;left:0pt;margin-left:27.25pt;margin-top:9.2pt;height:19.45pt;width:46.75pt;z-index:251669504;mso-width-relative:page;mso-height-relative:page;" fillcolor="#FFFFFF" filled="t" stroked="f" coordsize="21600,21600" o:gfxdata="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eMA89UAAAAIAQAADwAAAAAAAAABACAAAAAiAAAAZHJzL2Rvd25y&#10;ZXYueG1sUEsBAhQAFAAAAAgAh07iQFXqQeTIAQAAhgMAAA4AAAAAAAAAAQAgAAAAJAEAAGRycy9l&#10;Mm9Eb2MueG1sUEsFBgAAAAAGAAYAWQEAAF4FAAAAAA==&#10;">
                      <v:fill on="t" focussize="0,0"/>
                      <v:stroke on="f"/>
                      <v:imagedata o:title=""/>
                      <o:lock v:ext="edit" aspectratio="f"/>
                      <v:textbox>
                        <w:txbxContent>
                          <w:p w14:paraId="3D755C50">
                            <w:pPr>
                              <w:rPr>
                                <w:szCs w:val="21"/>
                              </w:rPr>
                            </w:pPr>
                            <w:r>
                              <w:rPr>
                                <w:rFonts w:hint="eastAsia"/>
                                <w:szCs w:val="21"/>
                                <w:lang w:val="en-US" w:eastAsia="zh-CN"/>
                              </w:rPr>
                              <w:t>45</w:t>
                            </w:r>
                            <w:r>
                              <w:rPr>
                                <w:rFonts w:hint="eastAsia"/>
                                <w:szCs w:val="21"/>
                              </w:rPr>
                              <w:t xml:space="preserve">0t </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1140460</wp:posOffset>
                      </wp:positionH>
                      <wp:positionV relativeFrom="paragraph">
                        <wp:posOffset>85725</wp:posOffset>
                      </wp:positionV>
                      <wp:extent cx="9525" cy="781050"/>
                      <wp:effectExtent l="4445" t="0" r="5080" b="0"/>
                      <wp:wrapNone/>
                      <wp:docPr id="5" name="直线 1055"/>
                      <wp:cNvGraphicFramePr/>
                      <a:graphic xmlns:a="http://schemas.openxmlformats.org/drawingml/2006/main">
                        <a:graphicData uri="http://schemas.microsoft.com/office/word/2010/wordprocessingShape">
                          <wps:wsp>
                            <wps:cNvCnPr/>
                            <wps:spPr>
                              <a:xfrm flipH="1">
                                <a:off x="2356485" y="6608445"/>
                                <a:ext cx="9525" cy="7810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55" o:spid="_x0000_s1026" o:spt="20" style="position:absolute;left:0pt;flip:x;margin-left:89.8pt;margin-top:6.75pt;height:61.5pt;width:0.75pt;z-index:251682816;mso-width-relative:page;mso-height-relative:page;" filled="f" stroked="t" coordsize="21600,21600" o:gfxdata="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mNRJdcAAAAKAQAADwAAAAAAAAABACAAAAAiAAAAZHJzL2Rvd25y&#10;ZXYueG1sUEsBAhQAFAAAAAgAh07iQGcRPrD/AQAA9gMAAA4AAAAAAAAAAQAgAAAAJgEAAGRycy9l&#10;Mm9Eb2MueG1sUEsFBgAAAAAGAAYAWQEAAJcFA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684864" behindDoc="0" locked="0" layoutInCell="1" allowOverlap="1">
                      <wp:simplePos x="0" y="0"/>
                      <wp:positionH relativeFrom="column">
                        <wp:posOffset>1144270</wp:posOffset>
                      </wp:positionH>
                      <wp:positionV relativeFrom="paragraph">
                        <wp:posOffset>92075</wp:posOffset>
                      </wp:positionV>
                      <wp:extent cx="359410" cy="2540"/>
                      <wp:effectExtent l="0" t="37465" r="2540" b="36195"/>
                      <wp:wrapNone/>
                      <wp:docPr id="12" name="直线 64"/>
                      <wp:cNvGraphicFramePr/>
                      <a:graphic xmlns:a="http://schemas.openxmlformats.org/drawingml/2006/main">
                        <a:graphicData uri="http://schemas.microsoft.com/office/word/2010/wordprocessingShape">
                          <wps:wsp>
                            <wps:cNvCnPr/>
                            <wps:spPr>
                              <a:xfrm flipV="1">
                                <a:off x="0" y="0"/>
                                <a:ext cx="768985"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64" o:spid="_x0000_s1026" o:spt="20" style="position:absolute;left:0pt;flip:y;margin-left:90.1pt;margin-top:7.25pt;height:0.2pt;width:28.3pt;z-index:251684864;mso-width-relative:page;mso-height-relative:page;" filled="f" stroked="t" coordsize="21600,21600" o:gfxdata="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oUcW2AAAAAkBAAAPAAAAAAAAAAEAIAAAACIAAABkcnMvZG93&#10;bnJldi54bWxQSwECFAAUAAAACACHTuJAL9B42AACAAD7AwAADgAAAAAAAAABACAAAAAnAQAAZHJz&#10;L2Uyb0RvYy54bWxQSwUGAAAAAAYABgBZAQAAmQUAAAAA&#10;">
                      <v:fill on="f" focussize="0,0"/>
                      <v:stroke color="#000000" joinstyle="round" endarrow="block"/>
                      <v:imagedata o:title=""/>
                      <o:lock v:ext="edit" aspectratio="f"/>
                    </v:line>
                  </w:pict>
                </mc:Fallback>
              </mc:AlternateContent>
            </w:r>
            <w:r>
              <w:rPr>
                <w:b/>
                <w:color w:val="auto"/>
                <w:sz w:val="28"/>
                <w:szCs w:val="28"/>
              </w:rPr>
              <mc:AlternateContent>
                <mc:Choice Requires="wps">
                  <w:drawing>
                    <wp:anchor distT="0" distB="0" distL="114300" distR="114300" simplePos="0" relativeHeight="251676672" behindDoc="0" locked="0" layoutInCell="1" allowOverlap="1">
                      <wp:simplePos x="0" y="0"/>
                      <wp:positionH relativeFrom="column">
                        <wp:posOffset>4111625</wp:posOffset>
                      </wp:positionH>
                      <wp:positionV relativeFrom="paragraph">
                        <wp:posOffset>48895</wp:posOffset>
                      </wp:positionV>
                      <wp:extent cx="530860" cy="1905"/>
                      <wp:effectExtent l="0" t="38100" r="2540" b="36195"/>
                      <wp:wrapNone/>
                      <wp:docPr id="33" name="直线 78"/>
                      <wp:cNvGraphicFramePr/>
                      <a:graphic xmlns:a="http://schemas.openxmlformats.org/drawingml/2006/main">
                        <a:graphicData uri="http://schemas.microsoft.com/office/word/2010/wordprocessingShape">
                          <wps:wsp>
                            <wps:cNvCnPr/>
                            <wps:spPr>
                              <a:xfrm flipV="1">
                                <a:off x="0" y="0"/>
                                <a:ext cx="53086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78" o:spid="_x0000_s1026" o:spt="20" style="position:absolute;left:0pt;flip:y;margin-left:323.75pt;margin-top:3.85pt;height:0.15pt;width:41.8pt;z-index:251676672;mso-width-relative:page;mso-height-relative:page;" filled="f" stroked="t" coordsize="21600,21600" o:gfxdata="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LorH1wAAAAcBAAAPAAAAAAAAAAEAIAAAACIAAABkcnMvZG93bnJl&#10;di54bWxQSwECFAAUAAAACACHTuJAt90PP/4BAAD7AwAADgAAAAAAAAABACAAAAAmAQAAZHJzL2Uy&#10;b0RvYy54bWxQSwUGAAAAAAYABgBZAQAAlg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column">
                        <wp:posOffset>2392045</wp:posOffset>
                      </wp:positionH>
                      <wp:positionV relativeFrom="paragraph">
                        <wp:posOffset>48895</wp:posOffset>
                      </wp:positionV>
                      <wp:extent cx="855345" cy="0"/>
                      <wp:effectExtent l="0" t="38100" r="1905" b="38100"/>
                      <wp:wrapNone/>
                      <wp:docPr id="63" name="直线 70"/>
                      <wp:cNvGraphicFramePr/>
                      <a:graphic xmlns:a="http://schemas.openxmlformats.org/drawingml/2006/main">
                        <a:graphicData uri="http://schemas.microsoft.com/office/word/2010/wordprocessingShape">
                          <wps:wsp>
                            <wps:cNvCnPr/>
                            <wps:spPr>
                              <a:xfrm flipV="1">
                                <a:off x="0" y="0"/>
                                <a:ext cx="85534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70" o:spid="_x0000_s1026" o:spt="20" style="position:absolute;left:0pt;flip:y;margin-left:188.35pt;margin-top:3.85pt;height:0pt;width:67.35pt;z-index:251671552;mso-width-relative:page;mso-height-relative:page;" filled="f" stroked="t" coordsize="21600,21600" o:gfxdata="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if8hnWAAAABwEAAA8AAAAAAAAAAQAgAAAAIgAAAGRycy9kb3ducmV2Lnht&#10;bFBLAQIUABQAAAAIAIdO4kA61yht+wEAAPgDAAAOAAAAAAAAAAEAIAAAACUBAABkcnMvZTJvRG9j&#10;LnhtbFBLBQYAAAAABgAGAFkBAACSBQAAAAA=&#10;">
                      <v:fill on="f" focussize="0,0"/>
                      <v:stroke color="#000000" joinstyle="round" endarrow="block"/>
                      <v:imagedata o:title=""/>
                      <o:lock v:ext="edit" aspectratio="f"/>
                    </v:line>
                  </w:pict>
                </mc:Fallback>
              </mc:AlternateContent>
            </w:r>
          </w:p>
          <w:p w14:paraId="42043613">
            <w:pPr>
              <w:spacing w:line="360" w:lineRule="auto"/>
              <w:ind w:firstLine="480"/>
              <w:jc w:val="left"/>
              <w:rPr>
                <w:rFonts w:hAnsi="宋体"/>
                <w:color w:val="auto"/>
                <w:sz w:val="24"/>
              </w:rPr>
            </w:pPr>
            <w:r>
              <w:rPr>
                <w:color w:val="auto"/>
              </w:rPr>
              <mc:AlternateContent>
                <mc:Choice Requires="wps">
                  <w:drawing>
                    <wp:anchor distT="0" distB="0" distL="114300" distR="114300" simplePos="0" relativeHeight="251666432" behindDoc="0" locked="0" layoutInCell="1" allowOverlap="1">
                      <wp:simplePos x="0" y="0"/>
                      <wp:positionH relativeFrom="column">
                        <wp:posOffset>382270</wp:posOffset>
                      </wp:positionH>
                      <wp:positionV relativeFrom="paragraph">
                        <wp:posOffset>238760</wp:posOffset>
                      </wp:positionV>
                      <wp:extent cx="768985" cy="2540"/>
                      <wp:effectExtent l="0" t="38100" r="12065" b="35560"/>
                      <wp:wrapNone/>
                      <wp:docPr id="66" name="直线 64"/>
                      <wp:cNvGraphicFramePr/>
                      <a:graphic xmlns:a="http://schemas.openxmlformats.org/drawingml/2006/main">
                        <a:graphicData uri="http://schemas.microsoft.com/office/word/2010/wordprocessingShape">
                          <wps:wsp>
                            <wps:cNvCnPr/>
                            <wps:spPr>
                              <a:xfrm flipV="1">
                                <a:off x="0" y="0"/>
                                <a:ext cx="768985"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64" o:spid="_x0000_s1026" o:spt="20" style="position:absolute;left:0pt;flip:y;margin-left:30.1pt;margin-top:18.8pt;height:0.2pt;width:60.55pt;z-index:251666432;mso-width-relative:page;mso-height-relative:page;" filled="f" stroked="t" coordsize="21600,21600" o:gfxdata="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hvAl2AAAAAgBAAAPAAAAAAAAAAEAIAAAACIAAABkcnMvZG93&#10;bnJldi54bWxQSwECFAAUAAAACACHTuJAuN8jlQACAAD7AwAADgAAAAAAAAABACAAAAAnAQAAZHJz&#10;L2Uyb0RvYy54bWxQSwUGAAAAAAYABgBZAQAAmQ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691008" behindDoc="0" locked="0" layoutInCell="1" allowOverlap="1">
                      <wp:simplePos x="0" y="0"/>
                      <wp:positionH relativeFrom="column">
                        <wp:posOffset>2215515</wp:posOffset>
                      </wp:positionH>
                      <wp:positionV relativeFrom="paragraph">
                        <wp:posOffset>52705</wp:posOffset>
                      </wp:positionV>
                      <wp:extent cx="852805" cy="295275"/>
                      <wp:effectExtent l="0" t="0" r="4445" b="9525"/>
                      <wp:wrapNone/>
                      <wp:docPr id="30" name="文本框 69"/>
                      <wp:cNvGraphicFramePr/>
                      <a:graphic xmlns:a="http://schemas.openxmlformats.org/drawingml/2006/main">
                        <a:graphicData uri="http://schemas.microsoft.com/office/word/2010/wordprocessingShape">
                          <wps:wsp>
                            <wps:cNvSpPr txBox="1"/>
                            <wps:spPr>
                              <a:xfrm>
                                <a:off x="0" y="0"/>
                                <a:ext cx="852805" cy="295275"/>
                              </a:xfrm>
                              <a:prstGeom prst="rect">
                                <a:avLst/>
                              </a:prstGeom>
                              <a:solidFill>
                                <a:srgbClr val="FFFFFF"/>
                              </a:solidFill>
                              <a:ln>
                                <a:noFill/>
                              </a:ln>
                              <a:effectLst/>
                            </wps:spPr>
                            <wps:txbx>
                              <w:txbxContent>
                                <w:p w14:paraId="789FEE1F">
                                  <w:pPr>
                                    <w:rPr>
                                      <w:szCs w:val="21"/>
                                    </w:rPr>
                                  </w:pPr>
                                  <w:r>
                                    <w:rPr>
                                      <w:rFonts w:hint="eastAsia"/>
                                      <w:szCs w:val="21"/>
                                    </w:rPr>
                                    <w:t>损耗</w:t>
                                  </w:r>
                                  <w:r>
                                    <w:rPr>
                                      <w:rFonts w:hint="eastAsia"/>
                                      <w:szCs w:val="21"/>
                                      <w:lang w:val="en-US" w:eastAsia="zh-CN"/>
                                    </w:rPr>
                                    <w:t>150</w:t>
                                  </w:r>
                                  <w:r>
                                    <w:rPr>
                                      <w:rFonts w:hint="eastAsia"/>
                                      <w:szCs w:val="21"/>
                                    </w:rPr>
                                    <w:t>t</w:t>
                                  </w:r>
                                </w:p>
                              </w:txbxContent>
                            </wps:txbx>
                            <wps:bodyPr upright="1"/>
                          </wps:wsp>
                        </a:graphicData>
                      </a:graphic>
                    </wp:anchor>
                  </w:drawing>
                </mc:Choice>
                <mc:Fallback>
                  <w:pict>
                    <v:shape id="文本框 69" o:spid="_x0000_s1026" o:spt="202" type="#_x0000_t202" style="position:absolute;left:0pt;margin-left:174.45pt;margin-top:4.15pt;height:23.25pt;width:67.15pt;z-index:251691008;mso-width-relative:page;mso-height-relative:page;" fillcolor="#FFFFFF" filled="t" stroked="f" coordsize="21600,21600" o:gfxdata="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SjBnNcAAAAIAQAADwAAAAAAAAABACAAAAAiAAAAZHJzL2Rvd25y&#10;ZXYueG1sUEsBAhQAFAAAAAgAh07iQFv2sHrGAQAAhgMAAA4AAAAAAAAAAQAgAAAAJgEAAGRycy9l&#10;Mm9Eb2MueG1sUEsFBgAAAAAGAAYAWQEAAF4FAAAAAA==&#10;">
                      <v:fill on="t" focussize="0,0"/>
                      <v:stroke on="f"/>
                      <v:imagedata o:title=""/>
                      <o:lock v:ext="edit" aspectratio="f"/>
                      <v:textbox>
                        <w:txbxContent>
                          <w:p w14:paraId="789FEE1F">
                            <w:pPr>
                              <w:rPr>
                                <w:szCs w:val="21"/>
                              </w:rPr>
                            </w:pPr>
                            <w:r>
                              <w:rPr>
                                <w:rFonts w:hint="eastAsia"/>
                                <w:szCs w:val="21"/>
                              </w:rPr>
                              <w:t>损耗</w:t>
                            </w:r>
                            <w:r>
                              <w:rPr>
                                <w:rFonts w:hint="eastAsia"/>
                                <w:szCs w:val="21"/>
                                <w:lang w:val="en-US" w:eastAsia="zh-CN"/>
                              </w:rPr>
                              <w:t>150</w:t>
                            </w:r>
                            <w:r>
                              <w:rPr>
                                <w:rFonts w:hint="eastAsia"/>
                                <w:szCs w:val="21"/>
                              </w:rPr>
                              <w:t>t</w:t>
                            </w:r>
                          </w:p>
                        </w:txbxContent>
                      </v:textbox>
                    </v:shape>
                  </w:pict>
                </mc:Fallback>
              </mc:AlternateContent>
            </w:r>
            <w:r>
              <w:rPr>
                <w:color w:val="auto"/>
              </w:rPr>
              <mc:AlternateContent>
                <mc:Choice Requires="wps">
                  <w:drawing>
                    <wp:anchor distT="0" distB="0" distL="114300" distR="114300" simplePos="0" relativeHeight="251688960" behindDoc="0" locked="0" layoutInCell="1" allowOverlap="1">
                      <wp:simplePos x="0" y="0"/>
                      <wp:positionH relativeFrom="column">
                        <wp:posOffset>1765935</wp:posOffset>
                      </wp:positionH>
                      <wp:positionV relativeFrom="paragraph">
                        <wp:posOffset>223520</wp:posOffset>
                      </wp:positionV>
                      <wp:extent cx="189230" cy="285115"/>
                      <wp:effectExtent l="3810" t="2540" r="16510" b="17145"/>
                      <wp:wrapNone/>
                      <wp:docPr id="28" name="直线 65"/>
                      <wp:cNvGraphicFramePr/>
                      <a:graphic xmlns:a="http://schemas.openxmlformats.org/drawingml/2006/main">
                        <a:graphicData uri="http://schemas.microsoft.com/office/word/2010/wordprocessingShape">
                          <wps:wsp>
                            <wps:cNvCnPr/>
                            <wps:spPr>
                              <a:xfrm flipV="1">
                                <a:off x="0" y="0"/>
                                <a:ext cx="180340" cy="276225"/>
                              </a:xfrm>
                              <a:prstGeom prst="line">
                                <a:avLst/>
                              </a:prstGeom>
                              <a:ln w="9525" cap="flat" cmpd="sng">
                                <a:solidFill>
                                  <a:srgbClr val="000000"/>
                                </a:solidFill>
                                <a:prstDash val="lgDash"/>
                                <a:headEnd type="none" w="med" len="med"/>
                                <a:tailEnd type="none" w="sm" len="lg"/>
                              </a:ln>
                              <a:effectLst/>
                            </wps:spPr>
                            <wps:bodyPr upright="1"/>
                          </wps:wsp>
                        </a:graphicData>
                      </a:graphic>
                    </wp:anchor>
                  </w:drawing>
                </mc:Choice>
                <mc:Fallback>
                  <w:pict>
                    <v:line id="直线 65" o:spid="_x0000_s1026" o:spt="20" style="position:absolute;left:0pt;flip:y;margin-left:139.05pt;margin-top:17.6pt;height:22.45pt;width:14.9pt;z-index:251688960;mso-width-relative:page;mso-height-relative:page;" filled="f" stroked="t" coordsize="21600,21600" o:gfxdata="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n3ByHXAAAACQEAAA8AAAAAAAAAAQAgAAAAIgAAAGRycy9kb3du&#10;cmV2LnhtbFBLAQIUABQAAAAIAIdO4kDvm5lfAAIAAPgDAAAOAAAAAAAAAAEAIAAAACYBAABkcnMv&#10;ZTJvRG9jLnhtbFBLBQYAAAAABgAGAFkBAACYBQAAAAA=&#10;">
                      <v:fill on="f" focussize="0,0"/>
                      <v:stroke color="#000000" joinstyle="round" dashstyle="longDash" endarrowwidth="narrow" endarrowlength="long"/>
                      <v:imagedata o:title=""/>
                      <o:lock v:ext="edit" aspectratio="f"/>
                    </v:line>
                  </w:pict>
                </mc:Fallback>
              </mc:AlternateContent>
            </w:r>
            <w:r>
              <w:rPr>
                <w:b/>
                <w:color w:val="auto"/>
                <w:sz w:val="28"/>
                <w:szCs w:val="28"/>
              </w:rPr>
              <mc:AlternateContent>
                <mc:Choice Requires="wps">
                  <w:drawing>
                    <wp:anchor distT="0" distB="0" distL="114300" distR="114300" simplePos="0" relativeHeight="251687936" behindDoc="0" locked="0" layoutInCell="1" allowOverlap="1">
                      <wp:simplePos x="0" y="0"/>
                      <wp:positionH relativeFrom="column">
                        <wp:posOffset>1946910</wp:posOffset>
                      </wp:positionH>
                      <wp:positionV relativeFrom="paragraph">
                        <wp:posOffset>137160</wp:posOffset>
                      </wp:positionV>
                      <wp:extent cx="246380" cy="361950"/>
                      <wp:effectExtent l="3810" t="0" r="16510" b="19050"/>
                      <wp:wrapNone/>
                      <wp:docPr id="22" name="直线 83"/>
                      <wp:cNvGraphicFramePr/>
                      <a:graphic xmlns:a="http://schemas.openxmlformats.org/drawingml/2006/main">
                        <a:graphicData uri="http://schemas.microsoft.com/office/word/2010/wordprocessingShape">
                          <wps:wsp>
                            <wps:cNvCnPr/>
                            <wps:spPr>
                              <a:xfrm flipV="1">
                                <a:off x="0" y="0"/>
                                <a:ext cx="246380" cy="361950"/>
                              </a:xfrm>
                              <a:prstGeom prst="line">
                                <a:avLst/>
                              </a:prstGeom>
                              <a:ln w="9525" cap="flat" cmpd="sng">
                                <a:solidFill>
                                  <a:srgbClr val="000000"/>
                                </a:solidFill>
                                <a:prstDash val="lgDash"/>
                                <a:headEnd type="none" w="med" len="med"/>
                                <a:tailEnd type="triangle" w="sm" len="lg"/>
                              </a:ln>
                              <a:effectLst/>
                            </wps:spPr>
                            <wps:bodyPr upright="1"/>
                          </wps:wsp>
                        </a:graphicData>
                      </a:graphic>
                    </wp:anchor>
                  </w:drawing>
                </mc:Choice>
                <mc:Fallback>
                  <w:pict>
                    <v:line id="直线 83" o:spid="_x0000_s1026" o:spt="20" style="position:absolute;left:0pt;flip:y;margin-left:153.3pt;margin-top:10.8pt;height:28.5pt;width:19.4pt;z-index:251687936;mso-width-relative:page;mso-height-relative:page;" filled="f" stroked="t" coordsize="21600,21600" o:gfxdata="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mi1rD2AAAAAkBAAAPAAAAAAAAAAEAIAAAACIAAABk&#10;cnMvZG93bnJldi54bWxQSwECFAAUAAAACACHTuJAezFDagYCAAD8AwAADgAAAAAAAAABACAAAAAn&#10;AQAAZHJzL2Uyb0RvYy54bWxQSwUGAAAAAAYABgBZAQAAnwUAAAAA&#10;">
                      <v:fill on="f" focussize="0,0"/>
                      <v:stroke color="#000000" joinstyle="round" dashstyle="longDash" endarrow="block" endarrowwidth="narrow" endarrowlength="long"/>
                      <v:imagedata o:title=""/>
                      <o:lock v:ext="edit" aspectratio="f"/>
                    </v:line>
                  </w:pict>
                </mc:Fallback>
              </mc:AlternateContent>
            </w:r>
          </w:p>
          <w:p w14:paraId="1364990D">
            <w:pPr>
              <w:spacing w:line="360" w:lineRule="auto"/>
              <w:ind w:firstLine="480"/>
              <w:jc w:val="left"/>
              <w:rPr>
                <w:rFonts w:hAnsi="宋体"/>
                <w:color w:val="auto"/>
                <w:sz w:val="24"/>
              </w:rPr>
            </w:pPr>
            <w:r>
              <w:rPr>
                <w:color w:val="auto"/>
              </w:rPr>
              <mc:AlternateContent>
                <mc:Choice Requires="wps">
                  <w:drawing>
                    <wp:anchor distT="0" distB="0" distL="114300" distR="114300" simplePos="0" relativeHeight="251689984" behindDoc="0" locked="0" layoutInCell="1" allowOverlap="1">
                      <wp:simplePos x="0" y="0"/>
                      <wp:positionH relativeFrom="column">
                        <wp:posOffset>1935480</wp:posOffset>
                      </wp:positionH>
                      <wp:positionV relativeFrom="paragraph">
                        <wp:posOffset>11430</wp:posOffset>
                      </wp:positionV>
                      <wp:extent cx="2540" cy="234315"/>
                      <wp:effectExtent l="4445" t="0" r="12065" b="13335"/>
                      <wp:wrapNone/>
                      <wp:docPr id="29" name="直线 66"/>
                      <wp:cNvGraphicFramePr/>
                      <a:graphic xmlns:a="http://schemas.openxmlformats.org/drawingml/2006/main">
                        <a:graphicData uri="http://schemas.microsoft.com/office/word/2010/wordprocessingShape">
                          <wps:wsp>
                            <wps:cNvCnPr/>
                            <wps:spPr>
                              <a:xfrm flipH="1">
                                <a:off x="0" y="0"/>
                                <a:ext cx="2540" cy="234315"/>
                              </a:xfrm>
                              <a:prstGeom prst="line">
                                <a:avLst/>
                              </a:prstGeom>
                              <a:ln w="9525" cap="flat" cmpd="sng">
                                <a:solidFill>
                                  <a:srgbClr val="000000"/>
                                </a:solidFill>
                                <a:prstDash val="lgDash"/>
                                <a:headEnd type="none" w="med" len="med"/>
                                <a:tailEnd type="none" w="sm" len="lg"/>
                              </a:ln>
                              <a:effectLst/>
                            </wps:spPr>
                            <wps:bodyPr upright="1"/>
                          </wps:wsp>
                        </a:graphicData>
                      </a:graphic>
                    </wp:anchor>
                  </w:drawing>
                </mc:Choice>
                <mc:Fallback>
                  <w:pict>
                    <v:line id="直线 66" o:spid="_x0000_s1026" o:spt="20" style="position:absolute;left:0pt;flip:x;margin-left:152.4pt;margin-top:0.9pt;height:18.45pt;width:0.2pt;z-index:251689984;mso-width-relative:page;mso-height-relative:page;" filled="f" stroked="t" coordsize="21600,21600" o:gfxdata="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hvsxtYAAAAIAQAADwAAAAAAAAABACAAAAAiAAAAZHJzL2Rvd25yZXYu&#10;eG1sUEsBAhQAFAAAAAgAh07iQP09NJz9AQAA9gMAAA4AAAAAAAAAAQAgAAAAJQEAAGRycy9lMm9E&#10;b2MueG1sUEsFBgAAAAAGAAYAWQEAAJQFAAAAAA==&#10;">
                      <v:fill on="f" focussize="0,0"/>
                      <v:stroke color="#000000" joinstyle="round" dashstyle="longDash" endarrowwidth="narrow" endarrowlength="long"/>
                      <v:imagedata o:title=""/>
                      <o:lock v:ext="edit" aspectratio="f"/>
                    </v:line>
                  </w:pict>
                </mc:Fallback>
              </mc:AlternateContent>
            </w:r>
            <w:r>
              <w:rPr>
                <w:b/>
                <w:color w:val="auto"/>
                <w:sz w:val="28"/>
                <w:szCs w:val="28"/>
              </w:rPr>
              <mc:AlternateContent>
                <mc:Choice Requires="wps">
                  <w:drawing>
                    <wp:anchor distT="0" distB="0" distL="114300" distR="114300" simplePos="0" relativeHeight="251686912" behindDoc="0" locked="0" layoutInCell="1" allowOverlap="1">
                      <wp:simplePos x="0" y="0"/>
                      <wp:positionH relativeFrom="column">
                        <wp:posOffset>1519555</wp:posOffset>
                      </wp:positionH>
                      <wp:positionV relativeFrom="paragraph">
                        <wp:posOffset>235585</wp:posOffset>
                      </wp:positionV>
                      <wp:extent cx="861695" cy="288925"/>
                      <wp:effectExtent l="4445" t="4445" r="10160" b="11430"/>
                      <wp:wrapNone/>
                      <wp:docPr id="21" name="文本框 76"/>
                      <wp:cNvGraphicFramePr/>
                      <a:graphic xmlns:a="http://schemas.openxmlformats.org/drawingml/2006/main">
                        <a:graphicData uri="http://schemas.microsoft.com/office/word/2010/wordprocessingShape">
                          <wps:wsp>
                            <wps:cNvSpPr txBox="1"/>
                            <wps:spPr>
                              <a:xfrm>
                                <a:off x="0" y="0"/>
                                <a:ext cx="861695" cy="288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A0FAB6">
                                  <w:pPr>
                                    <w:jc w:val="center"/>
                                    <w:rPr>
                                      <w:szCs w:val="21"/>
                                    </w:rPr>
                                  </w:pPr>
                                  <w:r>
                                    <w:rPr>
                                      <w:rFonts w:hint="eastAsia"/>
                                      <w:szCs w:val="21"/>
                                      <w:lang w:eastAsia="zh-CN"/>
                                    </w:rPr>
                                    <w:t>冷却塔</w:t>
                                  </w:r>
                                  <w:r>
                                    <w:rPr>
                                      <w:szCs w:val="21"/>
                                    </w:rPr>
                                    <w:t>用水</w:t>
                                  </w:r>
                                </w:p>
                              </w:txbxContent>
                            </wps:txbx>
                            <wps:bodyPr upright="1"/>
                          </wps:wsp>
                        </a:graphicData>
                      </a:graphic>
                    </wp:anchor>
                  </w:drawing>
                </mc:Choice>
                <mc:Fallback>
                  <w:pict>
                    <v:shape id="文本框 76" o:spid="_x0000_s1026" o:spt="202" type="#_x0000_t202" style="position:absolute;left:0pt;margin-left:119.65pt;margin-top:18.55pt;height:22.75pt;width:67.85pt;z-index:251686912;mso-width-relative:page;mso-height-relative:page;" fillcolor="#FFFFFF" filled="t" stroked="t" coordsize="21600,21600" o:gfxdata="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adZJbYAAAACQEAAA8AAAAAAAAA&#10;AQAgAAAAIgAAAGRycy9kb3ducmV2LnhtbFBLAQIUABQAAAAIAIdO4kCd/beJEQIAAEUEAAAOAAAA&#10;AAAAAAEAIAAAACcBAABkcnMvZTJvRG9jLnhtbFBLBQYAAAAABgAGAFkBAACqBQAAAAA=&#10;">
                      <v:fill on="t" focussize="0,0"/>
                      <v:stroke color="#000000" joinstyle="miter"/>
                      <v:imagedata o:title=""/>
                      <o:lock v:ext="edit" aspectratio="f"/>
                      <v:textbox>
                        <w:txbxContent>
                          <w:p w14:paraId="61A0FAB6">
                            <w:pPr>
                              <w:jc w:val="center"/>
                              <w:rPr>
                                <w:szCs w:val="21"/>
                              </w:rPr>
                            </w:pPr>
                            <w:r>
                              <w:rPr>
                                <w:rFonts w:hint="eastAsia"/>
                                <w:szCs w:val="21"/>
                                <w:lang w:eastAsia="zh-CN"/>
                              </w:rPr>
                              <w:t>冷却塔</w:t>
                            </w:r>
                            <w:r>
                              <w:rPr>
                                <w:szCs w:val="21"/>
                              </w:rPr>
                              <w:t>用水</w:t>
                            </w:r>
                          </w:p>
                        </w:txbxContent>
                      </v:textbox>
                    </v:shape>
                  </w:pict>
                </mc:Fallback>
              </mc:AlternateContent>
            </w:r>
          </w:p>
          <w:p w14:paraId="6C6C758A">
            <w:pPr>
              <w:spacing w:line="360" w:lineRule="auto"/>
              <w:ind w:firstLine="480"/>
              <w:jc w:val="left"/>
              <w:rPr>
                <w:rFonts w:hAnsi="宋体"/>
                <w:color w:val="auto"/>
                <w:sz w:val="24"/>
              </w:rPr>
            </w:pPr>
            <w:r>
              <w:rPr>
                <w:sz w:val="21"/>
              </w:rPr>
              <mc:AlternateContent>
                <mc:Choice Requires="wps">
                  <w:drawing>
                    <wp:anchor distT="0" distB="0" distL="114300" distR="114300" simplePos="0" relativeHeight="251695104" behindDoc="0" locked="0" layoutInCell="1" allowOverlap="1">
                      <wp:simplePos x="0" y="0"/>
                      <wp:positionH relativeFrom="column">
                        <wp:posOffset>1578610</wp:posOffset>
                      </wp:positionH>
                      <wp:positionV relativeFrom="paragraph">
                        <wp:posOffset>242570</wp:posOffset>
                      </wp:positionV>
                      <wp:extent cx="10160" cy="147955"/>
                      <wp:effectExtent l="46355" t="0" r="57785" b="4445"/>
                      <wp:wrapNone/>
                      <wp:docPr id="42" name="直接箭头连接符 42"/>
                      <wp:cNvGraphicFramePr/>
                      <a:graphic xmlns:a="http://schemas.openxmlformats.org/drawingml/2006/main">
                        <a:graphicData uri="http://schemas.microsoft.com/office/word/2010/wordprocessingShape">
                          <wps:wsp>
                            <wps:cNvCnPr/>
                            <wps:spPr>
                              <a:xfrm flipV="1">
                                <a:off x="2783840" y="7585710"/>
                                <a:ext cx="10160" cy="147955"/>
                              </a:xfrm>
                              <a:prstGeom prst="straightConnector1">
                                <a:avLst/>
                              </a:prstGeom>
                              <a:ln w="12700" cmpd="sng">
                                <a:solidFill>
                                  <a:schemeClr val="tx1"/>
                                </a:solidFill>
                                <a:prstDash val="solid"/>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4.3pt;margin-top:19.1pt;height:11.65pt;width:0.8pt;z-index:251695104;mso-width-relative:page;mso-height-relative:page;" filled="f" stroked="t" coordsize="21600,21600" o:gfxdata="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O5k/ZAAAACQEAAA8AAAAAAAAA&#10;AQAgAAAAIgAAAGRycy9kb3ducmV2LnhtbFBLAQIUABQAAAAIAIdO4kDI398iEAIAAOMDAAAOAAAA&#10;AAAAAAEAIAAAACgBAABkcnMvZTJvRG9jLnhtbFBLBQYAAAAABgAGAFkBAACqBQAAAAA=&#10;">
                      <v:fill on="f" focussize="0,0"/>
                      <v:stroke weight="1pt" color="#000000 [3213]" joinstyle="round" endarrow="open"/>
                      <v:imagedata o:title=""/>
                      <o:lock v:ext="edit" aspectratio="f"/>
                    </v:shape>
                  </w:pict>
                </mc:Fallback>
              </mc:AlternateContent>
            </w:r>
            <w:r>
              <w:rPr>
                <w:color w:val="auto"/>
              </w:rPr>
              <mc:AlternateContent>
                <mc:Choice Requires="wps">
                  <w:drawing>
                    <wp:anchor distT="0" distB="0" distL="114300" distR="114300" simplePos="0" relativeHeight="251685888" behindDoc="0" locked="0" layoutInCell="1" allowOverlap="1">
                      <wp:simplePos x="0" y="0"/>
                      <wp:positionH relativeFrom="column">
                        <wp:posOffset>1137920</wp:posOffset>
                      </wp:positionH>
                      <wp:positionV relativeFrom="paragraph">
                        <wp:posOffset>73660</wp:posOffset>
                      </wp:positionV>
                      <wp:extent cx="359410" cy="2540"/>
                      <wp:effectExtent l="0" t="37465" r="2540" b="36195"/>
                      <wp:wrapNone/>
                      <wp:docPr id="19" name="直线 64"/>
                      <wp:cNvGraphicFramePr/>
                      <a:graphic xmlns:a="http://schemas.openxmlformats.org/drawingml/2006/main">
                        <a:graphicData uri="http://schemas.microsoft.com/office/word/2010/wordprocessingShape">
                          <wps:wsp>
                            <wps:cNvCnPr/>
                            <wps:spPr>
                              <a:xfrm flipV="1">
                                <a:off x="0" y="0"/>
                                <a:ext cx="768985" cy="25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64" o:spid="_x0000_s1026" o:spt="20" style="position:absolute;left:0pt;flip:y;margin-left:89.6pt;margin-top:5.8pt;height:0.2pt;width:28.3pt;z-index:251685888;mso-width-relative:page;mso-height-relative:page;" filled="f" stroked="t" coordsize="21600,21600" o:gfxdata="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zxaZfYAAAACQEAAA8AAAAAAAAAAQAgAAAAIgAAAGRycy9kb3du&#10;cmV2LnhtbFBLAQIUABQAAAAIAIdO4kCS8CFY/wEAAPsDAAAOAAAAAAAAAAEAIAAAACcBAABkcnMv&#10;ZTJvRG9jLnhtbFBLBQYAAAAABgAGAFkBAACYBQAAAAA=&#10;">
                      <v:fill on="f" focussize="0,0"/>
                      <v:stroke color="#000000" joinstyle="round" endarrow="block"/>
                      <v:imagedata o:title=""/>
                      <o:lock v:ext="edit" aspectratio="f"/>
                    </v:line>
                  </w:pict>
                </mc:Fallback>
              </mc:AlternateContent>
            </w:r>
          </w:p>
          <w:p w14:paraId="4584675C">
            <w:pPr>
              <w:spacing w:line="360" w:lineRule="auto"/>
              <w:ind w:firstLine="480"/>
              <w:jc w:val="left"/>
              <w:rPr>
                <w:rFonts w:hAnsi="宋体"/>
                <w:color w:val="auto"/>
                <w:sz w:val="24"/>
              </w:rPr>
            </w:pPr>
            <w:r>
              <w:rPr>
                <w:sz w:val="21"/>
              </w:rPr>
              <mc:AlternateContent>
                <mc:Choice Requires="wps">
                  <w:drawing>
                    <wp:anchor distT="0" distB="0" distL="114300" distR="114300" simplePos="0" relativeHeight="251694080" behindDoc="0" locked="0" layoutInCell="1" allowOverlap="1">
                      <wp:simplePos x="0" y="0"/>
                      <wp:positionH relativeFrom="column">
                        <wp:posOffset>1567815</wp:posOffset>
                      </wp:positionH>
                      <wp:positionV relativeFrom="paragraph">
                        <wp:posOffset>11430</wp:posOffset>
                      </wp:positionV>
                      <wp:extent cx="730250" cy="243205"/>
                      <wp:effectExtent l="12700" t="635" r="19050" b="22860"/>
                      <wp:wrapNone/>
                      <wp:docPr id="41" name="任意多边形 41"/>
                      <wp:cNvGraphicFramePr/>
                      <a:graphic xmlns:a="http://schemas.openxmlformats.org/drawingml/2006/main">
                        <a:graphicData uri="http://schemas.microsoft.com/office/word/2010/wordprocessingShape">
                          <wps:wsp>
                            <wps:cNvSpPr/>
                            <wps:spPr>
                              <a:xfrm>
                                <a:off x="2783840" y="7585710"/>
                                <a:ext cx="730250" cy="243205"/>
                              </a:xfrm>
                              <a:custGeom>
                                <a:avLst/>
                                <a:gdLst>
                                  <a:gd name="connisteX0" fmla="*/ 719455 w 730250"/>
                                  <a:gd name="connsiteY0" fmla="*/ 0 h 243205"/>
                                  <a:gd name="connisteX1" fmla="*/ 730250 w 730250"/>
                                  <a:gd name="connsiteY1" fmla="*/ 243205 h 243205"/>
                                  <a:gd name="connisteX2" fmla="*/ 0 w 730250"/>
                                  <a:gd name="connsiteY2" fmla="*/ 243205 h 243205"/>
                                  <a:gd name="connisteX3" fmla="*/ 0 w 730250"/>
                                  <a:gd name="connsiteY3" fmla="*/ 116205 h 243205"/>
                                </a:gdLst>
                                <a:ahLst/>
                                <a:cxnLst>
                                  <a:cxn ang="0">
                                    <a:pos x="connisteX0" y="connsiteY0"/>
                                  </a:cxn>
                                  <a:cxn ang="0">
                                    <a:pos x="connisteX1" y="connsiteY1"/>
                                  </a:cxn>
                                  <a:cxn ang="0">
                                    <a:pos x="connisteX2" y="connsiteY2"/>
                                  </a:cxn>
                                  <a:cxn ang="0">
                                    <a:pos x="connisteX3" y="connsiteY3"/>
                                  </a:cxn>
                                </a:cxnLst>
                                <a:rect l="l" t="t" r="r" b="b"/>
                                <a:pathLst>
                                  <a:path w="730250" h="243205">
                                    <a:moveTo>
                                      <a:pt x="719455" y="0"/>
                                    </a:moveTo>
                                    <a:lnTo>
                                      <a:pt x="730250" y="243205"/>
                                    </a:lnTo>
                                    <a:lnTo>
                                      <a:pt x="0" y="243205"/>
                                    </a:lnTo>
                                    <a:lnTo>
                                      <a:pt x="0" y="116205"/>
                                    </a:lnTo>
                                  </a:path>
                                </a:pathLst>
                              </a:cu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23.45pt;margin-top:0.9pt;height:19.15pt;width:57.5pt;z-index:251694080;mso-width-relative:page;mso-height-relative:page;" filled="f" stroked="t" coordsize="730250,243205" o:gfxdata="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bcEhc9cAAAAIAQAADwAAAAAAAAABACAAAAAiAAAAZHJzL2Rvd25yZXYu&#10;eG1sUEsBAhQAFAAAAAgAh07iQFviKyHgAgAAXAcAAA4AAAAAAAAAAQAgAAAAJgEAAGRycy9lMm9E&#10;b2MueG1sUEsFBgAAAAAGAAYAWQEAAHgGAAAAAA==&#10;" path="m719455,0l730250,243205,0,243205,0,116205e">
                      <v:path o:connectlocs="719455,0;730250,243205;0,243205;0,116205" o:connectangles="0,0,0,0"/>
                      <v:fill on="f" focussize="0,0"/>
                      <v:stroke weight="2pt" color="#000000 [3213]" joinstyle="round"/>
                      <v:imagedata o:title=""/>
                      <o:lock v:ext="edit" aspectratio="f"/>
                    </v:shape>
                  </w:pict>
                </mc:Fallback>
              </mc:AlternateContent>
            </w:r>
            <w:r>
              <w:rPr>
                <w:color w:val="auto"/>
              </w:rPr>
              <mc:AlternateContent>
                <mc:Choice Requires="wps">
                  <w:drawing>
                    <wp:anchor distT="0" distB="0" distL="114300" distR="114300" simplePos="0" relativeHeight="251693056" behindDoc="0" locked="0" layoutInCell="1" allowOverlap="1">
                      <wp:simplePos x="0" y="0"/>
                      <wp:positionH relativeFrom="column">
                        <wp:posOffset>1521460</wp:posOffset>
                      </wp:positionH>
                      <wp:positionV relativeFrom="paragraph">
                        <wp:posOffset>13335</wp:posOffset>
                      </wp:positionV>
                      <wp:extent cx="859155" cy="37528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859155" cy="375285"/>
                              </a:xfrm>
                              <a:prstGeom prst="rect">
                                <a:avLst/>
                              </a:prstGeom>
                              <a:noFill/>
                              <a:ln>
                                <a:noFill/>
                              </a:ln>
                              <a:effectLst/>
                            </wps:spPr>
                            <wps:txbx>
                              <w:txbxContent>
                                <w:p w14:paraId="0FC70415">
                                  <w:pPr>
                                    <w:jc w:val="center"/>
                                    <w:rPr>
                                      <w:szCs w:val="21"/>
                                    </w:rPr>
                                  </w:pPr>
                                  <w:r>
                                    <w:rPr>
                                      <w:rFonts w:hint="eastAsia"/>
                                      <w:szCs w:val="21"/>
                                    </w:rPr>
                                    <w:t>循环使用</w:t>
                                  </w:r>
                                </w:p>
                              </w:txbxContent>
                            </wps:txbx>
                            <wps:bodyPr upright="1"/>
                          </wps:wsp>
                        </a:graphicData>
                      </a:graphic>
                    </wp:anchor>
                  </w:drawing>
                </mc:Choice>
                <mc:Fallback>
                  <w:pict>
                    <v:shape id="_x0000_s1026" o:spid="_x0000_s1026" o:spt="202" type="#_x0000_t202" style="position:absolute;left:0pt;margin-left:119.8pt;margin-top:1.05pt;height:29.55pt;width:67.65pt;z-index:251693056;mso-width-relative:page;mso-height-relative:page;" filled="f" stroked="f" coordsize="21600,21600" o:gfxdata="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l8&#10;gqjXAAAACAEAAA8AAAAAAAAAAQAgAAAAIgAAAGRycy9kb3ducmV2LnhtbFBLAQIUABQAAAAIAIdO&#10;4kB66rEZsgEAAF0DAAAOAAAAAAAAAAEAIAAAACYBAABkcnMvZTJvRG9jLnhtbFBLBQYAAAAABgAG&#10;AFkBAABKBQAAAAA=&#10;">
                      <v:fill on="f" focussize="0,0"/>
                      <v:stroke on="f"/>
                      <v:imagedata o:title=""/>
                      <o:lock v:ext="edit" aspectratio="f"/>
                      <v:textbox>
                        <w:txbxContent>
                          <w:p w14:paraId="0FC70415">
                            <w:pPr>
                              <w:jc w:val="center"/>
                              <w:rPr>
                                <w:szCs w:val="21"/>
                              </w:rPr>
                            </w:pPr>
                            <w:r>
                              <w:rPr>
                                <w:rFonts w:hint="eastAsia"/>
                                <w:szCs w:val="21"/>
                              </w:rPr>
                              <w:t>循环使用</w:t>
                            </w:r>
                          </w:p>
                        </w:txbxContent>
                      </v:textbox>
                    </v:shape>
                  </w:pict>
                </mc:Fallback>
              </mc:AlternateContent>
            </w:r>
          </w:p>
          <w:p w14:paraId="198CA22A">
            <w:pPr>
              <w:spacing w:line="360" w:lineRule="auto"/>
              <w:ind w:firstLine="480"/>
              <w:jc w:val="left"/>
              <w:rPr>
                <w:rFonts w:hAnsi="宋体"/>
                <w:color w:val="auto"/>
                <w:sz w:val="24"/>
              </w:rPr>
            </w:pPr>
          </w:p>
          <w:p w14:paraId="1B866E48">
            <w:pPr>
              <w:pStyle w:val="2"/>
              <w:ind w:firstLine="422"/>
              <w:jc w:val="center"/>
              <w:rPr>
                <w:bCs/>
                <w:color w:val="auto"/>
                <w:szCs w:val="21"/>
              </w:rPr>
            </w:pPr>
            <w:r>
              <w:rPr>
                <w:rFonts w:hAnsi="宋体"/>
                <w:b/>
                <w:color w:val="auto"/>
                <w:szCs w:val="21"/>
                <w:u w:val="single"/>
              </w:rPr>
              <w:t>图</w:t>
            </w:r>
            <w:r>
              <w:rPr>
                <w:rFonts w:hint="eastAsia" w:hAnsi="宋体"/>
                <w:b/>
                <w:color w:val="auto"/>
                <w:szCs w:val="21"/>
                <w:u w:val="single"/>
              </w:rPr>
              <w:t>2</w:t>
            </w:r>
            <w:r>
              <w:rPr>
                <w:b/>
                <w:color w:val="auto"/>
                <w:szCs w:val="21"/>
                <w:u w:val="single"/>
              </w:rPr>
              <w:t>-</w:t>
            </w:r>
            <w:r>
              <w:rPr>
                <w:rFonts w:hint="eastAsia"/>
                <w:b/>
                <w:color w:val="auto"/>
                <w:szCs w:val="21"/>
                <w:u w:val="single"/>
              </w:rPr>
              <w:t>1本项目实施后水平衡</w:t>
            </w:r>
            <w:r>
              <w:rPr>
                <w:rFonts w:hAnsi="宋体"/>
                <w:b/>
                <w:color w:val="auto"/>
                <w:szCs w:val="21"/>
                <w:u w:val="single"/>
              </w:rPr>
              <w:t>图</w:t>
            </w:r>
            <w:r>
              <w:rPr>
                <w:rFonts w:hint="eastAsia" w:hAnsi="宋体"/>
                <w:b/>
                <w:color w:val="auto"/>
                <w:szCs w:val="21"/>
                <w:u w:val="single"/>
              </w:rPr>
              <w:t>（t/a）</w:t>
            </w:r>
          </w:p>
        </w:tc>
      </w:tr>
      <w:tr w14:paraId="790FE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456" w:type="dxa"/>
            <w:vAlign w:val="center"/>
          </w:tcPr>
          <w:p w14:paraId="2D3D573A">
            <w:pPr>
              <w:pStyle w:val="32"/>
              <w:adjustRightInd w:val="0"/>
              <w:snapToGrid w:val="0"/>
              <w:spacing w:before="0" w:beforeAutospacing="0" w:after="0" w:afterAutospacing="0"/>
              <w:jc w:val="center"/>
              <w:rPr>
                <w:rFonts w:ascii="Times New Roman" w:hAnsi="Times New Roman"/>
                <w:color w:val="auto"/>
                <w:sz w:val="21"/>
                <w:szCs w:val="21"/>
              </w:rPr>
            </w:pPr>
            <w:r>
              <w:rPr>
                <w:rFonts w:ascii="Times New Roman"/>
                <w:color w:val="auto"/>
                <w:szCs w:val="24"/>
              </w:rPr>
              <w:t>工艺流程和产排污环节</w:t>
            </w:r>
          </w:p>
        </w:tc>
        <w:tc>
          <w:tcPr>
            <w:tcW w:w="8748" w:type="dxa"/>
          </w:tcPr>
          <w:p w14:paraId="7FB52BAD">
            <w:pPr>
              <w:pStyle w:val="80"/>
              <w:ind w:firstLine="0" w:firstLineChars="0"/>
              <w:rPr>
                <w:rFonts w:hAnsi="宋体" w:eastAsia="宋体"/>
                <w:b/>
                <w:bCs/>
                <w:color w:val="auto"/>
              </w:rPr>
            </w:pPr>
            <w:r>
              <w:rPr>
                <w:rFonts w:hint="eastAsia" w:hAnsi="宋体" w:eastAsia="宋体"/>
                <w:b/>
                <w:bCs/>
                <w:color w:val="auto"/>
              </w:rPr>
              <w:t xml:space="preserve">2.1.9 </w:t>
            </w:r>
            <w:r>
              <w:rPr>
                <w:rFonts w:hAnsi="宋体" w:eastAsia="宋体"/>
                <w:b/>
                <w:bCs/>
                <w:color w:val="auto"/>
              </w:rPr>
              <w:t>工艺流程</w:t>
            </w:r>
          </w:p>
          <w:p w14:paraId="2CC31476">
            <w:pPr>
              <w:spacing w:line="460" w:lineRule="exact"/>
              <w:rPr>
                <w:color w:val="auto"/>
                <w:sz w:val="24"/>
              </w:rPr>
            </w:pPr>
            <w:r>
              <w:rPr>
                <w:rFonts w:hint="eastAsia"/>
                <w:color w:val="auto"/>
                <w:sz w:val="24"/>
              </w:rPr>
              <w:t>（1）</w:t>
            </w:r>
            <w:r>
              <w:rPr>
                <w:rFonts w:hint="eastAsia"/>
                <w:color w:val="auto"/>
                <w:sz w:val="24"/>
                <w:lang w:eastAsia="zh-CN"/>
              </w:rPr>
              <w:t>塑料配件</w:t>
            </w:r>
            <w:r>
              <w:rPr>
                <w:rFonts w:hint="eastAsia"/>
                <w:color w:val="auto"/>
                <w:sz w:val="24"/>
              </w:rPr>
              <w:t>生产工艺流程</w:t>
            </w:r>
          </w:p>
          <w:p w14:paraId="7E690858">
            <w:pPr>
              <w:spacing w:line="460" w:lineRule="exact"/>
              <w:ind w:firstLine="422" w:firstLineChars="200"/>
              <w:jc w:val="center"/>
              <w:rPr>
                <w:rFonts w:hint="eastAsia" w:hAnsi="宋体"/>
                <w:b/>
                <w:color w:val="auto"/>
                <w:szCs w:val="21"/>
              </w:rPr>
            </w:pPr>
          </w:p>
          <w:p w14:paraId="3571E6E6">
            <w:pPr>
              <w:spacing w:line="460" w:lineRule="exact"/>
              <w:ind w:firstLine="422" w:firstLineChars="200"/>
              <w:jc w:val="center"/>
              <w:rPr>
                <w:rFonts w:hint="eastAsia" w:hAnsi="宋体"/>
                <w:b/>
                <w:color w:val="auto"/>
                <w:szCs w:val="21"/>
              </w:rPr>
            </w:pPr>
          </w:p>
          <w:p w14:paraId="3B9D68E3">
            <w:pPr>
              <w:spacing w:line="460" w:lineRule="exact"/>
              <w:ind w:firstLine="422" w:firstLineChars="200"/>
              <w:jc w:val="center"/>
              <w:rPr>
                <w:rFonts w:hint="eastAsia" w:hAnsi="宋体"/>
                <w:b/>
                <w:color w:val="auto"/>
                <w:szCs w:val="21"/>
              </w:rPr>
            </w:pPr>
          </w:p>
          <w:p w14:paraId="3A8F040D">
            <w:pPr>
              <w:spacing w:line="460" w:lineRule="exact"/>
              <w:ind w:firstLine="420" w:firstLineChars="200"/>
              <w:jc w:val="center"/>
              <w:rPr>
                <w:rFonts w:hint="eastAsia" w:hAnsi="宋体"/>
                <w:b/>
                <w:color w:val="auto"/>
                <w:szCs w:val="21"/>
              </w:rPr>
            </w:pPr>
            <w:r>
              <w:drawing>
                <wp:anchor distT="0" distB="0" distL="114300" distR="114300" simplePos="0" relativeHeight="251696128" behindDoc="0" locked="0" layoutInCell="1" allowOverlap="1">
                  <wp:simplePos x="0" y="0"/>
                  <wp:positionH relativeFrom="column">
                    <wp:posOffset>179070</wp:posOffset>
                  </wp:positionH>
                  <wp:positionV relativeFrom="paragraph">
                    <wp:posOffset>7620</wp:posOffset>
                  </wp:positionV>
                  <wp:extent cx="4838700" cy="1724025"/>
                  <wp:effectExtent l="0" t="0" r="0" b="9525"/>
                  <wp:wrapNone/>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8"/>
                          <a:stretch>
                            <a:fillRect/>
                          </a:stretch>
                        </pic:blipFill>
                        <pic:spPr>
                          <a:xfrm>
                            <a:off x="0" y="0"/>
                            <a:ext cx="4838700" cy="1724025"/>
                          </a:xfrm>
                          <a:prstGeom prst="rect">
                            <a:avLst/>
                          </a:prstGeom>
                          <a:noFill/>
                          <a:ln>
                            <a:noFill/>
                          </a:ln>
                        </pic:spPr>
                      </pic:pic>
                    </a:graphicData>
                  </a:graphic>
                </wp:anchor>
              </w:drawing>
            </w:r>
          </w:p>
          <w:p w14:paraId="1E0A3E17">
            <w:pPr>
              <w:spacing w:line="460" w:lineRule="exact"/>
              <w:ind w:firstLine="422" w:firstLineChars="200"/>
              <w:jc w:val="center"/>
              <w:rPr>
                <w:rFonts w:hint="eastAsia" w:hAnsi="宋体"/>
                <w:b/>
                <w:color w:val="auto"/>
                <w:szCs w:val="21"/>
              </w:rPr>
            </w:pPr>
          </w:p>
          <w:p w14:paraId="122DFBBA">
            <w:pPr>
              <w:spacing w:line="460" w:lineRule="exact"/>
              <w:ind w:firstLine="420" w:firstLineChars="200"/>
              <w:jc w:val="center"/>
              <w:rPr>
                <w:rFonts w:hint="eastAsia" w:hAnsi="宋体"/>
                <w:b/>
                <w:color w:val="auto"/>
                <w:szCs w:val="21"/>
              </w:rPr>
            </w:pPr>
            <w:r>
              <w:rPr>
                <w:sz w:val="21"/>
              </w:rPr>
              <mc:AlternateContent>
                <mc:Choice Requires="wps">
                  <w:drawing>
                    <wp:anchor distT="0" distB="0" distL="114300" distR="114300" simplePos="0" relativeHeight="251697152" behindDoc="0" locked="0" layoutInCell="1" allowOverlap="1">
                      <wp:simplePos x="0" y="0"/>
                      <wp:positionH relativeFrom="column">
                        <wp:posOffset>163830</wp:posOffset>
                      </wp:positionH>
                      <wp:positionV relativeFrom="paragraph">
                        <wp:posOffset>165735</wp:posOffset>
                      </wp:positionV>
                      <wp:extent cx="486410" cy="307340"/>
                      <wp:effectExtent l="0" t="0" r="8890" b="16510"/>
                      <wp:wrapNone/>
                      <wp:docPr id="46" name="文本框 46"/>
                      <wp:cNvGraphicFramePr/>
                      <a:graphic xmlns:a="http://schemas.openxmlformats.org/drawingml/2006/main">
                        <a:graphicData uri="http://schemas.microsoft.com/office/word/2010/wordprocessingShape">
                          <wps:wsp>
                            <wps:cNvSpPr txBox="1"/>
                            <wps:spPr>
                              <a:xfrm>
                                <a:off x="1379855" y="2128520"/>
                                <a:ext cx="486410" cy="30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C155506">
                                  <w:pPr>
                                    <w:rPr>
                                      <w:rFonts w:hint="default" w:eastAsia="宋体"/>
                                      <w:b/>
                                      <w:bCs/>
                                      <w:lang w:val="en-US" w:eastAsia="zh-CN"/>
                                    </w:rPr>
                                  </w:pPr>
                                  <w:r>
                                    <w:rPr>
                                      <w:rFonts w:hint="eastAsia"/>
                                      <w:b/>
                                      <w:bCs/>
                                      <w:lang w:val="en-US" w:eastAsia="zh-CN"/>
                                    </w:rPr>
                                    <w:t>ABS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pt;margin-top:13.05pt;height:24.2pt;width:38.3pt;z-index:251697152;mso-width-relative:page;mso-height-relative:page;" fillcolor="#FFFFFF [3201]" filled="t" stroked="f" coordsize="21600,21600" o:gfxdata="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8jLND&#10;1AAAAAgBAAAPAAAAAAAAAAEAIAAAACIAAABkcnMvZG93bnJldi54bWxQSwECFAAUAAAACACHTuJA&#10;ZFuBMF4CAACcBAAADgAAAAAAAAABACAAAAAjAQAAZHJzL2Uyb0RvYy54bWxQSwUGAAAAAAYABgBZ&#10;AQAA8wUAAAAA&#10;">
                      <v:fill on="t" focussize="0,0"/>
                      <v:stroke on="f" weight="0.5pt"/>
                      <v:imagedata o:title=""/>
                      <o:lock v:ext="edit" aspectratio="f"/>
                      <v:textbox>
                        <w:txbxContent>
                          <w:p w14:paraId="0C155506">
                            <w:pPr>
                              <w:rPr>
                                <w:rFonts w:hint="default" w:eastAsia="宋体"/>
                                <w:b/>
                                <w:bCs/>
                                <w:lang w:val="en-US" w:eastAsia="zh-CN"/>
                              </w:rPr>
                            </w:pPr>
                            <w:r>
                              <w:rPr>
                                <w:rFonts w:hint="eastAsia"/>
                                <w:b/>
                                <w:bCs/>
                                <w:lang w:val="en-US" w:eastAsia="zh-CN"/>
                              </w:rPr>
                              <w:t>ABS</w:t>
                            </w:r>
                          </w:p>
                        </w:txbxContent>
                      </v:textbox>
                    </v:shape>
                  </w:pict>
                </mc:Fallback>
              </mc:AlternateContent>
            </w:r>
          </w:p>
          <w:p w14:paraId="505F465D">
            <w:pPr>
              <w:spacing w:line="460" w:lineRule="exact"/>
              <w:ind w:firstLine="422" w:firstLineChars="200"/>
              <w:jc w:val="center"/>
              <w:rPr>
                <w:rFonts w:hint="eastAsia" w:hAnsi="宋体"/>
                <w:b/>
                <w:color w:val="auto"/>
                <w:szCs w:val="21"/>
              </w:rPr>
            </w:pPr>
          </w:p>
          <w:p w14:paraId="3FF5680E">
            <w:pPr>
              <w:spacing w:line="460" w:lineRule="exact"/>
              <w:jc w:val="both"/>
              <w:rPr>
                <w:rFonts w:hint="eastAsia" w:hAnsi="宋体"/>
                <w:b/>
                <w:color w:val="auto"/>
                <w:szCs w:val="21"/>
              </w:rPr>
            </w:pPr>
          </w:p>
          <w:p w14:paraId="435D47AB">
            <w:pPr>
              <w:spacing w:line="460" w:lineRule="exact"/>
              <w:jc w:val="both"/>
              <w:rPr>
                <w:rFonts w:hint="eastAsia" w:hAnsi="宋体"/>
                <w:b/>
                <w:color w:val="auto"/>
                <w:szCs w:val="21"/>
              </w:rPr>
            </w:pPr>
          </w:p>
          <w:p w14:paraId="0701F0D0">
            <w:pPr>
              <w:spacing w:line="460" w:lineRule="exact"/>
              <w:ind w:firstLine="422" w:firstLineChars="200"/>
              <w:jc w:val="center"/>
              <w:rPr>
                <w:color w:val="auto"/>
                <w:szCs w:val="21"/>
              </w:rPr>
            </w:pPr>
            <w:r>
              <w:rPr>
                <w:rFonts w:hint="eastAsia" w:hAnsi="宋体"/>
                <w:b/>
                <w:color w:val="auto"/>
                <w:szCs w:val="21"/>
              </w:rPr>
              <w:t xml:space="preserve">图2-2  </w:t>
            </w:r>
            <w:r>
              <w:rPr>
                <w:rFonts w:hint="eastAsia"/>
                <w:b/>
                <w:szCs w:val="21"/>
                <w:u w:val="none"/>
              </w:rPr>
              <w:t>塑料配件</w:t>
            </w:r>
            <w:r>
              <w:rPr>
                <w:b/>
                <w:szCs w:val="21"/>
                <w:u w:val="none"/>
              </w:rPr>
              <w:t>工艺流程及产污环节示意图</w:t>
            </w:r>
          </w:p>
          <w:p w14:paraId="4BA1C62D">
            <w:pPr>
              <w:pStyle w:val="3"/>
              <w:spacing w:line="440" w:lineRule="atLeast"/>
              <w:rPr>
                <w:rFonts w:hint="eastAsia" w:eastAsia="宋体"/>
                <w:color w:val="auto"/>
              </w:rPr>
            </w:pPr>
            <w:r>
              <w:rPr>
                <w:rFonts w:hint="eastAsia" w:eastAsia="宋体"/>
                <w:color w:val="auto"/>
              </w:rPr>
              <w:t>塑料配件生产原料主要为PP和ABS。首先将原料烘干水分（使用电能，约80℃），之后通过人工上料至混料设备内进行混料，接着倒入注塑设备中，待注塑设备达到设定温度（180-220℃）使粒子融化，之后灌入不同规格的模具中。挤出的工件通过冷却水间接冷却，之后通过人工修剪后即为成品塑料配件。</w:t>
            </w:r>
            <w:r>
              <w:rPr>
                <w:rFonts w:hint="eastAsia" w:eastAsia="宋体"/>
                <w:color w:val="auto"/>
                <w:lang w:val="en-US" w:eastAsia="zh-CN"/>
              </w:rPr>
              <w:t>边角料及次品经粉碎后回用于生产，本项目</w:t>
            </w:r>
            <w:r>
              <w:rPr>
                <w:rFonts w:hint="eastAsia" w:eastAsia="宋体"/>
                <w:color w:val="auto"/>
              </w:rPr>
              <w:t>不涉及对外采购废塑料作为原料。</w:t>
            </w:r>
          </w:p>
          <w:p w14:paraId="4C545264">
            <w:pPr>
              <w:pStyle w:val="3"/>
              <w:numPr>
                <w:ilvl w:val="0"/>
                <w:numId w:val="0"/>
              </w:numPr>
              <w:spacing w:line="440" w:lineRule="atLeast"/>
              <w:rPr>
                <w:rFonts w:hint="eastAsia" w:ascii="Times New Roman" w:hAnsi="Times New Roman" w:eastAsia="宋体" w:cs="Times New Roman"/>
                <w:color w:val="auto"/>
                <w:lang w:eastAsia="zh-CN"/>
              </w:rPr>
            </w:pPr>
            <w:r>
              <w:rPr>
                <w:rFonts w:hint="eastAsia"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lang w:eastAsia="zh-CN"/>
              </w:rPr>
              <w:t>五金配件生产工艺流程</w:t>
            </w:r>
          </w:p>
          <w:p w14:paraId="5BCA82D8">
            <w:pPr>
              <w:pStyle w:val="3"/>
              <w:numPr>
                <w:ilvl w:val="0"/>
                <w:numId w:val="0"/>
              </w:numPr>
              <w:spacing w:line="440" w:lineRule="atLeast"/>
              <w:rPr>
                <w:rFonts w:hint="eastAsia" w:ascii="Times New Roman" w:hAnsi="Times New Roman" w:eastAsia="宋体" w:cs="Times New Roman"/>
                <w:color w:val="auto"/>
                <w:lang w:eastAsia="zh-CN"/>
              </w:rPr>
            </w:pPr>
            <w:r>
              <w:drawing>
                <wp:inline distT="0" distB="0" distL="114300" distR="114300">
                  <wp:extent cx="5413375" cy="1407160"/>
                  <wp:effectExtent l="0" t="0" r="1587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413375" cy="1407160"/>
                          </a:xfrm>
                          <a:prstGeom prst="rect">
                            <a:avLst/>
                          </a:prstGeom>
                          <a:noFill/>
                          <a:ln>
                            <a:noFill/>
                          </a:ln>
                        </pic:spPr>
                      </pic:pic>
                    </a:graphicData>
                  </a:graphic>
                </wp:inline>
              </w:drawing>
            </w:r>
          </w:p>
          <w:p w14:paraId="0229E873">
            <w:pPr>
              <w:spacing w:line="460" w:lineRule="exact"/>
              <w:ind w:firstLine="422" w:firstLineChars="200"/>
              <w:jc w:val="center"/>
              <w:rPr>
                <w:color w:val="auto"/>
                <w:szCs w:val="21"/>
              </w:rPr>
            </w:pPr>
            <w:r>
              <w:rPr>
                <w:rFonts w:hint="eastAsia" w:hAnsi="宋体"/>
                <w:b/>
                <w:color w:val="auto"/>
                <w:szCs w:val="21"/>
              </w:rPr>
              <w:t>图2-</w:t>
            </w:r>
            <w:r>
              <w:rPr>
                <w:rFonts w:hint="eastAsia" w:hAnsi="宋体"/>
                <w:b/>
                <w:color w:val="auto"/>
                <w:szCs w:val="21"/>
                <w:lang w:val="en-US" w:eastAsia="zh-CN"/>
              </w:rPr>
              <w:t>3</w:t>
            </w:r>
            <w:r>
              <w:rPr>
                <w:rFonts w:hint="eastAsia" w:hAnsi="宋体"/>
                <w:b/>
                <w:color w:val="auto"/>
                <w:szCs w:val="21"/>
              </w:rPr>
              <w:t xml:space="preserve">  </w:t>
            </w:r>
            <w:r>
              <w:rPr>
                <w:rFonts w:hint="eastAsia"/>
                <w:b/>
                <w:szCs w:val="21"/>
                <w:u w:val="none"/>
                <w:lang w:eastAsia="zh-CN"/>
              </w:rPr>
              <w:t>五金配件</w:t>
            </w:r>
            <w:r>
              <w:rPr>
                <w:b/>
                <w:szCs w:val="21"/>
                <w:u w:val="none"/>
              </w:rPr>
              <w:t>工艺流程及产污环节示意图</w:t>
            </w:r>
          </w:p>
          <w:p w14:paraId="4D769FDF">
            <w:pPr>
              <w:pStyle w:val="80"/>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五金配件生产原料主要为外购的钢材。本项目利用机械加工设备对钢材进行金加工。首先经下料后进行钻孔，之后通过弯管机折弯后进行焊接成型。为保证工件表面光滑无毛刺，在电焊后需采用磨光机对工件表面进行磨光处理，最后即为成品家具五金配件。</w:t>
            </w:r>
          </w:p>
          <w:p w14:paraId="2516A8B0">
            <w:pPr>
              <w:pStyle w:val="80"/>
              <w:ind w:firstLine="0" w:firstLineChars="0"/>
              <w:rPr>
                <w:rFonts w:hint="eastAsia" w:hAnsi="宋体" w:eastAsia="宋体"/>
                <w:b/>
                <w:bCs/>
                <w:color w:val="auto"/>
              </w:rPr>
            </w:pPr>
            <w:r>
              <w:rPr>
                <w:rFonts w:hint="eastAsia" w:hAnsi="宋体" w:eastAsia="宋体"/>
                <w:b/>
                <w:bCs/>
                <w:color w:val="auto"/>
              </w:rPr>
              <w:t>2.1.10 污染因素分析</w:t>
            </w:r>
          </w:p>
          <w:p w14:paraId="226B3B6D">
            <w:pPr>
              <w:keepNext w:val="0"/>
              <w:keepLines w:val="0"/>
              <w:pageBreakBefore w:val="0"/>
              <w:widowControl w:val="0"/>
              <w:kinsoku/>
              <w:wordWrap/>
              <w:overflowPunct/>
              <w:topLinePunct w:val="0"/>
              <w:autoSpaceDE/>
              <w:autoSpaceDN/>
              <w:bidi w:val="0"/>
              <w:adjustRightInd/>
              <w:snapToGrid/>
              <w:spacing w:line="440" w:lineRule="exact"/>
              <w:jc w:val="center"/>
              <w:textAlignment w:val="auto"/>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 xml:space="preserve">6 </w:t>
            </w:r>
            <w:r>
              <w:rPr>
                <w:rFonts w:hint="eastAsia"/>
                <w:b/>
                <w:color w:val="auto"/>
                <w:szCs w:val="21"/>
              </w:rPr>
              <w:t xml:space="preserve"> </w:t>
            </w:r>
            <w:r>
              <w:rPr>
                <w:b/>
                <w:color w:val="auto"/>
                <w:szCs w:val="21"/>
              </w:rPr>
              <w:t>营运期主要污染工序</w:t>
            </w:r>
          </w:p>
          <w:tbl>
            <w:tblPr>
              <w:tblStyle w:val="3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64"/>
              <w:gridCol w:w="1408"/>
              <w:gridCol w:w="1953"/>
              <w:gridCol w:w="2614"/>
            </w:tblGrid>
            <w:tr w14:paraId="58D9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Align w:val="center"/>
                </w:tcPr>
                <w:p w14:paraId="240D6620">
                  <w:pPr>
                    <w:jc w:val="center"/>
                    <w:rPr>
                      <w:b/>
                      <w:szCs w:val="21"/>
                    </w:rPr>
                  </w:pPr>
                  <w:r>
                    <w:rPr>
                      <w:b/>
                      <w:szCs w:val="21"/>
                    </w:rPr>
                    <w:t>污染类别</w:t>
                  </w:r>
                </w:p>
              </w:tc>
              <w:tc>
                <w:tcPr>
                  <w:tcW w:w="1264" w:type="dxa"/>
                  <w:vAlign w:val="center"/>
                </w:tcPr>
                <w:p w14:paraId="49DFB565">
                  <w:pPr>
                    <w:jc w:val="center"/>
                    <w:rPr>
                      <w:b/>
                      <w:szCs w:val="21"/>
                    </w:rPr>
                  </w:pPr>
                  <w:r>
                    <w:rPr>
                      <w:b/>
                      <w:szCs w:val="21"/>
                    </w:rPr>
                    <w:t>编号</w:t>
                  </w:r>
                </w:p>
              </w:tc>
              <w:tc>
                <w:tcPr>
                  <w:tcW w:w="1408" w:type="dxa"/>
                  <w:vAlign w:val="center"/>
                </w:tcPr>
                <w:p w14:paraId="2239C69B">
                  <w:pPr>
                    <w:jc w:val="center"/>
                    <w:rPr>
                      <w:b/>
                      <w:szCs w:val="21"/>
                    </w:rPr>
                  </w:pPr>
                  <w:r>
                    <w:rPr>
                      <w:b/>
                      <w:szCs w:val="21"/>
                    </w:rPr>
                    <w:t>污染源名称</w:t>
                  </w:r>
                </w:p>
              </w:tc>
              <w:tc>
                <w:tcPr>
                  <w:tcW w:w="1953" w:type="dxa"/>
                  <w:vAlign w:val="center"/>
                </w:tcPr>
                <w:p w14:paraId="345CB2FA">
                  <w:pPr>
                    <w:jc w:val="center"/>
                    <w:rPr>
                      <w:b/>
                      <w:szCs w:val="21"/>
                    </w:rPr>
                  </w:pPr>
                  <w:r>
                    <w:rPr>
                      <w:b/>
                      <w:szCs w:val="21"/>
                    </w:rPr>
                    <w:t>产生工序</w:t>
                  </w:r>
                </w:p>
              </w:tc>
              <w:tc>
                <w:tcPr>
                  <w:tcW w:w="2614" w:type="dxa"/>
                  <w:vAlign w:val="center"/>
                </w:tcPr>
                <w:p w14:paraId="02F7D506">
                  <w:pPr>
                    <w:jc w:val="center"/>
                    <w:rPr>
                      <w:b/>
                      <w:szCs w:val="21"/>
                    </w:rPr>
                  </w:pPr>
                  <w:r>
                    <w:rPr>
                      <w:b/>
                      <w:szCs w:val="21"/>
                    </w:rPr>
                    <w:t>主要污染因子</w:t>
                  </w:r>
                </w:p>
              </w:tc>
            </w:tr>
            <w:tr w14:paraId="419D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restart"/>
                  <w:vAlign w:val="center"/>
                </w:tcPr>
                <w:p w14:paraId="3AAF1203">
                  <w:pPr>
                    <w:jc w:val="center"/>
                    <w:rPr>
                      <w:szCs w:val="21"/>
                    </w:rPr>
                  </w:pPr>
                  <w:r>
                    <w:rPr>
                      <w:szCs w:val="21"/>
                    </w:rPr>
                    <w:t>废水</w:t>
                  </w:r>
                </w:p>
              </w:tc>
              <w:tc>
                <w:tcPr>
                  <w:tcW w:w="1264" w:type="dxa"/>
                  <w:vAlign w:val="center"/>
                </w:tcPr>
                <w:p w14:paraId="7C32B14F">
                  <w:pPr>
                    <w:jc w:val="center"/>
                    <w:rPr>
                      <w:szCs w:val="21"/>
                    </w:rPr>
                  </w:pPr>
                  <w:r>
                    <w:rPr>
                      <w:szCs w:val="21"/>
                    </w:rPr>
                    <w:t>YW1</w:t>
                  </w:r>
                </w:p>
              </w:tc>
              <w:tc>
                <w:tcPr>
                  <w:tcW w:w="1408" w:type="dxa"/>
                  <w:vAlign w:val="center"/>
                </w:tcPr>
                <w:p w14:paraId="16875895">
                  <w:pPr>
                    <w:jc w:val="center"/>
                    <w:rPr>
                      <w:szCs w:val="21"/>
                    </w:rPr>
                  </w:pPr>
                  <w:r>
                    <w:rPr>
                      <w:szCs w:val="21"/>
                    </w:rPr>
                    <w:t>生活污水</w:t>
                  </w:r>
                </w:p>
              </w:tc>
              <w:tc>
                <w:tcPr>
                  <w:tcW w:w="1953" w:type="dxa"/>
                  <w:vAlign w:val="center"/>
                </w:tcPr>
                <w:p w14:paraId="139AB1EA">
                  <w:pPr>
                    <w:jc w:val="center"/>
                    <w:rPr>
                      <w:szCs w:val="21"/>
                    </w:rPr>
                  </w:pPr>
                  <w:r>
                    <w:rPr>
                      <w:szCs w:val="21"/>
                    </w:rPr>
                    <w:t>职工生活</w:t>
                  </w:r>
                </w:p>
              </w:tc>
              <w:tc>
                <w:tcPr>
                  <w:tcW w:w="2614" w:type="dxa"/>
                  <w:vAlign w:val="center"/>
                </w:tcPr>
                <w:p w14:paraId="4C63FF31">
                  <w:pPr>
                    <w:jc w:val="center"/>
                    <w:rPr>
                      <w:szCs w:val="21"/>
                    </w:rPr>
                  </w:pPr>
                  <w:r>
                    <w:rPr>
                      <w:szCs w:val="21"/>
                    </w:rPr>
                    <w:t>COD</w:t>
                  </w:r>
                  <w:r>
                    <w:rPr>
                      <w:szCs w:val="21"/>
                      <w:vertAlign w:val="subscript"/>
                    </w:rPr>
                    <w:t>Cr</w:t>
                  </w:r>
                  <w:r>
                    <w:rPr>
                      <w:szCs w:val="21"/>
                    </w:rPr>
                    <w:t>、NH</w:t>
                  </w:r>
                  <w:r>
                    <w:rPr>
                      <w:szCs w:val="21"/>
                      <w:vertAlign w:val="subscript"/>
                    </w:rPr>
                    <w:t>3</w:t>
                  </w:r>
                  <w:r>
                    <w:rPr>
                      <w:szCs w:val="21"/>
                    </w:rPr>
                    <w:t>-N、TP</w:t>
                  </w:r>
                </w:p>
              </w:tc>
            </w:tr>
            <w:tr w14:paraId="5609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continue"/>
                  <w:vAlign w:val="center"/>
                </w:tcPr>
                <w:p w14:paraId="6F1F32E9">
                  <w:pPr>
                    <w:jc w:val="center"/>
                    <w:rPr>
                      <w:szCs w:val="21"/>
                    </w:rPr>
                  </w:pPr>
                </w:p>
              </w:tc>
              <w:tc>
                <w:tcPr>
                  <w:tcW w:w="1264" w:type="dxa"/>
                  <w:vAlign w:val="center"/>
                </w:tcPr>
                <w:p w14:paraId="2A7B43E9">
                  <w:pPr>
                    <w:jc w:val="center"/>
                    <w:rPr>
                      <w:szCs w:val="21"/>
                    </w:rPr>
                  </w:pPr>
                  <w:r>
                    <w:rPr>
                      <w:rFonts w:hint="eastAsia"/>
                      <w:szCs w:val="21"/>
                    </w:rPr>
                    <w:t>YW2</w:t>
                  </w:r>
                </w:p>
              </w:tc>
              <w:tc>
                <w:tcPr>
                  <w:tcW w:w="1408" w:type="dxa"/>
                  <w:vAlign w:val="center"/>
                </w:tcPr>
                <w:p w14:paraId="2EB10F19">
                  <w:pPr>
                    <w:jc w:val="center"/>
                    <w:rPr>
                      <w:szCs w:val="21"/>
                    </w:rPr>
                  </w:pPr>
                  <w:r>
                    <w:rPr>
                      <w:rFonts w:hint="eastAsia"/>
                      <w:szCs w:val="21"/>
                    </w:rPr>
                    <w:t>注塑冷却水</w:t>
                  </w:r>
                </w:p>
              </w:tc>
              <w:tc>
                <w:tcPr>
                  <w:tcW w:w="1953" w:type="dxa"/>
                  <w:vAlign w:val="center"/>
                </w:tcPr>
                <w:p w14:paraId="367B38EE">
                  <w:pPr>
                    <w:jc w:val="center"/>
                    <w:rPr>
                      <w:szCs w:val="21"/>
                    </w:rPr>
                  </w:pPr>
                  <w:r>
                    <w:rPr>
                      <w:rFonts w:hint="eastAsia"/>
                      <w:szCs w:val="21"/>
                    </w:rPr>
                    <w:t>冷却工序</w:t>
                  </w:r>
                </w:p>
              </w:tc>
              <w:tc>
                <w:tcPr>
                  <w:tcW w:w="2614" w:type="dxa"/>
                  <w:vAlign w:val="center"/>
                </w:tcPr>
                <w:p w14:paraId="2CDE769F">
                  <w:pPr>
                    <w:jc w:val="center"/>
                    <w:rPr>
                      <w:szCs w:val="21"/>
                    </w:rPr>
                  </w:pPr>
                  <w:r>
                    <w:rPr>
                      <w:rFonts w:hint="eastAsia"/>
                      <w:szCs w:val="21"/>
                    </w:rPr>
                    <w:t>热</w:t>
                  </w:r>
                </w:p>
              </w:tc>
            </w:tr>
            <w:tr w14:paraId="17F9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restart"/>
                  <w:vAlign w:val="center"/>
                </w:tcPr>
                <w:p w14:paraId="78044E8D">
                  <w:pPr>
                    <w:jc w:val="center"/>
                    <w:rPr>
                      <w:szCs w:val="21"/>
                    </w:rPr>
                  </w:pPr>
                  <w:r>
                    <w:rPr>
                      <w:szCs w:val="21"/>
                    </w:rPr>
                    <w:t>废气</w:t>
                  </w:r>
                </w:p>
              </w:tc>
              <w:tc>
                <w:tcPr>
                  <w:tcW w:w="1264" w:type="dxa"/>
                  <w:vAlign w:val="center"/>
                </w:tcPr>
                <w:p w14:paraId="1266A10F">
                  <w:pPr>
                    <w:jc w:val="center"/>
                    <w:rPr>
                      <w:bCs/>
                      <w:szCs w:val="21"/>
                    </w:rPr>
                  </w:pPr>
                  <w:r>
                    <w:rPr>
                      <w:bCs/>
                      <w:szCs w:val="21"/>
                    </w:rPr>
                    <w:t>YG1</w:t>
                  </w:r>
                </w:p>
              </w:tc>
              <w:tc>
                <w:tcPr>
                  <w:tcW w:w="1408" w:type="dxa"/>
                  <w:vAlign w:val="center"/>
                </w:tcPr>
                <w:p w14:paraId="1BF8DC57">
                  <w:pPr>
                    <w:jc w:val="center"/>
                    <w:rPr>
                      <w:szCs w:val="21"/>
                    </w:rPr>
                  </w:pPr>
                  <w:r>
                    <w:rPr>
                      <w:rFonts w:hint="eastAsia"/>
                      <w:bCs/>
                      <w:szCs w:val="21"/>
                    </w:rPr>
                    <w:t>金属粉尘</w:t>
                  </w:r>
                </w:p>
              </w:tc>
              <w:tc>
                <w:tcPr>
                  <w:tcW w:w="1953" w:type="dxa"/>
                  <w:vAlign w:val="center"/>
                </w:tcPr>
                <w:p w14:paraId="7A930E74">
                  <w:pPr>
                    <w:jc w:val="center"/>
                    <w:rPr>
                      <w:szCs w:val="21"/>
                    </w:rPr>
                  </w:pPr>
                  <w:r>
                    <w:rPr>
                      <w:rFonts w:hint="eastAsia"/>
                      <w:szCs w:val="21"/>
                    </w:rPr>
                    <w:t>钻孔打磨</w:t>
                  </w:r>
                </w:p>
              </w:tc>
              <w:tc>
                <w:tcPr>
                  <w:tcW w:w="2614" w:type="dxa"/>
                  <w:vAlign w:val="center"/>
                </w:tcPr>
                <w:p w14:paraId="2939F224">
                  <w:pPr>
                    <w:jc w:val="center"/>
                    <w:rPr>
                      <w:szCs w:val="21"/>
                    </w:rPr>
                  </w:pPr>
                  <w:r>
                    <w:rPr>
                      <w:rFonts w:hint="eastAsia"/>
                      <w:bCs/>
                      <w:szCs w:val="21"/>
                    </w:rPr>
                    <w:t>颗粒物</w:t>
                  </w:r>
                </w:p>
              </w:tc>
            </w:tr>
            <w:tr w14:paraId="07B1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continue"/>
                  <w:vAlign w:val="center"/>
                </w:tcPr>
                <w:p w14:paraId="7366CC4C">
                  <w:pPr>
                    <w:jc w:val="center"/>
                    <w:rPr>
                      <w:szCs w:val="21"/>
                    </w:rPr>
                  </w:pPr>
                </w:p>
              </w:tc>
              <w:tc>
                <w:tcPr>
                  <w:tcW w:w="1264" w:type="dxa"/>
                  <w:vAlign w:val="center"/>
                </w:tcPr>
                <w:p w14:paraId="1CC2C3F7">
                  <w:pPr>
                    <w:jc w:val="center"/>
                    <w:rPr>
                      <w:bCs/>
                      <w:szCs w:val="21"/>
                    </w:rPr>
                  </w:pPr>
                  <w:r>
                    <w:rPr>
                      <w:bCs/>
                      <w:szCs w:val="21"/>
                    </w:rPr>
                    <w:t>YG2</w:t>
                  </w:r>
                </w:p>
              </w:tc>
              <w:tc>
                <w:tcPr>
                  <w:tcW w:w="1408" w:type="dxa"/>
                  <w:vAlign w:val="center"/>
                </w:tcPr>
                <w:p w14:paraId="3D0A03FF">
                  <w:pPr>
                    <w:jc w:val="center"/>
                    <w:rPr>
                      <w:bCs/>
                      <w:szCs w:val="21"/>
                    </w:rPr>
                  </w:pPr>
                  <w:r>
                    <w:rPr>
                      <w:rFonts w:hint="eastAsia"/>
                      <w:bCs/>
                      <w:szCs w:val="21"/>
                    </w:rPr>
                    <w:t>焊接烟尘</w:t>
                  </w:r>
                </w:p>
              </w:tc>
              <w:tc>
                <w:tcPr>
                  <w:tcW w:w="1953" w:type="dxa"/>
                  <w:vAlign w:val="center"/>
                </w:tcPr>
                <w:p w14:paraId="52A2CC56">
                  <w:pPr>
                    <w:jc w:val="center"/>
                    <w:rPr>
                      <w:szCs w:val="21"/>
                    </w:rPr>
                  </w:pPr>
                  <w:r>
                    <w:rPr>
                      <w:rFonts w:hint="eastAsia"/>
                      <w:szCs w:val="21"/>
                    </w:rPr>
                    <w:t>焊接工序</w:t>
                  </w:r>
                </w:p>
              </w:tc>
              <w:tc>
                <w:tcPr>
                  <w:tcW w:w="2614" w:type="dxa"/>
                  <w:vAlign w:val="center"/>
                </w:tcPr>
                <w:p w14:paraId="221D3817">
                  <w:pPr>
                    <w:jc w:val="center"/>
                    <w:rPr>
                      <w:bCs/>
                      <w:szCs w:val="21"/>
                    </w:rPr>
                  </w:pPr>
                  <w:r>
                    <w:rPr>
                      <w:rFonts w:hint="eastAsia"/>
                      <w:bCs/>
                      <w:szCs w:val="21"/>
                    </w:rPr>
                    <w:t>烟尘</w:t>
                  </w:r>
                </w:p>
              </w:tc>
            </w:tr>
            <w:tr w14:paraId="1EF1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continue"/>
                  <w:vAlign w:val="center"/>
                </w:tcPr>
                <w:p w14:paraId="34C730BD">
                  <w:pPr>
                    <w:jc w:val="center"/>
                    <w:rPr>
                      <w:szCs w:val="21"/>
                    </w:rPr>
                  </w:pPr>
                </w:p>
              </w:tc>
              <w:tc>
                <w:tcPr>
                  <w:tcW w:w="1264" w:type="dxa"/>
                  <w:vAlign w:val="center"/>
                </w:tcPr>
                <w:p w14:paraId="30F03401">
                  <w:pPr>
                    <w:jc w:val="center"/>
                    <w:rPr>
                      <w:bCs/>
                      <w:szCs w:val="21"/>
                    </w:rPr>
                  </w:pPr>
                  <w:r>
                    <w:rPr>
                      <w:rFonts w:hint="eastAsia"/>
                      <w:bCs/>
                      <w:szCs w:val="21"/>
                    </w:rPr>
                    <w:t>YG3</w:t>
                  </w:r>
                </w:p>
              </w:tc>
              <w:tc>
                <w:tcPr>
                  <w:tcW w:w="1408" w:type="dxa"/>
                  <w:vAlign w:val="center"/>
                </w:tcPr>
                <w:p w14:paraId="2968161B">
                  <w:pPr>
                    <w:jc w:val="center"/>
                    <w:rPr>
                      <w:bCs/>
                      <w:szCs w:val="21"/>
                    </w:rPr>
                  </w:pPr>
                  <w:r>
                    <w:rPr>
                      <w:rFonts w:hint="eastAsia"/>
                      <w:bCs/>
                      <w:szCs w:val="21"/>
                    </w:rPr>
                    <w:t>注塑废气</w:t>
                  </w:r>
                </w:p>
              </w:tc>
              <w:tc>
                <w:tcPr>
                  <w:tcW w:w="1953" w:type="dxa"/>
                  <w:vAlign w:val="center"/>
                </w:tcPr>
                <w:p w14:paraId="3D5394D4">
                  <w:pPr>
                    <w:jc w:val="center"/>
                    <w:rPr>
                      <w:szCs w:val="21"/>
                    </w:rPr>
                  </w:pPr>
                  <w:r>
                    <w:rPr>
                      <w:rFonts w:hint="eastAsia"/>
                      <w:szCs w:val="21"/>
                    </w:rPr>
                    <w:t>注塑工序</w:t>
                  </w:r>
                </w:p>
              </w:tc>
              <w:tc>
                <w:tcPr>
                  <w:tcW w:w="2614" w:type="dxa"/>
                  <w:vAlign w:val="center"/>
                </w:tcPr>
                <w:p w14:paraId="3BBC6877">
                  <w:pPr>
                    <w:jc w:val="center"/>
                    <w:rPr>
                      <w:bCs/>
                      <w:szCs w:val="21"/>
                    </w:rPr>
                  </w:pPr>
                  <w:r>
                    <w:rPr>
                      <w:rFonts w:hint="eastAsia"/>
                      <w:bCs/>
                      <w:szCs w:val="21"/>
                    </w:rPr>
                    <w:t>非甲烷总烃、苯乙烯、</w:t>
                  </w:r>
                </w:p>
                <w:p w14:paraId="1D14AC01">
                  <w:pPr>
                    <w:jc w:val="center"/>
                    <w:rPr>
                      <w:bCs/>
                      <w:szCs w:val="21"/>
                    </w:rPr>
                  </w:pPr>
                  <w:r>
                    <w:rPr>
                      <w:rFonts w:hint="eastAsia"/>
                      <w:bCs/>
                      <w:szCs w:val="21"/>
                    </w:rPr>
                    <w:t>臭气浓度</w:t>
                  </w:r>
                </w:p>
              </w:tc>
            </w:tr>
            <w:tr w14:paraId="4F4C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Align w:val="center"/>
                </w:tcPr>
                <w:p w14:paraId="5842094D">
                  <w:pPr>
                    <w:jc w:val="center"/>
                    <w:rPr>
                      <w:szCs w:val="21"/>
                    </w:rPr>
                  </w:pPr>
                </w:p>
              </w:tc>
              <w:tc>
                <w:tcPr>
                  <w:tcW w:w="1264" w:type="dxa"/>
                  <w:vAlign w:val="center"/>
                </w:tcPr>
                <w:p w14:paraId="4A9D1713">
                  <w:pPr>
                    <w:jc w:val="center"/>
                    <w:rPr>
                      <w:rFonts w:hint="default" w:eastAsia="宋体"/>
                      <w:bCs/>
                      <w:szCs w:val="21"/>
                      <w:lang w:val="en-US" w:eastAsia="zh-CN"/>
                    </w:rPr>
                  </w:pPr>
                  <w:r>
                    <w:rPr>
                      <w:rFonts w:hint="eastAsia"/>
                      <w:bCs/>
                      <w:szCs w:val="21"/>
                      <w:lang w:val="en-US" w:eastAsia="zh-CN"/>
                    </w:rPr>
                    <w:t>YG4</w:t>
                  </w:r>
                </w:p>
              </w:tc>
              <w:tc>
                <w:tcPr>
                  <w:tcW w:w="1408" w:type="dxa"/>
                  <w:vAlign w:val="center"/>
                </w:tcPr>
                <w:p w14:paraId="2C629D0A">
                  <w:pPr>
                    <w:jc w:val="center"/>
                    <w:rPr>
                      <w:rFonts w:hint="eastAsia"/>
                      <w:bCs/>
                      <w:szCs w:val="21"/>
                    </w:rPr>
                  </w:pPr>
                  <w:r>
                    <w:rPr>
                      <w:rFonts w:hint="eastAsia"/>
                      <w:color w:val="auto"/>
                      <w:szCs w:val="21"/>
                    </w:rPr>
                    <w:t>含尘废气</w:t>
                  </w:r>
                </w:p>
              </w:tc>
              <w:tc>
                <w:tcPr>
                  <w:tcW w:w="1953" w:type="dxa"/>
                  <w:vAlign w:val="center"/>
                </w:tcPr>
                <w:p w14:paraId="7D0739B0">
                  <w:pPr>
                    <w:jc w:val="center"/>
                    <w:rPr>
                      <w:rFonts w:hint="eastAsia"/>
                      <w:szCs w:val="21"/>
                    </w:rPr>
                  </w:pPr>
                  <w:r>
                    <w:rPr>
                      <w:rFonts w:hint="eastAsia"/>
                      <w:color w:val="auto"/>
                      <w:szCs w:val="21"/>
                    </w:rPr>
                    <w:t>碎料</w:t>
                  </w:r>
                </w:p>
              </w:tc>
              <w:tc>
                <w:tcPr>
                  <w:tcW w:w="2614" w:type="dxa"/>
                  <w:vAlign w:val="center"/>
                </w:tcPr>
                <w:p w14:paraId="7D9662D6">
                  <w:pPr>
                    <w:jc w:val="center"/>
                    <w:rPr>
                      <w:rFonts w:hint="eastAsia"/>
                      <w:bCs/>
                      <w:szCs w:val="21"/>
                    </w:rPr>
                  </w:pPr>
                  <w:r>
                    <w:rPr>
                      <w:rFonts w:hint="eastAsia"/>
                      <w:color w:val="auto"/>
                      <w:szCs w:val="21"/>
                    </w:rPr>
                    <w:t>颗粒物</w:t>
                  </w:r>
                </w:p>
              </w:tc>
            </w:tr>
            <w:tr w14:paraId="0E82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restart"/>
                  <w:vAlign w:val="center"/>
                </w:tcPr>
                <w:p w14:paraId="53EB2CCD">
                  <w:pPr>
                    <w:jc w:val="center"/>
                    <w:rPr>
                      <w:szCs w:val="21"/>
                    </w:rPr>
                  </w:pPr>
                  <w:r>
                    <w:rPr>
                      <w:szCs w:val="21"/>
                    </w:rPr>
                    <w:t>固废</w:t>
                  </w:r>
                </w:p>
              </w:tc>
              <w:tc>
                <w:tcPr>
                  <w:tcW w:w="1264" w:type="dxa"/>
                  <w:vAlign w:val="center"/>
                </w:tcPr>
                <w:p w14:paraId="5B215ABD">
                  <w:pPr>
                    <w:jc w:val="center"/>
                    <w:rPr>
                      <w:szCs w:val="21"/>
                    </w:rPr>
                  </w:pPr>
                  <w:r>
                    <w:rPr>
                      <w:szCs w:val="21"/>
                    </w:rPr>
                    <w:t>YS1</w:t>
                  </w:r>
                </w:p>
              </w:tc>
              <w:tc>
                <w:tcPr>
                  <w:tcW w:w="1408" w:type="dxa"/>
                  <w:vAlign w:val="center"/>
                </w:tcPr>
                <w:p w14:paraId="3D8E9294">
                  <w:pPr>
                    <w:jc w:val="center"/>
                    <w:rPr>
                      <w:szCs w:val="21"/>
                    </w:rPr>
                  </w:pPr>
                  <w:r>
                    <w:rPr>
                      <w:szCs w:val="21"/>
                    </w:rPr>
                    <w:t>生活垃圾</w:t>
                  </w:r>
                </w:p>
              </w:tc>
              <w:tc>
                <w:tcPr>
                  <w:tcW w:w="1953" w:type="dxa"/>
                  <w:vAlign w:val="center"/>
                </w:tcPr>
                <w:p w14:paraId="2A409A28">
                  <w:pPr>
                    <w:jc w:val="center"/>
                    <w:rPr>
                      <w:szCs w:val="21"/>
                    </w:rPr>
                  </w:pPr>
                  <w:r>
                    <w:rPr>
                      <w:szCs w:val="21"/>
                    </w:rPr>
                    <w:t>职工生活</w:t>
                  </w:r>
                </w:p>
              </w:tc>
              <w:tc>
                <w:tcPr>
                  <w:tcW w:w="2614" w:type="dxa"/>
                  <w:vAlign w:val="center"/>
                </w:tcPr>
                <w:p w14:paraId="26EFE49A">
                  <w:pPr>
                    <w:jc w:val="center"/>
                    <w:rPr>
                      <w:szCs w:val="21"/>
                    </w:rPr>
                  </w:pPr>
                  <w:r>
                    <w:rPr>
                      <w:szCs w:val="21"/>
                    </w:rPr>
                    <w:t>生活垃圾</w:t>
                  </w:r>
                </w:p>
              </w:tc>
            </w:tr>
            <w:tr w14:paraId="54DF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continue"/>
                  <w:vAlign w:val="center"/>
                </w:tcPr>
                <w:p w14:paraId="153E3746">
                  <w:pPr>
                    <w:jc w:val="center"/>
                    <w:rPr>
                      <w:szCs w:val="21"/>
                    </w:rPr>
                  </w:pPr>
                </w:p>
              </w:tc>
              <w:tc>
                <w:tcPr>
                  <w:tcW w:w="1264" w:type="dxa"/>
                  <w:vMerge w:val="restart"/>
                  <w:vAlign w:val="center"/>
                </w:tcPr>
                <w:p w14:paraId="368EE97C">
                  <w:pPr>
                    <w:jc w:val="center"/>
                    <w:rPr>
                      <w:szCs w:val="21"/>
                    </w:rPr>
                  </w:pPr>
                  <w:r>
                    <w:rPr>
                      <w:szCs w:val="21"/>
                    </w:rPr>
                    <w:t>YS2</w:t>
                  </w:r>
                </w:p>
              </w:tc>
              <w:tc>
                <w:tcPr>
                  <w:tcW w:w="1408" w:type="dxa"/>
                  <w:vMerge w:val="restart"/>
                  <w:vAlign w:val="center"/>
                </w:tcPr>
                <w:p w14:paraId="1F4DC954">
                  <w:pPr>
                    <w:jc w:val="center"/>
                    <w:rPr>
                      <w:szCs w:val="21"/>
                    </w:rPr>
                  </w:pPr>
                  <w:r>
                    <w:rPr>
                      <w:szCs w:val="21"/>
                    </w:rPr>
                    <w:t>工业固废</w:t>
                  </w:r>
                </w:p>
              </w:tc>
              <w:tc>
                <w:tcPr>
                  <w:tcW w:w="1953" w:type="dxa"/>
                  <w:vAlign w:val="center"/>
                </w:tcPr>
                <w:p w14:paraId="4E065ED6">
                  <w:pPr>
                    <w:jc w:val="center"/>
                    <w:rPr>
                      <w:szCs w:val="21"/>
                    </w:rPr>
                  </w:pPr>
                  <w:r>
                    <w:rPr>
                      <w:rFonts w:hint="eastAsia"/>
                      <w:szCs w:val="21"/>
                    </w:rPr>
                    <w:t>下料、弯管、钻孔等工序</w:t>
                  </w:r>
                </w:p>
              </w:tc>
              <w:tc>
                <w:tcPr>
                  <w:tcW w:w="2614" w:type="dxa"/>
                  <w:vAlign w:val="center"/>
                </w:tcPr>
                <w:p w14:paraId="21F7BF36">
                  <w:pPr>
                    <w:jc w:val="center"/>
                    <w:rPr>
                      <w:szCs w:val="21"/>
                    </w:rPr>
                  </w:pPr>
                  <w:r>
                    <w:rPr>
                      <w:rFonts w:hint="eastAsia"/>
                      <w:szCs w:val="21"/>
                    </w:rPr>
                    <w:t>钢材边角料及次品</w:t>
                  </w:r>
                </w:p>
              </w:tc>
            </w:tr>
            <w:tr w14:paraId="7656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continue"/>
                  <w:vAlign w:val="center"/>
                </w:tcPr>
                <w:p w14:paraId="5DC071EF">
                  <w:pPr>
                    <w:jc w:val="center"/>
                    <w:rPr>
                      <w:szCs w:val="21"/>
                    </w:rPr>
                  </w:pPr>
                </w:p>
              </w:tc>
              <w:tc>
                <w:tcPr>
                  <w:tcW w:w="1264" w:type="dxa"/>
                  <w:vMerge w:val="continue"/>
                  <w:vAlign w:val="center"/>
                </w:tcPr>
                <w:p w14:paraId="3F4AD7BB">
                  <w:pPr>
                    <w:jc w:val="center"/>
                    <w:rPr>
                      <w:szCs w:val="21"/>
                    </w:rPr>
                  </w:pPr>
                </w:p>
              </w:tc>
              <w:tc>
                <w:tcPr>
                  <w:tcW w:w="1408" w:type="dxa"/>
                  <w:vMerge w:val="continue"/>
                  <w:vAlign w:val="center"/>
                </w:tcPr>
                <w:p w14:paraId="4B9C2473">
                  <w:pPr>
                    <w:jc w:val="center"/>
                    <w:rPr>
                      <w:szCs w:val="21"/>
                    </w:rPr>
                  </w:pPr>
                </w:p>
              </w:tc>
              <w:tc>
                <w:tcPr>
                  <w:tcW w:w="1953" w:type="dxa"/>
                  <w:vAlign w:val="center"/>
                </w:tcPr>
                <w:p w14:paraId="33F232AC">
                  <w:pPr>
                    <w:jc w:val="center"/>
                    <w:rPr>
                      <w:szCs w:val="21"/>
                    </w:rPr>
                  </w:pPr>
                  <w:r>
                    <w:rPr>
                      <w:rFonts w:hint="eastAsia"/>
                      <w:szCs w:val="21"/>
                    </w:rPr>
                    <w:t>焊接工序</w:t>
                  </w:r>
                </w:p>
              </w:tc>
              <w:tc>
                <w:tcPr>
                  <w:tcW w:w="2614" w:type="dxa"/>
                  <w:vAlign w:val="center"/>
                </w:tcPr>
                <w:p w14:paraId="33EC77B0">
                  <w:pPr>
                    <w:jc w:val="center"/>
                    <w:rPr>
                      <w:szCs w:val="21"/>
                    </w:rPr>
                  </w:pPr>
                  <w:r>
                    <w:rPr>
                      <w:rFonts w:hint="eastAsia"/>
                      <w:szCs w:val="21"/>
                    </w:rPr>
                    <w:t>焊渣</w:t>
                  </w:r>
                </w:p>
              </w:tc>
            </w:tr>
            <w:tr w14:paraId="7EDE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continue"/>
                  <w:vAlign w:val="center"/>
                </w:tcPr>
                <w:p w14:paraId="02F1BDE2">
                  <w:pPr>
                    <w:jc w:val="center"/>
                    <w:rPr>
                      <w:szCs w:val="21"/>
                    </w:rPr>
                  </w:pPr>
                </w:p>
              </w:tc>
              <w:tc>
                <w:tcPr>
                  <w:tcW w:w="1264" w:type="dxa"/>
                  <w:vMerge w:val="continue"/>
                  <w:vAlign w:val="center"/>
                </w:tcPr>
                <w:p w14:paraId="2BD32F50">
                  <w:pPr>
                    <w:jc w:val="center"/>
                    <w:rPr>
                      <w:szCs w:val="21"/>
                    </w:rPr>
                  </w:pPr>
                </w:p>
              </w:tc>
              <w:tc>
                <w:tcPr>
                  <w:tcW w:w="1408" w:type="dxa"/>
                  <w:vMerge w:val="continue"/>
                  <w:vAlign w:val="center"/>
                </w:tcPr>
                <w:p w14:paraId="0145389C">
                  <w:pPr>
                    <w:jc w:val="center"/>
                    <w:rPr>
                      <w:szCs w:val="21"/>
                    </w:rPr>
                  </w:pPr>
                </w:p>
              </w:tc>
              <w:tc>
                <w:tcPr>
                  <w:tcW w:w="1953" w:type="dxa"/>
                  <w:vAlign w:val="center"/>
                </w:tcPr>
                <w:p w14:paraId="6C4A4D5A">
                  <w:pPr>
                    <w:jc w:val="center"/>
                    <w:rPr>
                      <w:szCs w:val="21"/>
                    </w:rPr>
                  </w:pPr>
                  <w:r>
                    <w:rPr>
                      <w:rFonts w:hint="eastAsia"/>
                      <w:szCs w:val="21"/>
                    </w:rPr>
                    <w:t>注塑、修剪</w:t>
                  </w:r>
                </w:p>
              </w:tc>
              <w:tc>
                <w:tcPr>
                  <w:tcW w:w="2614" w:type="dxa"/>
                  <w:vAlign w:val="center"/>
                </w:tcPr>
                <w:p w14:paraId="575E491E">
                  <w:pPr>
                    <w:jc w:val="center"/>
                    <w:rPr>
                      <w:szCs w:val="21"/>
                    </w:rPr>
                  </w:pPr>
                  <w:r>
                    <w:rPr>
                      <w:rFonts w:hint="eastAsia"/>
                      <w:szCs w:val="21"/>
                    </w:rPr>
                    <w:t>塑料边角料及次品</w:t>
                  </w:r>
                </w:p>
              </w:tc>
            </w:tr>
            <w:tr w14:paraId="63F0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continue"/>
                  <w:vAlign w:val="center"/>
                </w:tcPr>
                <w:p w14:paraId="1D769944">
                  <w:pPr>
                    <w:jc w:val="center"/>
                    <w:rPr>
                      <w:szCs w:val="21"/>
                    </w:rPr>
                  </w:pPr>
                </w:p>
              </w:tc>
              <w:tc>
                <w:tcPr>
                  <w:tcW w:w="1264" w:type="dxa"/>
                  <w:vMerge w:val="continue"/>
                  <w:vAlign w:val="center"/>
                </w:tcPr>
                <w:p w14:paraId="3FD8E782">
                  <w:pPr>
                    <w:jc w:val="center"/>
                    <w:rPr>
                      <w:szCs w:val="21"/>
                    </w:rPr>
                  </w:pPr>
                </w:p>
              </w:tc>
              <w:tc>
                <w:tcPr>
                  <w:tcW w:w="1408" w:type="dxa"/>
                  <w:vMerge w:val="continue"/>
                  <w:vAlign w:val="center"/>
                </w:tcPr>
                <w:p w14:paraId="0AA90D23">
                  <w:pPr>
                    <w:jc w:val="center"/>
                    <w:rPr>
                      <w:szCs w:val="21"/>
                    </w:rPr>
                  </w:pPr>
                </w:p>
              </w:tc>
              <w:tc>
                <w:tcPr>
                  <w:tcW w:w="1953" w:type="dxa"/>
                  <w:vAlign w:val="center"/>
                </w:tcPr>
                <w:p w14:paraId="43746C59">
                  <w:pPr>
                    <w:jc w:val="center"/>
                    <w:rPr>
                      <w:szCs w:val="21"/>
                    </w:rPr>
                  </w:pPr>
                  <w:r>
                    <w:rPr>
                      <w:szCs w:val="21"/>
                    </w:rPr>
                    <w:t>设备维护</w:t>
                  </w:r>
                </w:p>
              </w:tc>
              <w:tc>
                <w:tcPr>
                  <w:tcW w:w="2614" w:type="dxa"/>
                  <w:vAlign w:val="center"/>
                </w:tcPr>
                <w:p w14:paraId="3655A043">
                  <w:pPr>
                    <w:jc w:val="center"/>
                    <w:rPr>
                      <w:szCs w:val="21"/>
                    </w:rPr>
                  </w:pPr>
                  <w:r>
                    <w:rPr>
                      <w:rFonts w:hint="eastAsia"/>
                      <w:szCs w:val="21"/>
                    </w:rPr>
                    <w:t>废乳化液、废润滑油</w:t>
                  </w:r>
                </w:p>
              </w:tc>
            </w:tr>
            <w:tr w14:paraId="0511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Merge w:val="continue"/>
                  <w:vAlign w:val="center"/>
                </w:tcPr>
                <w:p w14:paraId="68232E8E">
                  <w:pPr>
                    <w:jc w:val="center"/>
                    <w:rPr>
                      <w:szCs w:val="21"/>
                    </w:rPr>
                  </w:pPr>
                </w:p>
              </w:tc>
              <w:tc>
                <w:tcPr>
                  <w:tcW w:w="1264" w:type="dxa"/>
                  <w:vMerge w:val="continue"/>
                  <w:vAlign w:val="center"/>
                </w:tcPr>
                <w:p w14:paraId="6B9FC315">
                  <w:pPr>
                    <w:jc w:val="center"/>
                    <w:rPr>
                      <w:szCs w:val="21"/>
                    </w:rPr>
                  </w:pPr>
                </w:p>
              </w:tc>
              <w:tc>
                <w:tcPr>
                  <w:tcW w:w="1408" w:type="dxa"/>
                  <w:vMerge w:val="continue"/>
                  <w:vAlign w:val="center"/>
                </w:tcPr>
                <w:p w14:paraId="7D4133B6">
                  <w:pPr>
                    <w:jc w:val="center"/>
                    <w:rPr>
                      <w:szCs w:val="21"/>
                    </w:rPr>
                  </w:pPr>
                </w:p>
              </w:tc>
              <w:tc>
                <w:tcPr>
                  <w:tcW w:w="1953" w:type="dxa"/>
                  <w:vAlign w:val="center"/>
                </w:tcPr>
                <w:p w14:paraId="4403E9E4">
                  <w:pPr>
                    <w:jc w:val="center"/>
                    <w:rPr>
                      <w:szCs w:val="21"/>
                    </w:rPr>
                  </w:pPr>
                  <w:r>
                    <w:rPr>
                      <w:rFonts w:hint="eastAsia"/>
                      <w:szCs w:val="21"/>
                    </w:rPr>
                    <w:t>废气治理</w:t>
                  </w:r>
                </w:p>
              </w:tc>
              <w:tc>
                <w:tcPr>
                  <w:tcW w:w="2614" w:type="dxa"/>
                  <w:vAlign w:val="center"/>
                </w:tcPr>
                <w:p w14:paraId="7EDCDA41">
                  <w:pPr>
                    <w:jc w:val="center"/>
                    <w:rPr>
                      <w:szCs w:val="21"/>
                    </w:rPr>
                  </w:pPr>
                  <w:r>
                    <w:rPr>
                      <w:szCs w:val="21"/>
                    </w:rPr>
                    <w:t>废活性炭</w:t>
                  </w:r>
                </w:p>
              </w:tc>
            </w:tr>
            <w:tr w14:paraId="2D32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Align w:val="center"/>
                </w:tcPr>
                <w:p w14:paraId="18976CBB">
                  <w:pPr>
                    <w:jc w:val="center"/>
                    <w:rPr>
                      <w:szCs w:val="21"/>
                    </w:rPr>
                  </w:pPr>
                  <w:r>
                    <w:rPr>
                      <w:szCs w:val="21"/>
                    </w:rPr>
                    <w:t>噪声</w:t>
                  </w:r>
                </w:p>
              </w:tc>
              <w:tc>
                <w:tcPr>
                  <w:tcW w:w="1264" w:type="dxa"/>
                  <w:vAlign w:val="center"/>
                </w:tcPr>
                <w:p w14:paraId="50113C51">
                  <w:pPr>
                    <w:jc w:val="center"/>
                    <w:rPr>
                      <w:szCs w:val="21"/>
                    </w:rPr>
                  </w:pPr>
                  <w:r>
                    <w:rPr>
                      <w:szCs w:val="21"/>
                    </w:rPr>
                    <w:t>YN</w:t>
                  </w:r>
                </w:p>
              </w:tc>
              <w:tc>
                <w:tcPr>
                  <w:tcW w:w="1408" w:type="dxa"/>
                  <w:vAlign w:val="center"/>
                </w:tcPr>
                <w:p w14:paraId="7B76CE6A">
                  <w:pPr>
                    <w:jc w:val="center"/>
                    <w:rPr>
                      <w:szCs w:val="21"/>
                    </w:rPr>
                  </w:pPr>
                  <w:r>
                    <w:rPr>
                      <w:szCs w:val="21"/>
                    </w:rPr>
                    <w:t>噪声</w:t>
                  </w:r>
                </w:p>
              </w:tc>
              <w:tc>
                <w:tcPr>
                  <w:tcW w:w="1953" w:type="dxa"/>
                  <w:vAlign w:val="center"/>
                </w:tcPr>
                <w:p w14:paraId="6B45F0D5">
                  <w:pPr>
                    <w:jc w:val="center"/>
                    <w:rPr>
                      <w:szCs w:val="21"/>
                    </w:rPr>
                  </w:pPr>
                  <w:r>
                    <w:rPr>
                      <w:szCs w:val="21"/>
                    </w:rPr>
                    <w:t>设备运行</w:t>
                  </w:r>
                </w:p>
              </w:tc>
              <w:tc>
                <w:tcPr>
                  <w:tcW w:w="2614" w:type="dxa"/>
                  <w:vAlign w:val="center"/>
                </w:tcPr>
                <w:p w14:paraId="15834598">
                  <w:pPr>
                    <w:jc w:val="center"/>
                    <w:rPr>
                      <w:szCs w:val="21"/>
                    </w:rPr>
                  </w:pPr>
                  <w:r>
                    <w:rPr>
                      <w:szCs w:val="21"/>
                    </w:rPr>
                    <w:t>噪声</w:t>
                  </w:r>
                </w:p>
              </w:tc>
            </w:tr>
          </w:tbl>
          <w:p w14:paraId="2BD1ECAA">
            <w:pPr>
              <w:spacing w:line="440" w:lineRule="exact"/>
              <w:jc w:val="center"/>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10</w:t>
            </w:r>
            <w:r>
              <w:rPr>
                <w:rFonts w:hint="eastAsia"/>
                <w:b/>
                <w:color w:val="auto"/>
                <w:szCs w:val="21"/>
              </w:rPr>
              <w:t xml:space="preserve">  </w:t>
            </w:r>
            <w:r>
              <w:rPr>
                <w:b/>
                <w:color w:val="auto"/>
                <w:szCs w:val="21"/>
              </w:rPr>
              <w:t>营运期主要污染工序</w:t>
            </w:r>
          </w:p>
          <w:p w14:paraId="01CB401E">
            <w:pPr>
              <w:pStyle w:val="2"/>
              <w:ind w:firstLine="0" w:firstLineChars="0"/>
              <w:rPr>
                <w:bCs/>
                <w:color w:val="auto"/>
                <w:szCs w:val="21"/>
              </w:rPr>
            </w:pPr>
          </w:p>
        </w:tc>
      </w:tr>
      <w:tr w14:paraId="296FD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9" w:hRule="atLeast"/>
          <w:jc w:val="center"/>
        </w:trPr>
        <w:tc>
          <w:tcPr>
            <w:tcW w:w="456" w:type="dxa"/>
            <w:vAlign w:val="center"/>
          </w:tcPr>
          <w:p w14:paraId="7E1B6814">
            <w:pPr>
              <w:pStyle w:val="32"/>
              <w:adjustRightInd w:val="0"/>
              <w:snapToGrid w:val="0"/>
              <w:spacing w:before="0" w:beforeAutospacing="0" w:after="0" w:afterAutospacing="0"/>
              <w:jc w:val="center"/>
              <w:rPr>
                <w:rFonts w:ascii="Times New Roman" w:hAnsi="Times New Roman"/>
                <w:color w:val="auto"/>
                <w:szCs w:val="24"/>
              </w:rPr>
            </w:pPr>
            <w:r>
              <w:rPr>
                <w:rFonts w:ascii="Times New Roman"/>
                <w:bCs/>
                <w:color w:val="auto"/>
                <w:kern w:val="2"/>
                <w:szCs w:val="24"/>
              </w:rPr>
              <w:t>与项目有关的原有环境污染问题</w:t>
            </w:r>
          </w:p>
        </w:tc>
        <w:tc>
          <w:tcPr>
            <w:tcW w:w="8748" w:type="dxa"/>
          </w:tcPr>
          <w:p w14:paraId="7DE4E739">
            <w:pPr>
              <w:spacing w:line="440" w:lineRule="exact"/>
              <w:rPr>
                <w:b/>
                <w:color w:val="auto"/>
                <w:sz w:val="24"/>
              </w:rPr>
            </w:pPr>
            <w:r>
              <w:rPr>
                <w:rFonts w:hint="eastAsia"/>
                <w:b/>
                <w:color w:val="auto"/>
                <w:sz w:val="24"/>
                <w:lang w:val="en-US" w:eastAsia="zh-CN"/>
              </w:rPr>
              <w:t>2.2.</w:t>
            </w:r>
            <w:r>
              <w:rPr>
                <w:b/>
                <w:color w:val="auto"/>
                <w:sz w:val="24"/>
              </w:rPr>
              <w:t>1</w:t>
            </w:r>
            <w:r>
              <w:rPr>
                <w:rFonts w:hint="eastAsia"/>
                <w:b/>
                <w:color w:val="auto"/>
                <w:sz w:val="24"/>
                <w:lang w:val="en-US" w:eastAsia="zh-CN"/>
              </w:rPr>
              <w:t xml:space="preserve"> </w:t>
            </w:r>
            <w:r>
              <w:rPr>
                <w:b/>
                <w:color w:val="auto"/>
                <w:sz w:val="24"/>
              </w:rPr>
              <w:t>企业</w:t>
            </w:r>
            <w:r>
              <w:rPr>
                <w:rFonts w:hint="eastAsia"/>
                <w:b/>
                <w:color w:val="auto"/>
                <w:sz w:val="24"/>
              </w:rPr>
              <w:t>现</w:t>
            </w:r>
            <w:r>
              <w:rPr>
                <w:b/>
                <w:color w:val="auto"/>
                <w:sz w:val="24"/>
              </w:rPr>
              <w:t>有项目概况</w:t>
            </w:r>
          </w:p>
          <w:p w14:paraId="2878241A">
            <w:pPr>
              <w:adjustRightInd w:val="0"/>
              <w:snapToGrid w:val="0"/>
              <w:spacing w:line="440" w:lineRule="exact"/>
              <w:ind w:firstLine="480" w:firstLineChars="200"/>
              <w:rPr>
                <w:rFonts w:hAnsi="宋体"/>
                <w:color w:val="auto"/>
                <w:sz w:val="24"/>
              </w:rPr>
            </w:pPr>
            <w:r>
              <w:rPr>
                <w:rFonts w:hint="eastAsia" w:cs="Times New Roman"/>
                <w:color w:val="auto"/>
                <w:sz w:val="24"/>
                <w:lang w:val="en-US" w:eastAsia="zh-CN"/>
              </w:rPr>
              <w:t>安吉联红五金制品厂租用安吉恒铭家具有限公司位于安吉县天荒坪镇白水湾工业园区的闲置厂房实施家具塑料配件和家具金属配件的生产。2020年07月，企业委托杭州竞陵环保科技有限公司编制完成《安吉联红五金制品厂年产100万套家具塑料配件、30万套家具金属配件建设项目环境影响报告表》并于2020年08月通过湖州市生态环境局安吉分局审批（湖安环建2020]99号）。</w:t>
            </w:r>
            <w:r>
              <w:rPr>
                <w:rFonts w:hint="eastAsia" w:ascii="Times New Roman" w:hAnsi="宋体" w:cs="Times New Roman"/>
                <w:color w:val="auto"/>
                <w:sz w:val="24"/>
                <w:szCs w:val="24"/>
              </w:rPr>
              <w:t>202</w:t>
            </w:r>
            <w:r>
              <w:rPr>
                <w:rFonts w:hint="eastAsia" w:ascii="Times New Roman" w:hAnsi="宋体" w:cs="Times New Roman"/>
                <w:color w:val="auto"/>
                <w:sz w:val="24"/>
                <w:szCs w:val="24"/>
                <w:lang w:val="en-US" w:eastAsia="zh-CN"/>
              </w:rPr>
              <w:t>0</w:t>
            </w:r>
            <w:r>
              <w:rPr>
                <w:rFonts w:hint="eastAsia" w:ascii="Times New Roman" w:hAnsi="宋体" w:cs="Times New Roman"/>
                <w:color w:val="auto"/>
                <w:sz w:val="24"/>
                <w:szCs w:val="24"/>
              </w:rPr>
              <w:t>年</w:t>
            </w:r>
            <w:r>
              <w:rPr>
                <w:rFonts w:hint="eastAsia" w:ascii="Times New Roman" w:hAnsi="宋体" w:cs="Times New Roman"/>
                <w:color w:val="auto"/>
                <w:sz w:val="24"/>
                <w:szCs w:val="24"/>
                <w:lang w:val="en-US" w:eastAsia="zh-CN"/>
              </w:rPr>
              <w:t>9</w:t>
            </w:r>
            <w:r>
              <w:rPr>
                <w:rFonts w:hint="eastAsia" w:ascii="Times New Roman" w:hAnsi="宋体" w:cs="Times New Roman"/>
                <w:color w:val="auto"/>
                <w:sz w:val="24"/>
                <w:szCs w:val="24"/>
              </w:rPr>
              <w:t>月，企业组织验收小组，完成了该项目环境保护设施</w:t>
            </w:r>
            <w:r>
              <w:rPr>
                <w:color w:val="auto"/>
                <w:sz w:val="24"/>
              </w:rPr>
              <w:t>自主验收</w:t>
            </w:r>
            <w:r>
              <w:rPr>
                <w:rFonts w:hint="eastAsia"/>
                <w:color w:val="auto"/>
                <w:sz w:val="24"/>
                <w:lang w:eastAsia="zh-CN"/>
              </w:rPr>
              <w:t>，</w:t>
            </w:r>
            <w:r>
              <w:rPr>
                <w:rFonts w:hint="eastAsia" w:hAnsi="宋体" w:eastAsia="宋体"/>
                <w:bCs/>
                <w:color w:val="auto"/>
                <w:sz w:val="24"/>
                <w:lang w:val="zh-CN" w:eastAsia="zh-CN"/>
              </w:rPr>
              <w:t>企业于2020年</w:t>
            </w:r>
            <w:r>
              <w:rPr>
                <w:rFonts w:hint="eastAsia" w:hAnsi="宋体" w:eastAsia="宋体"/>
                <w:bCs/>
                <w:color w:val="auto"/>
                <w:sz w:val="24"/>
                <w:lang w:val="en-US" w:eastAsia="zh-CN"/>
              </w:rPr>
              <w:t>4</w:t>
            </w:r>
            <w:r>
              <w:rPr>
                <w:rFonts w:hint="eastAsia" w:hAnsi="宋体" w:eastAsia="宋体"/>
                <w:bCs/>
                <w:color w:val="auto"/>
                <w:sz w:val="24"/>
                <w:lang w:val="zh-CN" w:eastAsia="zh-CN"/>
              </w:rPr>
              <w:t>月</w:t>
            </w:r>
            <w:r>
              <w:rPr>
                <w:rFonts w:hint="eastAsia" w:hAnsi="宋体" w:eastAsia="宋体"/>
                <w:bCs/>
                <w:color w:val="auto"/>
                <w:sz w:val="24"/>
                <w:lang w:val="en-US" w:eastAsia="zh-CN"/>
              </w:rPr>
              <w:t>12</w:t>
            </w:r>
            <w:r>
              <w:rPr>
                <w:rFonts w:hint="eastAsia" w:hAnsi="宋体" w:eastAsia="宋体"/>
                <w:bCs/>
                <w:color w:val="auto"/>
                <w:sz w:val="24"/>
                <w:lang w:val="zh-CN" w:eastAsia="zh-CN"/>
              </w:rPr>
              <w:t>日完成排污登记，登记编号：91330523L18376201N001W。</w:t>
            </w:r>
            <w:r>
              <w:rPr>
                <w:rFonts w:hint="eastAsia"/>
                <w:color w:val="auto"/>
                <w:sz w:val="24"/>
              </w:rPr>
              <w:t>有效期为2020年</w:t>
            </w:r>
            <w:r>
              <w:rPr>
                <w:rFonts w:hint="eastAsia"/>
                <w:color w:val="auto"/>
                <w:sz w:val="24"/>
                <w:lang w:val="en-US" w:eastAsia="zh-CN"/>
              </w:rPr>
              <w:t>4</w:t>
            </w:r>
            <w:r>
              <w:rPr>
                <w:rFonts w:hint="eastAsia"/>
                <w:color w:val="auto"/>
                <w:sz w:val="24"/>
              </w:rPr>
              <w:t>月</w:t>
            </w:r>
            <w:r>
              <w:rPr>
                <w:rFonts w:hint="eastAsia"/>
                <w:color w:val="auto"/>
                <w:sz w:val="24"/>
                <w:lang w:val="en-US" w:eastAsia="zh-CN"/>
              </w:rPr>
              <w:t>12</w:t>
            </w:r>
            <w:r>
              <w:rPr>
                <w:rFonts w:hint="eastAsia"/>
                <w:color w:val="auto"/>
                <w:sz w:val="24"/>
              </w:rPr>
              <w:t>日至2025年</w:t>
            </w:r>
            <w:r>
              <w:rPr>
                <w:rFonts w:hint="eastAsia"/>
                <w:color w:val="auto"/>
                <w:sz w:val="24"/>
                <w:lang w:val="en-US" w:eastAsia="zh-CN"/>
              </w:rPr>
              <w:t>4</w:t>
            </w:r>
            <w:r>
              <w:rPr>
                <w:rFonts w:hint="eastAsia"/>
                <w:color w:val="auto"/>
                <w:sz w:val="24"/>
              </w:rPr>
              <w:t>月</w:t>
            </w:r>
            <w:r>
              <w:rPr>
                <w:rFonts w:hint="eastAsia"/>
                <w:color w:val="auto"/>
                <w:sz w:val="24"/>
                <w:lang w:val="en-US" w:eastAsia="zh-CN"/>
              </w:rPr>
              <w:t>11</w:t>
            </w:r>
            <w:r>
              <w:rPr>
                <w:rFonts w:hint="eastAsia"/>
                <w:color w:val="auto"/>
                <w:sz w:val="24"/>
              </w:rPr>
              <w:t>日。</w:t>
            </w:r>
          </w:p>
          <w:p w14:paraId="59B32177">
            <w:pPr>
              <w:spacing w:line="440" w:lineRule="exact"/>
              <w:ind w:firstLine="480" w:firstLineChars="200"/>
              <w:rPr>
                <w:rFonts w:hAnsi="宋体"/>
                <w:color w:val="auto"/>
                <w:sz w:val="24"/>
              </w:rPr>
            </w:pPr>
            <w:r>
              <w:rPr>
                <w:rFonts w:hint="eastAsia" w:hAnsi="宋体"/>
                <w:color w:val="auto"/>
                <w:sz w:val="24"/>
              </w:rPr>
              <w:t>现有</w:t>
            </w:r>
            <w:r>
              <w:rPr>
                <w:rFonts w:hAnsi="宋体"/>
                <w:color w:val="auto"/>
                <w:sz w:val="24"/>
              </w:rPr>
              <w:t>项目具体产品方案见下表</w:t>
            </w:r>
            <w:r>
              <w:rPr>
                <w:rFonts w:hint="eastAsia" w:hAnsi="宋体"/>
                <w:color w:val="auto"/>
                <w:sz w:val="24"/>
              </w:rPr>
              <w:t>2-</w:t>
            </w:r>
            <w:r>
              <w:rPr>
                <w:rFonts w:hint="eastAsia" w:hAnsi="宋体"/>
                <w:color w:val="auto"/>
                <w:sz w:val="24"/>
                <w:lang w:val="en-US" w:eastAsia="zh-CN"/>
              </w:rPr>
              <w:t>7</w:t>
            </w:r>
            <w:r>
              <w:rPr>
                <w:rFonts w:hAnsi="宋体"/>
                <w:color w:val="auto"/>
                <w:sz w:val="24"/>
              </w:rPr>
              <w:t>。</w:t>
            </w:r>
          </w:p>
          <w:p w14:paraId="27E7BEF9">
            <w:pPr>
              <w:spacing w:line="440" w:lineRule="exact"/>
              <w:jc w:val="center"/>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7</w:t>
            </w:r>
            <w:r>
              <w:rPr>
                <w:rFonts w:hint="eastAsia"/>
                <w:b/>
                <w:color w:val="auto"/>
                <w:szCs w:val="21"/>
              </w:rPr>
              <w:t xml:space="preserve">  </w:t>
            </w:r>
            <w:r>
              <w:rPr>
                <w:b/>
                <w:color w:val="auto"/>
                <w:szCs w:val="21"/>
              </w:rPr>
              <w:t>项目设计生产能力一览表</w:t>
            </w:r>
          </w:p>
          <w:tbl>
            <w:tblPr>
              <w:tblStyle w:val="37"/>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1"/>
              <w:gridCol w:w="2589"/>
              <w:gridCol w:w="1615"/>
              <w:gridCol w:w="2329"/>
            </w:tblGrid>
            <w:tr w14:paraId="12127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1905" w:type="dxa"/>
                  <w:tcBorders>
                    <w:right w:val="single" w:color="auto" w:sz="4" w:space="0"/>
                  </w:tcBorders>
                  <w:vAlign w:val="center"/>
                </w:tcPr>
                <w:p w14:paraId="73E2BC61">
                  <w:pPr>
                    <w:adjustRightInd w:val="0"/>
                    <w:snapToGrid w:val="0"/>
                    <w:jc w:val="center"/>
                    <w:rPr>
                      <w:b/>
                      <w:color w:val="auto"/>
                      <w:szCs w:val="21"/>
                    </w:rPr>
                  </w:pPr>
                  <w:r>
                    <w:rPr>
                      <w:rFonts w:hint="eastAsia"/>
                      <w:b/>
                      <w:color w:val="auto"/>
                      <w:szCs w:val="21"/>
                      <w:lang w:eastAsia="zh-CN"/>
                    </w:rPr>
                    <w:t>产品</w:t>
                  </w:r>
                  <w:r>
                    <w:rPr>
                      <w:b/>
                      <w:color w:val="auto"/>
                      <w:szCs w:val="21"/>
                    </w:rPr>
                    <w:t>名称</w:t>
                  </w:r>
                </w:p>
              </w:tc>
              <w:tc>
                <w:tcPr>
                  <w:tcW w:w="2503" w:type="dxa"/>
                  <w:tcBorders>
                    <w:left w:val="single" w:color="auto" w:sz="4" w:space="0"/>
                  </w:tcBorders>
                  <w:vAlign w:val="center"/>
                </w:tcPr>
                <w:p w14:paraId="5149508A">
                  <w:pPr>
                    <w:adjustRightInd w:val="0"/>
                    <w:snapToGrid w:val="0"/>
                    <w:jc w:val="center"/>
                    <w:rPr>
                      <w:rFonts w:hint="eastAsia"/>
                      <w:b/>
                      <w:color w:val="auto"/>
                      <w:szCs w:val="21"/>
                    </w:rPr>
                  </w:pPr>
                  <w:r>
                    <w:rPr>
                      <w:rFonts w:hint="eastAsia"/>
                      <w:b/>
                      <w:color w:val="auto"/>
                      <w:szCs w:val="21"/>
                    </w:rPr>
                    <w:t>现</w:t>
                  </w:r>
                  <w:r>
                    <w:rPr>
                      <w:b/>
                      <w:color w:val="auto"/>
                      <w:szCs w:val="21"/>
                    </w:rPr>
                    <w:t>有项目</w:t>
                  </w:r>
                  <w:r>
                    <w:rPr>
                      <w:rFonts w:hint="eastAsia"/>
                      <w:b/>
                      <w:color w:val="auto"/>
                      <w:szCs w:val="21"/>
                    </w:rPr>
                    <w:t>审批</w:t>
                  </w:r>
                </w:p>
                <w:p w14:paraId="0AC9AFF0">
                  <w:pPr>
                    <w:adjustRightInd w:val="0"/>
                    <w:snapToGrid w:val="0"/>
                    <w:jc w:val="center"/>
                    <w:rPr>
                      <w:b/>
                      <w:color w:val="auto"/>
                      <w:szCs w:val="21"/>
                    </w:rPr>
                  </w:pPr>
                  <w:r>
                    <w:rPr>
                      <w:b/>
                      <w:color w:val="auto"/>
                      <w:szCs w:val="21"/>
                    </w:rPr>
                    <w:t>年生产能力</w:t>
                  </w:r>
                </w:p>
              </w:tc>
              <w:tc>
                <w:tcPr>
                  <w:tcW w:w="1561" w:type="dxa"/>
                  <w:tcBorders>
                    <w:right w:val="single" w:color="auto" w:sz="4" w:space="0"/>
                  </w:tcBorders>
                  <w:vAlign w:val="center"/>
                </w:tcPr>
                <w:p w14:paraId="7C8B19D0">
                  <w:pPr>
                    <w:adjustRightInd w:val="0"/>
                    <w:snapToGrid w:val="0"/>
                    <w:jc w:val="center"/>
                    <w:rPr>
                      <w:rFonts w:hint="eastAsia"/>
                      <w:b/>
                      <w:color w:val="auto"/>
                      <w:szCs w:val="21"/>
                    </w:rPr>
                  </w:pPr>
                  <w:r>
                    <w:rPr>
                      <w:rFonts w:hint="eastAsia"/>
                      <w:b/>
                      <w:color w:val="auto"/>
                      <w:szCs w:val="21"/>
                    </w:rPr>
                    <w:t>202</w:t>
                  </w:r>
                  <w:r>
                    <w:rPr>
                      <w:rFonts w:hint="eastAsia"/>
                      <w:b/>
                      <w:color w:val="auto"/>
                      <w:szCs w:val="21"/>
                      <w:lang w:val="en-US" w:eastAsia="zh-CN"/>
                    </w:rPr>
                    <w:t>3</w:t>
                  </w:r>
                  <w:r>
                    <w:rPr>
                      <w:rFonts w:hint="eastAsia"/>
                      <w:b/>
                      <w:color w:val="auto"/>
                      <w:szCs w:val="21"/>
                    </w:rPr>
                    <w:t>年</w:t>
                  </w:r>
                </w:p>
                <w:p w14:paraId="78B69FCD">
                  <w:pPr>
                    <w:adjustRightInd w:val="0"/>
                    <w:snapToGrid w:val="0"/>
                    <w:jc w:val="center"/>
                    <w:rPr>
                      <w:b/>
                      <w:color w:val="auto"/>
                      <w:szCs w:val="21"/>
                    </w:rPr>
                  </w:pPr>
                  <w:r>
                    <w:rPr>
                      <w:rFonts w:hint="eastAsia"/>
                      <w:b/>
                      <w:color w:val="auto"/>
                      <w:szCs w:val="21"/>
                    </w:rPr>
                    <w:t>实际生产产量</w:t>
                  </w:r>
                </w:p>
              </w:tc>
              <w:tc>
                <w:tcPr>
                  <w:tcW w:w="2251" w:type="dxa"/>
                  <w:tcBorders>
                    <w:right w:val="single" w:color="auto" w:sz="4" w:space="0"/>
                  </w:tcBorders>
                  <w:vAlign w:val="center"/>
                </w:tcPr>
                <w:p w14:paraId="2B9A9E4B">
                  <w:pPr>
                    <w:adjustRightInd w:val="0"/>
                    <w:snapToGrid w:val="0"/>
                    <w:jc w:val="center"/>
                    <w:rPr>
                      <w:b/>
                      <w:color w:val="auto"/>
                      <w:szCs w:val="21"/>
                    </w:rPr>
                  </w:pPr>
                  <w:r>
                    <w:rPr>
                      <w:rFonts w:hint="eastAsia"/>
                      <w:b/>
                      <w:color w:val="auto"/>
                      <w:szCs w:val="21"/>
                    </w:rPr>
                    <w:t>现有</w:t>
                  </w:r>
                  <w:r>
                    <w:rPr>
                      <w:b/>
                      <w:color w:val="auto"/>
                      <w:szCs w:val="21"/>
                    </w:rPr>
                    <w:t>项目</w:t>
                  </w:r>
                </w:p>
                <w:p w14:paraId="715343C1">
                  <w:pPr>
                    <w:adjustRightInd w:val="0"/>
                    <w:snapToGrid w:val="0"/>
                    <w:jc w:val="center"/>
                    <w:rPr>
                      <w:b/>
                      <w:color w:val="auto"/>
                      <w:szCs w:val="21"/>
                    </w:rPr>
                  </w:pPr>
                  <w:r>
                    <w:rPr>
                      <w:rFonts w:hint="eastAsia"/>
                      <w:b/>
                      <w:color w:val="auto"/>
                      <w:szCs w:val="21"/>
                    </w:rPr>
                    <w:t>验收生产能力</w:t>
                  </w:r>
                </w:p>
              </w:tc>
            </w:tr>
            <w:tr w14:paraId="0E98B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05" w:type="dxa"/>
                  <w:tcBorders>
                    <w:right w:val="single" w:color="auto" w:sz="4" w:space="0"/>
                  </w:tcBorders>
                  <w:vAlign w:val="center"/>
                </w:tcPr>
                <w:p w14:paraId="3333D163">
                  <w:pPr>
                    <w:adjustRightInd w:val="0"/>
                    <w:snapToGrid w:val="0"/>
                    <w:jc w:val="center"/>
                    <w:rPr>
                      <w:rFonts w:hint="default" w:eastAsia="宋体"/>
                      <w:color w:val="auto"/>
                      <w:szCs w:val="21"/>
                      <w:lang w:val="en-US" w:eastAsia="zh-CN"/>
                    </w:rPr>
                  </w:pPr>
                  <w:r>
                    <w:rPr>
                      <w:rFonts w:hint="eastAsia"/>
                      <w:color w:val="auto"/>
                      <w:szCs w:val="21"/>
                      <w:lang w:val="en-US" w:eastAsia="zh-CN"/>
                    </w:rPr>
                    <w:t>塑料配件</w:t>
                  </w:r>
                </w:p>
              </w:tc>
              <w:tc>
                <w:tcPr>
                  <w:tcW w:w="2503" w:type="dxa"/>
                  <w:tcBorders>
                    <w:left w:val="single" w:color="auto" w:sz="4" w:space="0"/>
                  </w:tcBorders>
                  <w:vAlign w:val="center"/>
                </w:tcPr>
                <w:p w14:paraId="7978A998">
                  <w:pPr>
                    <w:adjustRightInd w:val="0"/>
                    <w:snapToGrid w:val="0"/>
                    <w:jc w:val="center"/>
                    <w:rPr>
                      <w:color w:val="auto"/>
                      <w:szCs w:val="21"/>
                    </w:rPr>
                  </w:pPr>
                  <w:r>
                    <w:rPr>
                      <w:rFonts w:hint="eastAsia"/>
                      <w:color w:val="auto"/>
                      <w:spacing w:val="-6"/>
                      <w:szCs w:val="21"/>
                      <w:lang w:val="en-US" w:eastAsia="zh-CN"/>
                    </w:rPr>
                    <w:t>100</w:t>
                  </w:r>
                  <w:r>
                    <w:rPr>
                      <w:rFonts w:hint="eastAsia"/>
                      <w:color w:val="auto"/>
                      <w:spacing w:val="-6"/>
                      <w:szCs w:val="21"/>
                    </w:rPr>
                    <w:t>万套</w:t>
                  </w:r>
                </w:p>
              </w:tc>
              <w:tc>
                <w:tcPr>
                  <w:tcW w:w="1561" w:type="dxa"/>
                  <w:tcBorders>
                    <w:right w:val="single" w:color="auto" w:sz="4" w:space="0"/>
                  </w:tcBorders>
                  <w:vAlign w:val="center"/>
                </w:tcPr>
                <w:p w14:paraId="54EEC375">
                  <w:pPr>
                    <w:adjustRightInd w:val="0"/>
                    <w:snapToGrid w:val="0"/>
                    <w:jc w:val="center"/>
                    <w:rPr>
                      <w:color w:val="auto"/>
                      <w:szCs w:val="21"/>
                    </w:rPr>
                  </w:pPr>
                  <w:r>
                    <w:rPr>
                      <w:rFonts w:hint="eastAsia"/>
                      <w:color w:val="auto"/>
                      <w:spacing w:val="-6"/>
                      <w:szCs w:val="21"/>
                      <w:lang w:val="en-US" w:eastAsia="zh-CN"/>
                    </w:rPr>
                    <w:t>100.1</w:t>
                  </w:r>
                  <w:r>
                    <w:rPr>
                      <w:rFonts w:hint="eastAsia"/>
                      <w:color w:val="auto"/>
                      <w:spacing w:val="-6"/>
                      <w:szCs w:val="21"/>
                    </w:rPr>
                    <w:t>万套</w:t>
                  </w:r>
                </w:p>
              </w:tc>
              <w:tc>
                <w:tcPr>
                  <w:tcW w:w="2251" w:type="dxa"/>
                  <w:tcBorders>
                    <w:right w:val="single" w:color="auto" w:sz="4" w:space="0"/>
                  </w:tcBorders>
                  <w:vAlign w:val="center"/>
                </w:tcPr>
                <w:p w14:paraId="0F6B6EAC">
                  <w:pPr>
                    <w:adjustRightInd w:val="0"/>
                    <w:snapToGrid w:val="0"/>
                    <w:jc w:val="center"/>
                    <w:rPr>
                      <w:color w:val="auto"/>
                      <w:szCs w:val="21"/>
                    </w:rPr>
                  </w:pPr>
                  <w:r>
                    <w:rPr>
                      <w:rFonts w:hint="eastAsia"/>
                      <w:color w:val="auto"/>
                      <w:spacing w:val="-6"/>
                      <w:szCs w:val="21"/>
                      <w:lang w:val="en-US" w:eastAsia="zh-CN"/>
                    </w:rPr>
                    <w:t>100</w:t>
                  </w:r>
                  <w:r>
                    <w:rPr>
                      <w:rFonts w:hint="eastAsia"/>
                      <w:color w:val="auto"/>
                      <w:spacing w:val="-6"/>
                      <w:szCs w:val="21"/>
                    </w:rPr>
                    <w:t>万套</w:t>
                  </w:r>
                </w:p>
              </w:tc>
            </w:tr>
            <w:tr w14:paraId="5A1FD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05" w:type="dxa"/>
                  <w:tcBorders>
                    <w:right w:val="single" w:color="auto" w:sz="4" w:space="0"/>
                  </w:tcBorders>
                  <w:vAlign w:val="center"/>
                </w:tcPr>
                <w:p w14:paraId="155BDA4A">
                  <w:pPr>
                    <w:adjustRightInd w:val="0"/>
                    <w:snapToGrid w:val="0"/>
                    <w:jc w:val="center"/>
                    <w:rPr>
                      <w:rFonts w:hint="eastAsia"/>
                      <w:color w:val="auto"/>
                      <w:szCs w:val="21"/>
                      <w:lang w:val="en-US" w:eastAsia="zh-CN"/>
                    </w:rPr>
                  </w:pPr>
                  <w:r>
                    <w:rPr>
                      <w:rFonts w:hint="eastAsia"/>
                      <w:color w:val="auto"/>
                      <w:szCs w:val="21"/>
                      <w:lang w:val="en-US" w:eastAsia="zh-CN"/>
                    </w:rPr>
                    <w:t>金属配件</w:t>
                  </w:r>
                </w:p>
              </w:tc>
              <w:tc>
                <w:tcPr>
                  <w:tcW w:w="2503" w:type="dxa"/>
                  <w:tcBorders>
                    <w:left w:val="single" w:color="auto" w:sz="4" w:space="0"/>
                  </w:tcBorders>
                  <w:vAlign w:val="center"/>
                </w:tcPr>
                <w:p w14:paraId="516C1316">
                  <w:pPr>
                    <w:adjustRightInd w:val="0"/>
                    <w:snapToGrid w:val="0"/>
                    <w:jc w:val="center"/>
                    <w:rPr>
                      <w:rFonts w:hint="default"/>
                      <w:color w:val="auto"/>
                      <w:spacing w:val="-6"/>
                      <w:szCs w:val="21"/>
                      <w:lang w:val="en-US" w:eastAsia="zh-CN"/>
                    </w:rPr>
                  </w:pPr>
                  <w:r>
                    <w:rPr>
                      <w:rFonts w:hint="eastAsia"/>
                      <w:color w:val="auto"/>
                      <w:spacing w:val="-6"/>
                      <w:szCs w:val="21"/>
                      <w:lang w:val="en-US" w:eastAsia="zh-CN"/>
                    </w:rPr>
                    <w:t>30万套</w:t>
                  </w:r>
                </w:p>
              </w:tc>
              <w:tc>
                <w:tcPr>
                  <w:tcW w:w="1561" w:type="dxa"/>
                  <w:tcBorders>
                    <w:right w:val="single" w:color="auto" w:sz="4" w:space="0"/>
                  </w:tcBorders>
                  <w:vAlign w:val="center"/>
                </w:tcPr>
                <w:p w14:paraId="6B1C684D">
                  <w:pPr>
                    <w:adjustRightInd w:val="0"/>
                    <w:snapToGrid w:val="0"/>
                    <w:jc w:val="center"/>
                    <w:rPr>
                      <w:rFonts w:hint="default"/>
                      <w:color w:val="auto"/>
                      <w:spacing w:val="-6"/>
                      <w:szCs w:val="21"/>
                      <w:lang w:val="en-US" w:eastAsia="zh-CN"/>
                    </w:rPr>
                  </w:pPr>
                  <w:r>
                    <w:rPr>
                      <w:rFonts w:hint="eastAsia"/>
                      <w:color w:val="auto"/>
                      <w:spacing w:val="-6"/>
                      <w:szCs w:val="21"/>
                      <w:lang w:val="en-US" w:eastAsia="zh-CN"/>
                    </w:rPr>
                    <w:t>30万套</w:t>
                  </w:r>
                </w:p>
              </w:tc>
              <w:tc>
                <w:tcPr>
                  <w:tcW w:w="2251" w:type="dxa"/>
                  <w:tcBorders>
                    <w:right w:val="single" w:color="auto" w:sz="4" w:space="0"/>
                  </w:tcBorders>
                  <w:vAlign w:val="center"/>
                </w:tcPr>
                <w:p w14:paraId="6F6CC4C7">
                  <w:pPr>
                    <w:adjustRightInd w:val="0"/>
                    <w:snapToGrid w:val="0"/>
                    <w:jc w:val="center"/>
                    <w:rPr>
                      <w:rFonts w:hint="default"/>
                      <w:color w:val="auto"/>
                      <w:spacing w:val="-6"/>
                      <w:szCs w:val="21"/>
                      <w:lang w:val="en-US" w:eastAsia="zh-CN"/>
                    </w:rPr>
                  </w:pPr>
                  <w:r>
                    <w:rPr>
                      <w:rFonts w:hint="eastAsia"/>
                      <w:color w:val="auto"/>
                      <w:spacing w:val="-6"/>
                      <w:szCs w:val="21"/>
                      <w:lang w:val="en-US" w:eastAsia="zh-CN"/>
                    </w:rPr>
                    <w:t>30万套</w:t>
                  </w:r>
                </w:p>
              </w:tc>
            </w:tr>
          </w:tbl>
          <w:p w14:paraId="05B50CC4">
            <w:pPr>
              <w:pStyle w:val="3"/>
              <w:rPr>
                <w:rFonts w:hAnsi="宋体"/>
                <w:color w:val="auto"/>
              </w:rPr>
            </w:pPr>
          </w:p>
          <w:p w14:paraId="39F5A876">
            <w:pPr>
              <w:pStyle w:val="2"/>
              <w:keepNext w:val="0"/>
              <w:keepLines w:val="0"/>
              <w:pageBreakBefore w:val="0"/>
              <w:widowControl w:val="0"/>
              <w:tabs>
                <w:tab w:val="left" w:pos="394"/>
                <w:tab w:val="left" w:pos="612"/>
                <w:tab w:val="left" w:pos="748"/>
                <w:tab w:val="left" w:pos="840"/>
              </w:tabs>
              <w:kinsoku/>
              <w:wordWrap/>
              <w:overflowPunct/>
              <w:topLinePunct w:val="0"/>
              <w:autoSpaceDE/>
              <w:autoSpaceDN/>
              <w:bidi w:val="0"/>
              <w:adjustRightInd/>
              <w:snapToGrid/>
              <w:spacing w:line="440" w:lineRule="exact"/>
              <w:ind w:firstLine="0" w:firstLineChars="0"/>
              <w:jc w:val="left"/>
              <w:textAlignment w:val="auto"/>
              <w:rPr>
                <w:b/>
                <w:color w:val="auto"/>
                <w:szCs w:val="21"/>
              </w:rPr>
            </w:pPr>
            <w:r>
              <w:rPr>
                <w:rFonts w:hint="eastAsia"/>
                <w:b/>
                <w:color w:val="auto"/>
                <w:sz w:val="24"/>
                <w:lang w:val="en-US" w:eastAsia="zh-CN"/>
              </w:rPr>
              <w:t>2.2.</w:t>
            </w:r>
            <w:r>
              <w:rPr>
                <w:b/>
                <w:color w:val="auto"/>
                <w:sz w:val="24"/>
              </w:rPr>
              <w:t>2</w:t>
            </w:r>
            <w:r>
              <w:rPr>
                <w:rFonts w:hint="eastAsia"/>
                <w:b/>
                <w:color w:val="auto"/>
                <w:sz w:val="24"/>
              </w:rPr>
              <w:t>现有</w:t>
            </w:r>
            <w:r>
              <w:rPr>
                <w:b/>
                <w:color w:val="auto"/>
                <w:sz w:val="24"/>
              </w:rPr>
              <w:t>项目生产设备和主要原辅材料消耗</w:t>
            </w:r>
          </w:p>
          <w:p w14:paraId="6E7DB431">
            <w:pPr>
              <w:spacing w:line="440" w:lineRule="exact"/>
              <w:ind w:firstLine="480"/>
              <w:rPr>
                <w:color w:val="auto"/>
                <w:sz w:val="24"/>
              </w:rPr>
            </w:pPr>
            <w:r>
              <w:rPr>
                <w:rFonts w:hint="eastAsia"/>
                <w:color w:val="auto"/>
                <w:sz w:val="24"/>
              </w:rPr>
              <w:t>现有</w:t>
            </w:r>
            <w:r>
              <w:rPr>
                <w:color w:val="auto"/>
                <w:sz w:val="24"/>
              </w:rPr>
              <w:t>项目主要原辅材料清单见表</w:t>
            </w:r>
            <w:r>
              <w:rPr>
                <w:rFonts w:hint="eastAsia"/>
                <w:color w:val="auto"/>
                <w:sz w:val="24"/>
              </w:rPr>
              <w:t>2</w:t>
            </w:r>
            <w:r>
              <w:rPr>
                <w:color w:val="auto"/>
                <w:sz w:val="24"/>
              </w:rPr>
              <w:t>-</w:t>
            </w:r>
            <w:r>
              <w:rPr>
                <w:rFonts w:hint="eastAsia"/>
                <w:color w:val="auto"/>
                <w:sz w:val="24"/>
                <w:lang w:val="en-US" w:eastAsia="zh-CN"/>
              </w:rPr>
              <w:t>8</w:t>
            </w:r>
            <w:r>
              <w:rPr>
                <w:color w:val="auto"/>
                <w:sz w:val="24"/>
              </w:rPr>
              <w:t>，</w:t>
            </w:r>
            <w:r>
              <w:rPr>
                <w:rFonts w:hint="eastAsia"/>
                <w:color w:val="auto"/>
                <w:sz w:val="24"/>
              </w:rPr>
              <w:t>现有</w:t>
            </w:r>
            <w:r>
              <w:rPr>
                <w:color w:val="auto"/>
                <w:sz w:val="24"/>
              </w:rPr>
              <w:t>项目要生产设备见表</w:t>
            </w:r>
            <w:r>
              <w:rPr>
                <w:rFonts w:hint="eastAsia"/>
                <w:color w:val="auto"/>
                <w:sz w:val="24"/>
              </w:rPr>
              <w:t>2</w:t>
            </w:r>
            <w:r>
              <w:rPr>
                <w:color w:val="auto"/>
                <w:sz w:val="24"/>
              </w:rPr>
              <w:t>-</w:t>
            </w:r>
            <w:r>
              <w:rPr>
                <w:rFonts w:hint="eastAsia"/>
                <w:color w:val="auto"/>
                <w:sz w:val="24"/>
                <w:lang w:val="en-US" w:eastAsia="zh-CN"/>
              </w:rPr>
              <w:t>9</w:t>
            </w:r>
            <w:r>
              <w:rPr>
                <w:color w:val="auto"/>
                <w:sz w:val="24"/>
              </w:rPr>
              <w:t>。</w:t>
            </w:r>
          </w:p>
          <w:p w14:paraId="25778C52">
            <w:pPr>
              <w:spacing w:line="440" w:lineRule="exact"/>
              <w:jc w:val="center"/>
              <w:rPr>
                <w:b/>
                <w:color w:val="auto"/>
                <w:szCs w:val="21"/>
              </w:rPr>
            </w:pPr>
          </w:p>
          <w:p w14:paraId="22F83374">
            <w:pPr>
              <w:spacing w:line="440" w:lineRule="exact"/>
              <w:jc w:val="center"/>
              <w:rPr>
                <w:b/>
                <w:color w:val="auto"/>
                <w:szCs w:val="21"/>
              </w:rPr>
            </w:pPr>
          </w:p>
          <w:p w14:paraId="22297439">
            <w:pPr>
              <w:spacing w:line="440" w:lineRule="exact"/>
              <w:jc w:val="center"/>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8</w:t>
            </w:r>
            <w:r>
              <w:rPr>
                <w:b/>
                <w:color w:val="auto"/>
                <w:szCs w:val="21"/>
              </w:rPr>
              <w:t xml:space="preserve">  </w:t>
            </w:r>
            <w:r>
              <w:rPr>
                <w:rFonts w:hint="eastAsia"/>
                <w:b/>
                <w:color w:val="auto"/>
                <w:szCs w:val="21"/>
              </w:rPr>
              <w:t>现有项目</w:t>
            </w:r>
            <w:r>
              <w:rPr>
                <w:b/>
                <w:color w:val="auto"/>
                <w:szCs w:val="21"/>
              </w:rPr>
              <w:t>主要原辅材料和能源消耗量统计表</w:t>
            </w:r>
          </w:p>
          <w:tbl>
            <w:tblPr>
              <w:tblStyle w:val="3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2296"/>
              <w:gridCol w:w="1062"/>
              <w:gridCol w:w="1395"/>
              <w:gridCol w:w="1904"/>
              <w:gridCol w:w="867"/>
            </w:tblGrid>
            <w:tr w14:paraId="299D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7440E291">
                  <w:pPr>
                    <w:jc w:val="center"/>
                    <w:rPr>
                      <w:b/>
                      <w:color w:val="auto"/>
                      <w:szCs w:val="21"/>
                    </w:rPr>
                  </w:pPr>
                  <w:r>
                    <w:rPr>
                      <w:b/>
                      <w:color w:val="auto"/>
                      <w:szCs w:val="21"/>
                    </w:rPr>
                    <w:t>序号</w:t>
                  </w:r>
                </w:p>
              </w:tc>
              <w:tc>
                <w:tcPr>
                  <w:tcW w:w="2296" w:type="dxa"/>
                  <w:vAlign w:val="center"/>
                </w:tcPr>
                <w:p w14:paraId="6E6BC1A0">
                  <w:pPr>
                    <w:jc w:val="center"/>
                    <w:rPr>
                      <w:b/>
                      <w:color w:val="auto"/>
                      <w:szCs w:val="21"/>
                    </w:rPr>
                  </w:pPr>
                  <w:r>
                    <w:rPr>
                      <w:b/>
                      <w:color w:val="auto"/>
                      <w:szCs w:val="21"/>
                    </w:rPr>
                    <w:t>原材料</w:t>
                  </w:r>
                </w:p>
              </w:tc>
              <w:tc>
                <w:tcPr>
                  <w:tcW w:w="1062" w:type="dxa"/>
                  <w:vAlign w:val="center"/>
                </w:tcPr>
                <w:p w14:paraId="5BDAE431">
                  <w:pPr>
                    <w:jc w:val="center"/>
                    <w:rPr>
                      <w:b/>
                      <w:color w:val="auto"/>
                      <w:szCs w:val="21"/>
                    </w:rPr>
                  </w:pPr>
                  <w:r>
                    <w:rPr>
                      <w:b/>
                      <w:color w:val="auto"/>
                      <w:szCs w:val="21"/>
                    </w:rPr>
                    <w:t>单位</w:t>
                  </w:r>
                </w:p>
              </w:tc>
              <w:tc>
                <w:tcPr>
                  <w:tcW w:w="1395" w:type="dxa"/>
                  <w:vAlign w:val="center"/>
                </w:tcPr>
                <w:p w14:paraId="4C046661">
                  <w:pPr>
                    <w:jc w:val="center"/>
                    <w:rPr>
                      <w:b/>
                      <w:color w:val="auto"/>
                      <w:szCs w:val="21"/>
                    </w:rPr>
                  </w:pPr>
                  <w:r>
                    <w:rPr>
                      <w:rFonts w:hint="eastAsia"/>
                      <w:b/>
                      <w:color w:val="auto"/>
                      <w:szCs w:val="21"/>
                    </w:rPr>
                    <w:t>现有</w:t>
                  </w:r>
                  <w:r>
                    <w:rPr>
                      <w:b/>
                      <w:color w:val="auto"/>
                      <w:szCs w:val="21"/>
                    </w:rPr>
                    <w:t>项目</w:t>
                  </w:r>
                </w:p>
                <w:p w14:paraId="4B30B1D8">
                  <w:pPr>
                    <w:jc w:val="center"/>
                    <w:rPr>
                      <w:rFonts w:hint="eastAsia" w:eastAsia="宋体"/>
                      <w:b/>
                      <w:color w:val="auto"/>
                      <w:szCs w:val="21"/>
                      <w:lang w:eastAsia="zh-CN"/>
                    </w:rPr>
                  </w:pPr>
                  <w:r>
                    <w:rPr>
                      <w:rFonts w:hint="eastAsia"/>
                      <w:b/>
                      <w:color w:val="auto"/>
                      <w:szCs w:val="21"/>
                      <w:lang w:eastAsia="zh-CN"/>
                    </w:rPr>
                    <w:t>环评审批量</w:t>
                  </w:r>
                </w:p>
              </w:tc>
              <w:tc>
                <w:tcPr>
                  <w:tcW w:w="1904" w:type="dxa"/>
                  <w:vAlign w:val="center"/>
                </w:tcPr>
                <w:p w14:paraId="56E7BAA5">
                  <w:pPr>
                    <w:jc w:val="center"/>
                    <w:rPr>
                      <w:b/>
                      <w:color w:val="auto"/>
                      <w:szCs w:val="21"/>
                    </w:rPr>
                  </w:pPr>
                  <w:r>
                    <w:rPr>
                      <w:rFonts w:hint="eastAsia"/>
                      <w:b/>
                      <w:color w:val="auto"/>
                      <w:szCs w:val="21"/>
                      <w:lang w:val="en-US" w:eastAsia="zh-CN"/>
                    </w:rPr>
                    <w:t>2022年</w:t>
                  </w:r>
                  <w:r>
                    <w:rPr>
                      <w:rFonts w:hint="eastAsia"/>
                      <w:b/>
                      <w:color w:val="auto"/>
                      <w:szCs w:val="21"/>
                    </w:rPr>
                    <w:t>达产</w:t>
                  </w:r>
                </w:p>
                <w:p w14:paraId="2DFD6395">
                  <w:pPr>
                    <w:jc w:val="center"/>
                    <w:rPr>
                      <w:b/>
                      <w:color w:val="auto"/>
                      <w:szCs w:val="21"/>
                    </w:rPr>
                  </w:pPr>
                  <w:r>
                    <w:rPr>
                      <w:rFonts w:hint="eastAsia"/>
                      <w:b/>
                      <w:color w:val="auto"/>
                      <w:szCs w:val="21"/>
                    </w:rPr>
                    <w:t>统计</w:t>
                  </w:r>
                  <w:r>
                    <w:rPr>
                      <w:b/>
                      <w:color w:val="auto"/>
                      <w:szCs w:val="21"/>
                    </w:rPr>
                    <w:t>消耗量</w:t>
                  </w:r>
                </w:p>
              </w:tc>
              <w:tc>
                <w:tcPr>
                  <w:tcW w:w="867" w:type="dxa"/>
                  <w:vAlign w:val="center"/>
                </w:tcPr>
                <w:p w14:paraId="76D0D598">
                  <w:pPr>
                    <w:jc w:val="center"/>
                    <w:rPr>
                      <w:b/>
                      <w:color w:val="auto"/>
                      <w:szCs w:val="21"/>
                    </w:rPr>
                  </w:pPr>
                  <w:r>
                    <w:rPr>
                      <w:rFonts w:hint="eastAsia"/>
                      <w:b/>
                      <w:color w:val="auto"/>
                      <w:szCs w:val="21"/>
                    </w:rPr>
                    <w:t>备注</w:t>
                  </w:r>
                </w:p>
              </w:tc>
            </w:tr>
            <w:tr w14:paraId="2C67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391C67D2">
                  <w:pPr>
                    <w:jc w:val="center"/>
                    <w:rPr>
                      <w:b/>
                      <w:color w:val="auto"/>
                      <w:szCs w:val="21"/>
                    </w:rPr>
                  </w:pPr>
                  <w:r>
                    <w:rPr>
                      <w:color w:val="auto"/>
                      <w:szCs w:val="21"/>
                    </w:rPr>
                    <w:t>1</w:t>
                  </w:r>
                </w:p>
              </w:tc>
              <w:tc>
                <w:tcPr>
                  <w:tcW w:w="2296" w:type="dxa"/>
                  <w:vAlign w:val="center"/>
                </w:tcPr>
                <w:p w14:paraId="60B012F0">
                  <w:pPr>
                    <w:jc w:val="center"/>
                    <w:rPr>
                      <w:snapToGrid w:val="0"/>
                      <w:color w:val="auto"/>
                      <w:szCs w:val="21"/>
                    </w:rPr>
                  </w:pPr>
                  <w:r>
                    <w:rPr>
                      <w:rFonts w:ascii="Times New Roman" w:hAnsi="Times New Roman" w:eastAsiaTheme="minorEastAsia"/>
                      <w:sz w:val="21"/>
                      <w:szCs w:val="21"/>
                    </w:rPr>
                    <w:t>PP</w:t>
                  </w:r>
                </w:p>
              </w:tc>
              <w:tc>
                <w:tcPr>
                  <w:tcW w:w="1062" w:type="dxa"/>
                  <w:vAlign w:val="center"/>
                </w:tcPr>
                <w:p w14:paraId="7C8847C6">
                  <w:pPr>
                    <w:jc w:val="center"/>
                    <w:rPr>
                      <w:b/>
                      <w:color w:val="auto"/>
                      <w:szCs w:val="21"/>
                    </w:rPr>
                  </w:pPr>
                  <w:r>
                    <w:rPr>
                      <w:rFonts w:ascii="Times New Roman" w:hAnsi="Times New Roman" w:eastAsiaTheme="minorEastAsia"/>
                      <w:sz w:val="21"/>
                      <w:szCs w:val="21"/>
                    </w:rPr>
                    <w:t>t/a</w:t>
                  </w:r>
                </w:p>
              </w:tc>
              <w:tc>
                <w:tcPr>
                  <w:tcW w:w="1395" w:type="dxa"/>
                  <w:vAlign w:val="center"/>
                </w:tcPr>
                <w:p w14:paraId="7E8A9B09">
                  <w:pPr>
                    <w:jc w:val="center"/>
                    <w:rPr>
                      <w:color w:val="auto"/>
                      <w:szCs w:val="21"/>
                    </w:rPr>
                  </w:pPr>
                  <w:r>
                    <w:rPr>
                      <w:rFonts w:ascii="Times New Roman" w:hAnsi="Times New Roman"/>
                      <w:sz w:val="21"/>
                      <w:szCs w:val="21"/>
                    </w:rPr>
                    <w:t>200</w:t>
                  </w:r>
                </w:p>
              </w:tc>
              <w:tc>
                <w:tcPr>
                  <w:tcW w:w="1904" w:type="dxa"/>
                  <w:vAlign w:val="center"/>
                </w:tcPr>
                <w:p w14:paraId="4D7E7773">
                  <w:pPr>
                    <w:jc w:val="center"/>
                    <w:rPr>
                      <w:rFonts w:hint="default"/>
                      <w:color w:val="auto"/>
                      <w:szCs w:val="21"/>
                      <w:lang w:val="en-US"/>
                    </w:rPr>
                  </w:pPr>
                  <w:r>
                    <w:rPr>
                      <w:rFonts w:hint="eastAsia"/>
                      <w:color w:val="auto"/>
                      <w:szCs w:val="21"/>
                      <w:lang w:val="en-US" w:eastAsia="zh-CN"/>
                    </w:rPr>
                    <w:t>201</w:t>
                  </w:r>
                </w:p>
              </w:tc>
              <w:tc>
                <w:tcPr>
                  <w:tcW w:w="867" w:type="dxa"/>
                  <w:vMerge w:val="restart"/>
                  <w:vAlign w:val="center"/>
                </w:tcPr>
                <w:p w14:paraId="2EB367F2">
                  <w:pPr>
                    <w:jc w:val="center"/>
                    <w:rPr>
                      <w:rFonts w:hint="eastAsia" w:eastAsia="宋体"/>
                      <w:color w:val="auto"/>
                      <w:szCs w:val="20"/>
                      <w:lang w:eastAsia="zh-CN"/>
                    </w:rPr>
                  </w:pPr>
                  <w:r>
                    <w:rPr>
                      <w:rFonts w:hint="eastAsia"/>
                      <w:color w:val="auto"/>
                      <w:szCs w:val="21"/>
                      <w:lang w:eastAsia="zh-CN"/>
                    </w:rPr>
                    <w:t>生产原辅材料</w:t>
                  </w:r>
                </w:p>
              </w:tc>
            </w:tr>
            <w:tr w14:paraId="206A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38C85D3A">
                  <w:pPr>
                    <w:jc w:val="center"/>
                    <w:rPr>
                      <w:color w:val="auto"/>
                      <w:szCs w:val="21"/>
                    </w:rPr>
                  </w:pPr>
                  <w:r>
                    <w:rPr>
                      <w:color w:val="auto"/>
                      <w:szCs w:val="21"/>
                    </w:rPr>
                    <w:t>2</w:t>
                  </w:r>
                </w:p>
              </w:tc>
              <w:tc>
                <w:tcPr>
                  <w:tcW w:w="2296" w:type="dxa"/>
                  <w:vAlign w:val="center"/>
                </w:tcPr>
                <w:p w14:paraId="0340E3E0">
                  <w:pPr>
                    <w:jc w:val="center"/>
                    <w:rPr>
                      <w:color w:val="auto"/>
                      <w:szCs w:val="21"/>
                    </w:rPr>
                  </w:pPr>
                  <w:r>
                    <w:rPr>
                      <w:rFonts w:ascii="Times New Roman" w:hAnsi="Times New Roman" w:eastAsiaTheme="minorEastAsia"/>
                      <w:sz w:val="21"/>
                      <w:szCs w:val="21"/>
                    </w:rPr>
                    <w:t>ABS</w:t>
                  </w:r>
                </w:p>
              </w:tc>
              <w:tc>
                <w:tcPr>
                  <w:tcW w:w="1062" w:type="dxa"/>
                  <w:vAlign w:val="center"/>
                </w:tcPr>
                <w:p w14:paraId="056BA543">
                  <w:pPr>
                    <w:jc w:val="center"/>
                    <w:rPr>
                      <w:color w:val="auto"/>
                      <w:szCs w:val="21"/>
                    </w:rPr>
                  </w:pPr>
                  <w:r>
                    <w:rPr>
                      <w:rFonts w:ascii="Times New Roman" w:hAnsi="Times New Roman" w:eastAsiaTheme="minorEastAsia"/>
                      <w:sz w:val="21"/>
                      <w:szCs w:val="21"/>
                    </w:rPr>
                    <w:t>t/a</w:t>
                  </w:r>
                </w:p>
              </w:tc>
              <w:tc>
                <w:tcPr>
                  <w:tcW w:w="1395" w:type="dxa"/>
                  <w:vAlign w:val="center"/>
                </w:tcPr>
                <w:p w14:paraId="493C50C4">
                  <w:pPr>
                    <w:jc w:val="center"/>
                    <w:rPr>
                      <w:rFonts w:hint="default" w:eastAsia="宋体"/>
                      <w:color w:val="auto"/>
                      <w:szCs w:val="21"/>
                      <w:lang w:val="en-US" w:eastAsia="zh-CN"/>
                    </w:rPr>
                  </w:pPr>
                  <w:r>
                    <w:rPr>
                      <w:rFonts w:ascii="Times New Roman" w:hAnsi="Times New Roman"/>
                      <w:sz w:val="21"/>
                      <w:szCs w:val="21"/>
                    </w:rPr>
                    <w:t>200</w:t>
                  </w:r>
                </w:p>
              </w:tc>
              <w:tc>
                <w:tcPr>
                  <w:tcW w:w="1904" w:type="dxa"/>
                  <w:vAlign w:val="center"/>
                </w:tcPr>
                <w:p w14:paraId="544A7600">
                  <w:pPr>
                    <w:jc w:val="center"/>
                    <w:rPr>
                      <w:rFonts w:hint="default" w:eastAsia="宋体"/>
                      <w:color w:val="auto"/>
                      <w:szCs w:val="21"/>
                      <w:lang w:val="en-US" w:eastAsia="zh-CN"/>
                    </w:rPr>
                  </w:pPr>
                  <w:r>
                    <w:rPr>
                      <w:rFonts w:hint="eastAsia"/>
                      <w:color w:val="auto"/>
                      <w:szCs w:val="21"/>
                      <w:lang w:val="en-US" w:eastAsia="zh-CN"/>
                    </w:rPr>
                    <w:t>200.5</w:t>
                  </w:r>
                </w:p>
              </w:tc>
              <w:tc>
                <w:tcPr>
                  <w:tcW w:w="867" w:type="dxa"/>
                  <w:vMerge w:val="continue"/>
                  <w:vAlign w:val="center"/>
                </w:tcPr>
                <w:p w14:paraId="69D3A144">
                  <w:pPr>
                    <w:jc w:val="center"/>
                    <w:rPr>
                      <w:color w:val="auto"/>
                      <w:szCs w:val="21"/>
                    </w:rPr>
                  </w:pPr>
                </w:p>
              </w:tc>
            </w:tr>
            <w:tr w14:paraId="507D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487AC858">
                  <w:pPr>
                    <w:jc w:val="center"/>
                    <w:rPr>
                      <w:color w:val="auto"/>
                      <w:szCs w:val="21"/>
                    </w:rPr>
                  </w:pPr>
                  <w:r>
                    <w:rPr>
                      <w:rFonts w:hint="eastAsia"/>
                      <w:color w:val="auto"/>
                      <w:szCs w:val="21"/>
                    </w:rPr>
                    <w:t>3</w:t>
                  </w:r>
                </w:p>
              </w:tc>
              <w:tc>
                <w:tcPr>
                  <w:tcW w:w="2296" w:type="dxa"/>
                  <w:vAlign w:val="center"/>
                </w:tcPr>
                <w:p w14:paraId="2CE7F26A">
                  <w:pPr>
                    <w:jc w:val="center"/>
                    <w:rPr>
                      <w:color w:val="auto"/>
                      <w:szCs w:val="21"/>
                    </w:rPr>
                  </w:pPr>
                  <w:r>
                    <w:rPr>
                      <w:rFonts w:ascii="Times New Roman" w:hAnsi="Times New Roman" w:eastAsiaTheme="minorEastAsia"/>
                      <w:sz w:val="21"/>
                      <w:szCs w:val="21"/>
                    </w:rPr>
                    <w:t>色母粒</w:t>
                  </w:r>
                </w:p>
              </w:tc>
              <w:tc>
                <w:tcPr>
                  <w:tcW w:w="1062" w:type="dxa"/>
                  <w:vAlign w:val="center"/>
                </w:tcPr>
                <w:p w14:paraId="0F9E1FB7">
                  <w:pPr>
                    <w:jc w:val="center"/>
                    <w:rPr>
                      <w:color w:val="auto"/>
                      <w:szCs w:val="21"/>
                    </w:rPr>
                  </w:pPr>
                  <w:r>
                    <w:rPr>
                      <w:rFonts w:ascii="Times New Roman" w:hAnsi="Times New Roman" w:eastAsiaTheme="minorEastAsia"/>
                      <w:sz w:val="21"/>
                      <w:szCs w:val="21"/>
                    </w:rPr>
                    <w:t>t/a</w:t>
                  </w:r>
                </w:p>
              </w:tc>
              <w:tc>
                <w:tcPr>
                  <w:tcW w:w="1395" w:type="dxa"/>
                  <w:vAlign w:val="center"/>
                </w:tcPr>
                <w:p w14:paraId="3D662506">
                  <w:pPr>
                    <w:jc w:val="center"/>
                    <w:rPr>
                      <w:color w:val="auto"/>
                      <w:szCs w:val="21"/>
                    </w:rPr>
                  </w:pPr>
                  <w:r>
                    <w:rPr>
                      <w:rFonts w:ascii="Times New Roman" w:hAnsi="Times New Roman"/>
                      <w:sz w:val="21"/>
                      <w:szCs w:val="21"/>
                    </w:rPr>
                    <w:t>4</w:t>
                  </w:r>
                </w:p>
              </w:tc>
              <w:tc>
                <w:tcPr>
                  <w:tcW w:w="1904" w:type="dxa"/>
                  <w:vAlign w:val="center"/>
                </w:tcPr>
                <w:p w14:paraId="0CBD207A">
                  <w:pPr>
                    <w:jc w:val="center"/>
                    <w:rPr>
                      <w:rFonts w:hint="default"/>
                      <w:color w:val="auto"/>
                      <w:szCs w:val="21"/>
                      <w:lang w:val="en-US"/>
                    </w:rPr>
                  </w:pPr>
                  <w:r>
                    <w:rPr>
                      <w:rFonts w:hint="eastAsia"/>
                      <w:color w:val="auto"/>
                      <w:szCs w:val="21"/>
                      <w:lang w:val="en-US" w:eastAsia="zh-CN"/>
                    </w:rPr>
                    <w:t>3.9</w:t>
                  </w:r>
                </w:p>
              </w:tc>
              <w:tc>
                <w:tcPr>
                  <w:tcW w:w="867" w:type="dxa"/>
                  <w:vMerge w:val="continue"/>
                  <w:vAlign w:val="center"/>
                </w:tcPr>
                <w:p w14:paraId="4610E643">
                  <w:pPr>
                    <w:jc w:val="center"/>
                    <w:rPr>
                      <w:color w:val="auto"/>
                      <w:szCs w:val="21"/>
                    </w:rPr>
                  </w:pPr>
                </w:p>
              </w:tc>
            </w:tr>
            <w:tr w14:paraId="24CC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0851BE0C">
                  <w:pPr>
                    <w:jc w:val="center"/>
                    <w:rPr>
                      <w:b/>
                      <w:color w:val="auto"/>
                      <w:szCs w:val="21"/>
                    </w:rPr>
                  </w:pPr>
                  <w:r>
                    <w:rPr>
                      <w:rFonts w:hint="eastAsia"/>
                      <w:color w:val="auto"/>
                      <w:szCs w:val="21"/>
                    </w:rPr>
                    <w:t>4</w:t>
                  </w:r>
                </w:p>
              </w:tc>
              <w:tc>
                <w:tcPr>
                  <w:tcW w:w="2296" w:type="dxa"/>
                  <w:vAlign w:val="center"/>
                </w:tcPr>
                <w:p w14:paraId="4B47E389">
                  <w:pPr>
                    <w:jc w:val="center"/>
                    <w:rPr>
                      <w:color w:val="auto"/>
                      <w:szCs w:val="21"/>
                    </w:rPr>
                  </w:pPr>
                  <w:r>
                    <w:rPr>
                      <w:rFonts w:ascii="Times New Roman" w:hAnsi="Times New Roman" w:eastAsiaTheme="minorEastAsia"/>
                      <w:sz w:val="21"/>
                      <w:szCs w:val="21"/>
                    </w:rPr>
                    <w:t>各类钢材</w:t>
                  </w:r>
                </w:p>
              </w:tc>
              <w:tc>
                <w:tcPr>
                  <w:tcW w:w="1062" w:type="dxa"/>
                  <w:vAlign w:val="center"/>
                </w:tcPr>
                <w:p w14:paraId="2EAC4C3B">
                  <w:pPr>
                    <w:jc w:val="center"/>
                    <w:rPr>
                      <w:color w:val="auto"/>
                      <w:szCs w:val="21"/>
                    </w:rPr>
                  </w:pPr>
                  <w:r>
                    <w:rPr>
                      <w:rFonts w:ascii="Times New Roman" w:hAnsi="Times New Roman" w:eastAsiaTheme="minorEastAsia"/>
                      <w:sz w:val="21"/>
                      <w:szCs w:val="21"/>
                    </w:rPr>
                    <w:t>t/a</w:t>
                  </w:r>
                </w:p>
              </w:tc>
              <w:tc>
                <w:tcPr>
                  <w:tcW w:w="1395" w:type="dxa"/>
                  <w:vAlign w:val="center"/>
                </w:tcPr>
                <w:p w14:paraId="6633E828">
                  <w:pPr>
                    <w:jc w:val="center"/>
                    <w:rPr>
                      <w:color w:val="auto"/>
                      <w:szCs w:val="21"/>
                    </w:rPr>
                  </w:pPr>
                  <w:r>
                    <w:rPr>
                      <w:rFonts w:ascii="Times New Roman" w:hAnsi="Times New Roman"/>
                      <w:sz w:val="21"/>
                      <w:szCs w:val="21"/>
                    </w:rPr>
                    <w:t>500</w:t>
                  </w:r>
                </w:p>
              </w:tc>
              <w:tc>
                <w:tcPr>
                  <w:tcW w:w="1904" w:type="dxa"/>
                  <w:vAlign w:val="center"/>
                </w:tcPr>
                <w:p w14:paraId="3E426058">
                  <w:pPr>
                    <w:jc w:val="center"/>
                    <w:rPr>
                      <w:rFonts w:hint="default"/>
                      <w:color w:val="auto"/>
                      <w:szCs w:val="21"/>
                      <w:lang w:val="en-US"/>
                    </w:rPr>
                  </w:pPr>
                  <w:r>
                    <w:rPr>
                      <w:rFonts w:hint="eastAsia"/>
                      <w:color w:val="auto"/>
                      <w:szCs w:val="21"/>
                      <w:lang w:val="en-US" w:eastAsia="zh-CN"/>
                    </w:rPr>
                    <w:t>499.5</w:t>
                  </w:r>
                </w:p>
              </w:tc>
              <w:tc>
                <w:tcPr>
                  <w:tcW w:w="867" w:type="dxa"/>
                  <w:vMerge w:val="continue"/>
                  <w:vAlign w:val="center"/>
                </w:tcPr>
                <w:p w14:paraId="5CCD9743">
                  <w:pPr>
                    <w:jc w:val="center"/>
                    <w:rPr>
                      <w:color w:val="auto"/>
                      <w:szCs w:val="21"/>
                    </w:rPr>
                  </w:pPr>
                </w:p>
              </w:tc>
            </w:tr>
            <w:tr w14:paraId="5A7B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205A35BC">
                  <w:pPr>
                    <w:jc w:val="center"/>
                    <w:rPr>
                      <w:b/>
                      <w:color w:val="auto"/>
                      <w:szCs w:val="21"/>
                    </w:rPr>
                  </w:pPr>
                  <w:r>
                    <w:rPr>
                      <w:rFonts w:hint="eastAsia"/>
                      <w:color w:val="auto"/>
                      <w:szCs w:val="21"/>
                    </w:rPr>
                    <w:t>5</w:t>
                  </w:r>
                </w:p>
              </w:tc>
              <w:tc>
                <w:tcPr>
                  <w:tcW w:w="2296" w:type="dxa"/>
                  <w:vAlign w:val="center"/>
                </w:tcPr>
                <w:p w14:paraId="41D2BFE1">
                  <w:pPr>
                    <w:jc w:val="center"/>
                    <w:rPr>
                      <w:color w:val="auto"/>
                      <w:szCs w:val="21"/>
                    </w:rPr>
                  </w:pPr>
                  <w:r>
                    <w:rPr>
                      <w:rFonts w:ascii="Times New Roman" w:hAnsi="Times New Roman" w:eastAsiaTheme="minorEastAsia"/>
                      <w:sz w:val="21"/>
                      <w:szCs w:val="21"/>
                    </w:rPr>
                    <w:t>CO</w:t>
                  </w:r>
                  <w:r>
                    <w:rPr>
                      <w:rFonts w:ascii="Times New Roman" w:hAnsi="Times New Roman" w:eastAsiaTheme="minorEastAsia"/>
                      <w:sz w:val="21"/>
                      <w:szCs w:val="21"/>
                      <w:vertAlign w:val="subscript"/>
                    </w:rPr>
                    <w:t>2</w:t>
                  </w:r>
                </w:p>
              </w:tc>
              <w:tc>
                <w:tcPr>
                  <w:tcW w:w="1062" w:type="dxa"/>
                  <w:vAlign w:val="center"/>
                </w:tcPr>
                <w:p w14:paraId="115E302A">
                  <w:pPr>
                    <w:jc w:val="center"/>
                    <w:rPr>
                      <w:color w:val="auto"/>
                      <w:szCs w:val="21"/>
                    </w:rPr>
                  </w:pPr>
                  <w:r>
                    <w:rPr>
                      <w:rFonts w:ascii="Times New Roman" w:hAnsi="Times New Roman" w:eastAsiaTheme="minorEastAsia"/>
                      <w:sz w:val="21"/>
                      <w:szCs w:val="21"/>
                    </w:rPr>
                    <w:t>瓶/a</w:t>
                  </w:r>
                </w:p>
              </w:tc>
              <w:tc>
                <w:tcPr>
                  <w:tcW w:w="1395" w:type="dxa"/>
                  <w:vAlign w:val="center"/>
                </w:tcPr>
                <w:p w14:paraId="7667CD04">
                  <w:pPr>
                    <w:jc w:val="center"/>
                    <w:rPr>
                      <w:rFonts w:hint="default" w:eastAsia="宋体"/>
                      <w:color w:val="auto"/>
                      <w:szCs w:val="21"/>
                      <w:lang w:val="en-US" w:eastAsia="zh-CN"/>
                    </w:rPr>
                  </w:pPr>
                  <w:r>
                    <w:rPr>
                      <w:rFonts w:ascii="Times New Roman" w:hAnsi="Times New Roman"/>
                      <w:sz w:val="21"/>
                      <w:szCs w:val="21"/>
                    </w:rPr>
                    <w:t>200</w:t>
                  </w:r>
                </w:p>
              </w:tc>
              <w:tc>
                <w:tcPr>
                  <w:tcW w:w="1904" w:type="dxa"/>
                  <w:vAlign w:val="center"/>
                </w:tcPr>
                <w:p w14:paraId="67794154">
                  <w:pPr>
                    <w:jc w:val="center"/>
                    <w:rPr>
                      <w:rFonts w:hint="default" w:eastAsia="宋体"/>
                      <w:color w:val="auto"/>
                      <w:szCs w:val="21"/>
                      <w:lang w:val="en-US" w:eastAsia="zh-CN"/>
                    </w:rPr>
                  </w:pPr>
                  <w:r>
                    <w:rPr>
                      <w:rFonts w:hint="eastAsia"/>
                      <w:color w:val="auto"/>
                      <w:szCs w:val="21"/>
                      <w:lang w:val="en-US" w:eastAsia="zh-CN"/>
                    </w:rPr>
                    <w:t>199</w:t>
                  </w:r>
                </w:p>
              </w:tc>
              <w:tc>
                <w:tcPr>
                  <w:tcW w:w="867" w:type="dxa"/>
                  <w:vMerge w:val="continue"/>
                  <w:vAlign w:val="center"/>
                </w:tcPr>
                <w:p w14:paraId="52C95090">
                  <w:pPr>
                    <w:jc w:val="center"/>
                    <w:rPr>
                      <w:color w:val="auto"/>
                      <w:szCs w:val="21"/>
                    </w:rPr>
                  </w:pPr>
                </w:p>
              </w:tc>
            </w:tr>
            <w:tr w14:paraId="0D28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77615FF9">
                  <w:pPr>
                    <w:jc w:val="center"/>
                    <w:rPr>
                      <w:rFonts w:hint="eastAsia" w:eastAsia="宋体"/>
                      <w:color w:val="auto"/>
                      <w:szCs w:val="21"/>
                      <w:lang w:eastAsia="zh-CN"/>
                    </w:rPr>
                  </w:pPr>
                  <w:r>
                    <w:rPr>
                      <w:rFonts w:hint="eastAsia"/>
                      <w:color w:val="auto"/>
                      <w:szCs w:val="21"/>
                      <w:lang w:val="en-US" w:eastAsia="zh-CN"/>
                    </w:rPr>
                    <w:t>6</w:t>
                  </w:r>
                </w:p>
              </w:tc>
              <w:tc>
                <w:tcPr>
                  <w:tcW w:w="2296" w:type="dxa"/>
                  <w:vAlign w:val="center"/>
                </w:tcPr>
                <w:p w14:paraId="049C186C">
                  <w:pPr>
                    <w:jc w:val="center"/>
                    <w:rPr>
                      <w:snapToGrid w:val="0"/>
                      <w:color w:val="auto"/>
                      <w:szCs w:val="21"/>
                    </w:rPr>
                  </w:pPr>
                  <w:r>
                    <w:rPr>
                      <w:rFonts w:ascii="Times New Roman" w:hAnsi="Times New Roman" w:eastAsiaTheme="minorEastAsia"/>
                      <w:sz w:val="21"/>
                      <w:szCs w:val="21"/>
                    </w:rPr>
                    <w:t>焊丝</w:t>
                  </w:r>
                </w:p>
              </w:tc>
              <w:tc>
                <w:tcPr>
                  <w:tcW w:w="1062" w:type="dxa"/>
                  <w:vAlign w:val="center"/>
                </w:tcPr>
                <w:p w14:paraId="1A9FD29F">
                  <w:pPr>
                    <w:jc w:val="center"/>
                    <w:rPr>
                      <w:color w:val="auto"/>
                      <w:szCs w:val="21"/>
                    </w:rPr>
                  </w:pPr>
                  <w:r>
                    <w:rPr>
                      <w:rFonts w:ascii="Times New Roman" w:hAnsi="Times New Roman" w:eastAsiaTheme="minorEastAsia"/>
                      <w:sz w:val="21"/>
                      <w:szCs w:val="21"/>
                    </w:rPr>
                    <w:t>t/a</w:t>
                  </w:r>
                </w:p>
              </w:tc>
              <w:tc>
                <w:tcPr>
                  <w:tcW w:w="1395" w:type="dxa"/>
                  <w:vAlign w:val="center"/>
                </w:tcPr>
                <w:p w14:paraId="5769A915">
                  <w:pPr>
                    <w:jc w:val="center"/>
                    <w:rPr>
                      <w:rFonts w:hint="default" w:eastAsia="宋体"/>
                      <w:color w:val="auto"/>
                      <w:szCs w:val="21"/>
                      <w:lang w:val="en-US" w:eastAsia="zh-CN"/>
                    </w:rPr>
                  </w:pPr>
                  <w:r>
                    <w:rPr>
                      <w:rFonts w:ascii="Times New Roman" w:hAnsi="Times New Roman"/>
                      <w:sz w:val="21"/>
                      <w:szCs w:val="21"/>
                    </w:rPr>
                    <w:t>2</w:t>
                  </w:r>
                </w:p>
              </w:tc>
              <w:tc>
                <w:tcPr>
                  <w:tcW w:w="1904" w:type="dxa"/>
                  <w:vAlign w:val="center"/>
                </w:tcPr>
                <w:p w14:paraId="5B8858BF">
                  <w:pPr>
                    <w:jc w:val="center"/>
                    <w:rPr>
                      <w:rFonts w:hint="default" w:eastAsia="宋体"/>
                      <w:color w:val="auto"/>
                      <w:szCs w:val="21"/>
                      <w:lang w:val="en-US" w:eastAsia="zh-CN"/>
                    </w:rPr>
                  </w:pPr>
                  <w:r>
                    <w:rPr>
                      <w:rFonts w:hint="eastAsia"/>
                      <w:color w:val="auto"/>
                      <w:szCs w:val="21"/>
                      <w:lang w:val="en-US" w:eastAsia="zh-CN"/>
                    </w:rPr>
                    <w:t>1.98</w:t>
                  </w:r>
                </w:p>
              </w:tc>
              <w:tc>
                <w:tcPr>
                  <w:tcW w:w="867" w:type="dxa"/>
                  <w:vMerge w:val="continue"/>
                  <w:vAlign w:val="center"/>
                </w:tcPr>
                <w:p w14:paraId="3B5FBF42">
                  <w:pPr>
                    <w:jc w:val="center"/>
                    <w:rPr>
                      <w:color w:val="auto"/>
                      <w:szCs w:val="21"/>
                    </w:rPr>
                  </w:pPr>
                </w:p>
              </w:tc>
            </w:tr>
            <w:tr w14:paraId="3E59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339FE42F">
                  <w:pPr>
                    <w:jc w:val="center"/>
                    <w:rPr>
                      <w:rFonts w:hint="eastAsia"/>
                      <w:color w:val="auto"/>
                      <w:szCs w:val="21"/>
                      <w:lang w:val="en-US" w:eastAsia="zh-CN"/>
                    </w:rPr>
                  </w:pPr>
                  <w:r>
                    <w:rPr>
                      <w:rFonts w:hint="eastAsia"/>
                      <w:color w:val="auto"/>
                      <w:szCs w:val="21"/>
                      <w:lang w:val="en-US" w:eastAsia="zh-CN"/>
                    </w:rPr>
                    <w:t>7</w:t>
                  </w:r>
                </w:p>
              </w:tc>
              <w:tc>
                <w:tcPr>
                  <w:tcW w:w="2296" w:type="dxa"/>
                  <w:vAlign w:val="center"/>
                </w:tcPr>
                <w:p w14:paraId="5DED3631">
                  <w:pPr>
                    <w:jc w:val="center"/>
                    <w:rPr>
                      <w:rFonts w:ascii="Times New Roman" w:hAnsi="Times New Roman" w:eastAsiaTheme="minorEastAsia"/>
                      <w:sz w:val="21"/>
                      <w:szCs w:val="21"/>
                    </w:rPr>
                  </w:pPr>
                  <w:r>
                    <w:rPr>
                      <w:rFonts w:ascii="Times New Roman" w:hAnsi="Times New Roman" w:eastAsiaTheme="minorEastAsia"/>
                      <w:sz w:val="21"/>
                      <w:szCs w:val="21"/>
                    </w:rPr>
                    <w:t>乳化液</w:t>
                  </w:r>
                </w:p>
              </w:tc>
              <w:tc>
                <w:tcPr>
                  <w:tcW w:w="1062" w:type="dxa"/>
                  <w:vAlign w:val="center"/>
                </w:tcPr>
                <w:p w14:paraId="5A9C32CB">
                  <w:pPr>
                    <w:jc w:val="center"/>
                    <w:rPr>
                      <w:rFonts w:hint="eastAsia"/>
                      <w:color w:val="auto"/>
                      <w:szCs w:val="21"/>
                      <w:lang w:val="en-US" w:eastAsia="zh-CN"/>
                    </w:rPr>
                  </w:pPr>
                  <w:r>
                    <w:rPr>
                      <w:rFonts w:ascii="Times New Roman" w:hAnsi="Times New Roman" w:eastAsiaTheme="minorEastAsia"/>
                      <w:sz w:val="21"/>
                      <w:szCs w:val="21"/>
                    </w:rPr>
                    <w:t>t/a</w:t>
                  </w:r>
                </w:p>
              </w:tc>
              <w:tc>
                <w:tcPr>
                  <w:tcW w:w="1395" w:type="dxa"/>
                  <w:vAlign w:val="center"/>
                </w:tcPr>
                <w:p w14:paraId="48FF3113">
                  <w:pPr>
                    <w:jc w:val="center"/>
                    <w:rPr>
                      <w:rFonts w:hint="eastAsia" w:hAnsi="宋体" w:eastAsia="宋体"/>
                      <w:color w:val="auto"/>
                      <w:sz w:val="21"/>
                      <w:szCs w:val="21"/>
                      <w:lang w:val="en-US" w:eastAsia="zh-CN"/>
                    </w:rPr>
                  </w:pPr>
                  <w:r>
                    <w:rPr>
                      <w:rFonts w:ascii="Times New Roman" w:hAnsi="Times New Roman"/>
                      <w:sz w:val="21"/>
                      <w:szCs w:val="21"/>
                    </w:rPr>
                    <w:t>0.02</w:t>
                  </w:r>
                </w:p>
              </w:tc>
              <w:tc>
                <w:tcPr>
                  <w:tcW w:w="1904" w:type="dxa"/>
                  <w:vAlign w:val="center"/>
                </w:tcPr>
                <w:p w14:paraId="337BB13B">
                  <w:pPr>
                    <w:jc w:val="center"/>
                    <w:rPr>
                      <w:rFonts w:hint="default"/>
                      <w:color w:val="auto"/>
                      <w:szCs w:val="21"/>
                      <w:lang w:val="en-US" w:eastAsia="zh-CN"/>
                    </w:rPr>
                  </w:pPr>
                  <w:r>
                    <w:rPr>
                      <w:rFonts w:hint="eastAsia"/>
                      <w:color w:val="auto"/>
                      <w:szCs w:val="21"/>
                      <w:lang w:val="en-US" w:eastAsia="zh-CN"/>
                    </w:rPr>
                    <w:t>0.02</w:t>
                  </w:r>
                </w:p>
              </w:tc>
              <w:tc>
                <w:tcPr>
                  <w:tcW w:w="867" w:type="dxa"/>
                  <w:vMerge w:val="continue"/>
                  <w:vAlign w:val="center"/>
                </w:tcPr>
                <w:p w14:paraId="53A13F91">
                  <w:pPr>
                    <w:jc w:val="center"/>
                    <w:rPr>
                      <w:color w:val="auto"/>
                      <w:szCs w:val="21"/>
                    </w:rPr>
                  </w:pPr>
                </w:p>
              </w:tc>
            </w:tr>
            <w:tr w14:paraId="164F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17E253F4">
                  <w:pPr>
                    <w:jc w:val="center"/>
                    <w:rPr>
                      <w:rFonts w:hint="default"/>
                      <w:color w:val="auto"/>
                      <w:szCs w:val="21"/>
                      <w:lang w:val="en-US" w:eastAsia="zh-CN"/>
                    </w:rPr>
                  </w:pPr>
                  <w:r>
                    <w:rPr>
                      <w:rFonts w:hint="eastAsia"/>
                      <w:color w:val="auto"/>
                      <w:szCs w:val="21"/>
                      <w:lang w:val="en-US" w:eastAsia="zh-CN"/>
                    </w:rPr>
                    <w:t>8</w:t>
                  </w:r>
                </w:p>
              </w:tc>
              <w:tc>
                <w:tcPr>
                  <w:tcW w:w="2296" w:type="dxa"/>
                  <w:vAlign w:val="center"/>
                </w:tcPr>
                <w:p w14:paraId="2DE1D5CC">
                  <w:pPr>
                    <w:jc w:val="center"/>
                    <w:rPr>
                      <w:rFonts w:hint="default" w:cs="Times New Roman"/>
                      <w:color w:val="auto"/>
                      <w:szCs w:val="21"/>
                      <w:lang w:val="en-US" w:eastAsia="zh-CN"/>
                    </w:rPr>
                  </w:pPr>
                  <w:r>
                    <w:rPr>
                      <w:rFonts w:hint="eastAsia"/>
                      <w:snapToGrid w:val="0"/>
                      <w:color w:val="auto"/>
                      <w:szCs w:val="21"/>
                    </w:rPr>
                    <w:t>活性炭</w:t>
                  </w:r>
                </w:p>
              </w:tc>
              <w:tc>
                <w:tcPr>
                  <w:tcW w:w="1062" w:type="dxa"/>
                  <w:vAlign w:val="center"/>
                </w:tcPr>
                <w:p w14:paraId="04F0B4ED">
                  <w:pPr>
                    <w:adjustRightInd w:val="0"/>
                    <w:snapToGrid w:val="0"/>
                    <w:jc w:val="center"/>
                    <w:rPr>
                      <w:rFonts w:hint="eastAsia"/>
                      <w:color w:val="auto"/>
                      <w:szCs w:val="21"/>
                    </w:rPr>
                  </w:pPr>
                  <w:r>
                    <w:rPr>
                      <w:color w:val="auto"/>
                      <w:szCs w:val="21"/>
                    </w:rPr>
                    <w:t>t/a</w:t>
                  </w:r>
                </w:p>
              </w:tc>
              <w:tc>
                <w:tcPr>
                  <w:tcW w:w="1395" w:type="dxa"/>
                  <w:vAlign w:val="center"/>
                </w:tcPr>
                <w:p w14:paraId="15C32046">
                  <w:pPr>
                    <w:jc w:val="center"/>
                    <w:rPr>
                      <w:rFonts w:hint="eastAsia"/>
                      <w:color w:val="auto"/>
                      <w:szCs w:val="21"/>
                      <w:lang w:val="en-US" w:eastAsia="zh-CN"/>
                    </w:rPr>
                  </w:pPr>
                  <w:r>
                    <w:rPr>
                      <w:rFonts w:hint="eastAsia"/>
                      <w:color w:val="auto"/>
                      <w:szCs w:val="21"/>
                      <w:lang w:val="en-US" w:eastAsia="zh-CN"/>
                    </w:rPr>
                    <w:t>3</w:t>
                  </w:r>
                </w:p>
              </w:tc>
              <w:tc>
                <w:tcPr>
                  <w:tcW w:w="1904" w:type="dxa"/>
                  <w:vAlign w:val="center"/>
                </w:tcPr>
                <w:p w14:paraId="15A73331">
                  <w:pPr>
                    <w:jc w:val="center"/>
                    <w:rPr>
                      <w:rFonts w:hint="default"/>
                      <w:color w:val="auto"/>
                      <w:szCs w:val="21"/>
                      <w:lang w:val="en-US" w:eastAsia="zh-CN"/>
                    </w:rPr>
                  </w:pPr>
                  <w:r>
                    <w:rPr>
                      <w:rFonts w:hint="eastAsia"/>
                      <w:color w:val="auto"/>
                      <w:szCs w:val="21"/>
                      <w:lang w:val="en-US" w:eastAsia="zh-CN"/>
                    </w:rPr>
                    <w:t>2.8</w:t>
                  </w:r>
                </w:p>
              </w:tc>
              <w:tc>
                <w:tcPr>
                  <w:tcW w:w="867" w:type="dxa"/>
                  <w:vAlign w:val="center"/>
                </w:tcPr>
                <w:p w14:paraId="52DDF97F">
                  <w:pPr>
                    <w:jc w:val="center"/>
                    <w:rPr>
                      <w:rFonts w:hint="default" w:eastAsia="宋体"/>
                      <w:color w:val="auto"/>
                      <w:szCs w:val="21"/>
                      <w:lang w:val="en-US" w:eastAsia="zh-CN"/>
                    </w:rPr>
                  </w:pPr>
                  <w:r>
                    <w:rPr>
                      <w:rFonts w:hint="eastAsia"/>
                      <w:color w:val="auto"/>
                      <w:szCs w:val="21"/>
                      <w:lang w:val="en-US" w:eastAsia="zh-CN"/>
                    </w:rPr>
                    <w:t>废气处理</w:t>
                  </w:r>
                </w:p>
              </w:tc>
            </w:tr>
            <w:tr w14:paraId="44DA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3DB7087A">
                  <w:pPr>
                    <w:jc w:val="center"/>
                    <w:rPr>
                      <w:rFonts w:hint="eastAsia" w:eastAsia="宋体"/>
                      <w:color w:val="auto"/>
                      <w:szCs w:val="21"/>
                      <w:lang w:eastAsia="zh-CN"/>
                    </w:rPr>
                  </w:pPr>
                  <w:r>
                    <w:rPr>
                      <w:rFonts w:hint="eastAsia"/>
                      <w:color w:val="auto"/>
                      <w:szCs w:val="21"/>
                      <w:lang w:val="en-US" w:eastAsia="zh-CN"/>
                    </w:rPr>
                    <w:t>9</w:t>
                  </w:r>
                </w:p>
              </w:tc>
              <w:tc>
                <w:tcPr>
                  <w:tcW w:w="2296" w:type="dxa"/>
                  <w:vAlign w:val="center"/>
                </w:tcPr>
                <w:p w14:paraId="09C8C5F4">
                  <w:pPr>
                    <w:jc w:val="center"/>
                    <w:rPr>
                      <w:snapToGrid w:val="0"/>
                      <w:color w:val="auto"/>
                      <w:szCs w:val="21"/>
                    </w:rPr>
                  </w:pPr>
                  <w:r>
                    <w:rPr>
                      <w:rFonts w:hint="eastAsia"/>
                      <w:color w:val="auto"/>
                      <w:szCs w:val="21"/>
                    </w:rPr>
                    <w:t>水</w:t>
                  </w:r>
                </w:p>
              </w:tc>
              <w:tc>
                <w:tcPr>
                  <w:tcW w:w="1062" w:type="dxa"/>
                  <w:vAlign w:val="center"/>
                </w:tcPr>
                <w:p w14:paraId="608115B1">
                  <w:pPr>
                    <w:jc w:val="center"/>
                    <w:rPr>
                      <w:color w:val="auto"/>
                      <w:szCs w:val="21"/>
                    </w:rPr>
                  </w:pPr>
                  <w:r>
                    <w:rPr>
                      <w:rFonts w:hint="eastAsia"/>
                      <w:color w:val="auto"/>
                      <w:szCs w:val="21"/>
                    </w:rPr>
                    <w:t>t/a</w:t>
                  </w:r>
                </w:p>
              </w:tc>
              <w:tc>
                <w:tcPr>
                  <w:tcW w:w="1395" w:type="dxa"/>
                  <w:vAlign w:val="center"/>
                </w:tcPr>
                <w:p w14:paraId="28D566BD">
                  <w:pPr>
                    <w:jc w:val="center"/>
                    <w:rPr>
                      <w:rFonts w:hint="default" w:eastAsia="宋体"/>
                      <w:color w:val="auto"/>
                      <w:szCs w:val="21"/>
                      <w:lang w:val="en-US" w:eastAsia="zh-CN"/>
                    </w:rPr>
                  </w:pPr>
                  <w:r>
                    <w:rPr>
                      <w:rFonts w:hint="eastAsia" w:hAnsi="宋体"/>
                      <w:color w:val="auto"/>
                      <w:szCs w:val="21"/>
                      <w:lang w:val="en-US" w:eastAsia="zh-CN"/>
                    </w:rPr>
                    <w:t>450</w:t>
                  </w:r>
                </w:p>
              </w:tc>
              <w:tc>
                <w:tcPr>
                  <w:tcW w:w="1904" w:type="dxa"/>
                  <w:vAlign w:val="center"/>
                </w:tcPr>
                <w:p w14:paraId="4E1E44EA">
                  <w:pPr>
                    <w:jc w:val="center"/>
                    <w:rPr>
                      <w:rFonts w:hint="default" w:eastAsia="宋体"/>
                      <w:color w:val="auto"/>
                      <w:szCs w:val="21"/>
                      <w:lang w:val="en-US" w:eastAsia="zh-CN"/>
                    </w:rPr>
                  </w:pPr>
                  <w:r>
                    <w:rPr>
                      <w:rFonts w:hint="eastAsia"/>
                      <w:color w:val="auto"/>
                      <w:szCs w:val="21"/>
                      <w:lang w:val="en-US" w:eastAsia="zh-CN"/>
                    </w:rPr>
                    <w:t>450</w:t>
                  </w:r>
                </w:p>
              </w:tc>
              <w:tc>
                <w:tcPr>
                  <w:tcW w:w="867" w:type="dxa"/>
                  <w:vMerge w:val="restart"/>
                  <w:vAlign w:val="center"/>
                </w:tcPr>
                <w:p w14:paraId="62E45A9A">
                  <w:pPr>
                    <w:jc w:val="center"/>
                    <w:rPr>
                      <w:color w:val="auto"/>
                      <w:szCs w:val="21"/>
                    </w:rPr>
                  </w:pPr>
                  <w:r>
                    <w:rPr>
                      <w:rFonts w:hint="eastAsia"/>
                      <w:color w:val="auto"/>
                      <w:szCs w:val="21"/>
                    </w:rPr>
                    <w:t>公用工程</w:t>
                  </w:r>
                </w:p>
              </w:tc>
            </w:tr>
            <w:tr w14:paraId="59EF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vAlign w:val="center"/>
                </w:tcPr>
                <w:p w14:paraId="40C23362">
                  <w:pPr>
                    <w:jc w:val="center"/>
                    <w:rPr>
                      <w:rFonts w:hint="default"/>
                      <w:color w:val="auto"/>
                      <w:szCs w:val="21"/>
                      <w:lang w:val="en-US" w:eastAsia="zh-CN"/>
                    </w:rPr>
                  </w:pPr>
                  <w:r>
                    <w:rPr>
                      <w:rFonts w:hint="eastAsia"/>
                      <w:color w:val="auto"/>
                      <w:szCs w:val="21"/>
                      <w:lang w:val="en-US" w:eastAsia="zh-CN"/>
                    </w:rPr>
                    <w:t>10</w:t>
                  </w:r>
                </w:p>
              </w:tc>
              <w:tc>
                <w:tcPr>
                  <w:tcW w:w="2296" w:type="dxa"/>
                  <w:vAlign w:val="center"/>
                </w:tcPr>
                <w:p w14:paraId="4A9FE390">
                  <w:pPr>
                    <w:jc w:val="center"/>
                    <w:rPr>
                      <w:rFonts w:hint="eastAsia" w:ascii="Times New Roman" w:hAnsi="Times New Roman" w:eastAsia="宋体" w:cs="Times New Roman"/>
                      <w:color w:val="auto"/>
                      <w:szCs w:val="21"/>
                      <w:lang w:eastAsia="zh-CN"/>
                    </w:rPr>
                  </w:pPr>
                  <w:r>
                    <w:rPr>
                      <w:rFonts w:hint="eastAsia"/>
                      <w:color w:val="auto"/>
                      <w:szCs w:val="21"/>
                    </w:rPr>
                    <w:t>电</w:t>
                  </w:r>
                </w:p>
              </w:tc>
              <w:tc>
                <w:tcPr>
                  <w:tcW w:w="1062" w:type="dxa"/>
                  <w:vAlign w:val="center"/>
                </w:tcPr>
                <w:p w14:paraId="1F064DE3">
                  <w:pPr>
                    <w:jc w:val="center"/>
                    <w:rPr>
                      <w:rFonts w:hint="eastAsia"/>
                      <w:color w:val="auto"/>
                      <w:szCs w:val="21"/>
                    </w:rPr>
                  </w:pPr>
                  <w:r>
                    <w:rPr>
                      <w:rFonts w:hint="eastAsia"/>
                      <w:color w:val="auto"/>
                      <w:szCs w:val="21"/>
                    </w:rPr>
                    <w:t>kWh/a</w:t>
                  </w:r>
                </w:p>
              </w:tc>
              <w:tc>
                <w:tcPr>
                  <w:tcW w:w="1395" w:type="dxa"/>
                  <w:vAlign w:val="center"/>
                </w:tcPr>
                <w:p w14:paraId="2F940E38">
                  <w:pPr>
                    <w:jc w:val="center"/>
                    <w:rPr>
                      <w:rFonts w:hint="default"/>
                      <w:color w:val="auto"/>
                      <w:szCs w:val="21"/>
                      <w:lang w:val="en-US" w:eastAsia="zh-CN"/>
                    </w:rPr>
                  </w:pPr>
                  <w:r>
                    <w:rPr>
                      <w:rFonts w:hint="eastAsia"/>
                      <w:color w:val="auto"/>
                      <w:szCs w:val="21"/>
                      <w:lang w:val="en-US" w:eastAsia="zh-CN"/>
                    </w:rPr>
                    <w:t>3</w:t>
                  </w:r>
                  <w:r>
                    <w:rPr>
                      <w:rFonts w:hint="eastAsia"/>
                      <w:color w:val="auto"/>
                      <w:szCs w:val="21"/>
                    </w:rPr>
                    <w:t>0万</w:t>
                  </w:r>
                </w:p>
              </w:tc>
              <w:tc>
                <w:tcPr>
                  <w:tcW w:w="1904" w:type="dxa"/>
                  <w:vAlign w:val="center"/>
                </w:tcPr>
                <w:p w14:paraId="4A676ADA">
                  <w:pPr>
                    <w:jc w:val="center"/>
                    <w:rPr>
                      <w:rFonts w:hint="default"/>
                      <w:color w:val="auto"/>
                      <w:szCs w:val="21"/>
                      <w:lang w:val="en-US" w:eastAsia="zh-CN"/>
                    </w:rPr>
                  </w:pPr>
                  <w:r>
                    <w:rPr>
                      <w:rFonts w:hint="eastAsia"/>
                      <w:color w:val="auto"/>
                      <w:szCs w:val="21"/>
                      <w:lang w:val="en-US" w:eastAsia="zh-CN"/>
                    </w:rPr>
                    <w:t>30</w:t>
                  </w:r>
                  <w:r>
                    <w:rPr>
                      <w:rFonts w:hint="eastAsia"/>
                      <w:color w:val="auto"/>
                      <w:szCs w:val="21"/>
                    </w:rPr>
                    <w:t>万</w:t>
                  </w:r>
                </w:p>
              </w:tc>
              <w:tc>
                <w:tcPr>
                  <w:tcW w:w="867" w:type="dxa"/>
                  <w:vMerge w:val="continue"/>
                  <w:vAlign w:val="center"/>
                </w:tcPr>
                <w:p w14:paraId="66B1AE99">
                  <w:pPr>
                    <w:jc w:val="center"/>
                    <w:rPr>
                      <w:color w:val="FF0000"/>
                      <w:szCs w:val="21"/>
                    </w:rPr>
                  </w:pPr>
                </w:p>
              </w:tc>
            </w:tr>
          </w:tbl>
          <w:p w14:paraId="372D908F">
            <w:pPr>
              <w:pStyle w:val="3"/>
              <w:rPr>
                <w:rFonts w:hAnsi="宋体"/>
                <w:color w:val="auto"/>
              </w:rPr>
            </w:pPr>
          </w:p>
          <w:p w14:paraId="15C41D68">
            <w:pPr>
              <w:spacing w:beforeLines="50"/>
              <w:jc w:val="center"/>
              <w:rPr>
                <w:rFonts w:hAnsi="宋体"/>
                <w:b/>
                <w:color w:val="auto"/>
                <w:szCs w:val="21"/>
              </w:rPr>
            </w:pPr>
            <w:r>
              <w:rPr>
                <w:rFonts w:hAnsi="宋体"/>
                <w:b/>
                <w:color w:val="auto"/>
                <w:szCs w:val="21"/>
              </w:rPr>
              <w:t>表</w:t>
            </w:r>
            <w:r>
              <w:rPr>
                <w:rFonts w:hint="eastAsia" w:hAnsi="宋体"/>
                <w:b/>
                <w:color w:val="auto"/>
                <w:szCs w:val="21"/>
              </w:rPr>
              <w:t>2</w:t>
            </w:r>
            <w:r>
              <w:rPr>
                <w:rFonts w:hAnsi="宋体"/>
                <w:b/>
                <w:color w:val="auto"/>
                <w:szCs w:val="21"/>
              </w:rPr>
              <w:t>-</w:t>
            </w:r>
            <w:r>
              <w:rPr>
                <w:rFonts w:hint="eastAsia" w:hAnsi="宋体"/>
                <w:b/>
                <w:color w:val="auto"/>
                <w:szCs w:val="21"/>
                <w:lang w:val="en-US" w:eastAsia="zh-CN"/>
              </w:rPr>
              <w:t>9</w:t>
            </w:r>
            <w:r>
              <w:rPr>
                <w:rFonts w:hint="eastAsia" w:hAnsi="宋体"/>
                <w:b/>
                <w:color w:val="auto"/>
                <w:szCs w:val="21"/>
              </w:rPr>
              <w:t xml:space="preserve">  现有项目</w:t>
            </w:r>
            <w:r>
              <w:rPr>
                <w:rFonts w:hAnsi="宋体"/>
                <w:b/>
                <w:color w:val="auto"/>
                <w:szCs w:val="21"/>
              </w:rPr>
              <w:t>主要生产设备一览表</w:t>
            </w:r>
          </w:p>
          <w:tbl>
            <w:tblPr>
              <w:tblStyle w:val="3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3053"/>
              <w:gridCol w:w="916"/>
              <w:gridCol w:w="1703"/>
              <w:gridCol w:w="1962"/>
            </w:tblGrid>
            <w:tr w14:paraId="3A1C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79F32BEA">
                  <w:pPr>
                    <w:jc w:val="center"/>
                    <w:rPr>
                      <w:b/>
                      <w:color w:val="auto"/>
                      <w:szCs w:val="21"/>
                    </w:rPr>
                  </w:pPr>
                  <w:r>
                    <w:rPr>
                      <w:b/>
                      <w:color w:val="auto"/>
                      <w:szCs w:val="21"/>
                    </w:rPr>
                    <w:t>序号</w:t>
                  </w:r>
                </w:p>
              </w:tc>
              <w:tc>
                <w:tcPr>
                  <w:tcW w:w="2951" w:type="dxa"/>
                  <w:vAlign w:val="center"/>
                </w:tcPr>
                <w:p w14:paraId="4E1E39D2">
                  <w:pPr>
                    <w:jc w:val="center"/>
                    <w:rPr>
                      <w:b/>
                      <w:color w:val="auto"/>
                      <w:szCs w:val="21"/>
                    </w:rPr>
                  </w:pPr>
                  <w:r>
                    <w:rPr>
                      <w:b/>
                      <w:color w:val="auto"/>
                      <w:szCs w:val="21"/>
                    </w:rPr>
                    <w:t>设备名称</w:t>
                  </w:r>
                </w:p>
              </w:tc>
              <w:tc>
                <w:tcPr>
                  <w:tcW w:w="885" w:type="dxa"/>
                  <w:vAlign w:val="center"/>
                </w:tcPr>
                <w:p w14:paraId="681F69EA">
                  <w:pPr>
                    <w:jc w:val="center"/>
                    <w:rPr>
                      <w:b/>
                      <w:color w:val="auto"/>
                      <w:szCs w:val="21"/>
                    </w:rPr>
                  </w:pPr>
                  <w:r>
                    <w:rPr>
                      <w:b/>
                      <w:color w:val="auto"/>
                      <w:szCs w:val="21"/>
                    </w:rPr>
                    <w:t>单位</w:t>
                  </w:r>
                </w:p>
              </w:tc>
              <w:tc>
                <w:tcPr>
                  <w:tcW w:w="1646" w:type="dxa"/>
                  <w:vAlign w:val="center"/>
                </w:tcPr>
                <w:p w14:paraId="27935BA1">
                  <w:pPr>
                    <w:jc w:val="center"/>
                    <w:rPr>
                      <w:b/>
                      <w:color w:val="auto"/>
                      <w:szCs w:val="21"/>
                    </w:rPr>
                  </w:pPr>
                  <w:r>
                    <w:rPr>
                      <w:rFonts w:hint="eastAsia"/>
                      <w:b/>
                      <w:color w:val="auto"/>
                      <w:szCs w:val="21"/>
                    </w:rPr>
                    <w:t>现有</w:t>
                  </w:r>
                  <w:r>
                    <w:rPr>
                      <w:b/>
                      <w:color w:val="auto"/>
                      <w:szCs w:val="21"/>
                    </w:rPr>
                    <w:t>项目</w:t>
                  </w:r>
                </w:p>
                <w:p w14:paraId="0A62B8A5">
                  <w:pPr>
                    <w:jc w:val="center"/>
                    <w:rPr>
                      <w:b/>
                      <w:color w:val="auto"/>
                      <w:szCs w:val="21"/>
                    </w:rPr>
                  </w:pPr>
                  <w:r>
                    <w:rPr>
                      <w:rFonts w:hint="eastAsia"/>
                      <w:b/>
                      <w:color w:val="auto"/>
                      <w:szCs w:val="21"/>
                    </w:rPr>
                    <w:t>环评</w:t>
                  </w:r>
                  <w:r>
                    <w:rPr>
                      <w:b/>
                      <w:color w:val="auto"/>
                      <w:szCs w:val="21"/>
                    </w:rPr>
                    <w:t>设备</w:t>
                  </w:r>
                </w:p>
              </w:tc>
              <w:tc>
                <w:tcPr>
                  <w:tcW w:w="1896" w:type="dxa"/>
                  <w:vAlign w:val="center"/>
                </w:tcPr>
                <w:p w14:paraId="7AE412DE">
                  <w:pPr>
                    <w:jc w:val="center"/>
                    <w:rPr>
                      <w:b/>
                      <w:color w:val="auto"/>
                      <w:szCs w:val="21"/>
                    </w:rPr>
                  </w:pPr>
                  <w:r>
                    <w:rPr>
                      <w:rFonts w:hint="eastAsia"/>
                      <w:b/>
                      <w:color w:val="auto"/>
                      <w:szCs w:val="21"/>
                    </w:rPr>
                    <w:t>验收时</w:t>
                  </w:r>
                  <w:r>
                    <w:rPr>
                      <w:b/>
                      <w:color w:val="auto"/>
                      <w:szCs w:val="21"/>
                    </w:rPr>
                    <w:t>实际</w:t>
                  </w:r>
                </w:p>
                <w:p w14:paraId="2C1359E8">
                  <w:pPr>
                    <w:jc w:val="center"/>
                    <w:rPr>
                      <w:b/>
                      <w:color w:val="auto"/>
                      <w:szCs w:val="21"/>
                    </w:rPr>
                  </w:pPr>
                  <w:r>
                    <w:rPr>
                      <w:b/>
                      <w:color w:val="auto"/>
                      <w:szCs w:val="21"/>
                    </w:rPr>
                    <w:t>配置设备</w:t>
                  </w:r>
                </w:p>
              </w:tc>
            </w:tr>
            <w:tr w14:paraId="14F3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0E055F58">
                  <w:pPr>
                    <w:jc w:val="center"/>
                    <w:rPr>
                      <w:b/>
                      <w:color w:val="auto"/>
                      <w:szCs w:val="21"/>
                    </w:rPr>
                  </w:pPr>
                  <w:r>
                    <w:rPr>
                      <w:color w:val="auto"/>
                      <w:szCs w:val="21"/>
                    </w:rPr>
                    <w:t>1</w:t>
                  </w:r>
                </w:p>
              </w:tc>
              <w:tc>
                <w:tcPr>
                  <w:tcW w:w="2951" w:type="dxa"/>
                  <w:vAlign w:val="center"/>
                </w:tcPr>
                <w:p w14:paraId="3B3F0B14">
                  <w:pPr>
                    <w:jc w:val="center"/>
                    <w:rPr>
                      <w:snapToGrid w:val="0"/>
                      <w:color w:val="auto"/>
                      <w:szCs w:val="21"/>
                    </w:rPr>
                  </w:pPr>
                  <w:r>
                    <w:rPr>
                      <w:rFonts w:hint="eastAsia" w:ascii="Times New Roman" w:hAnsi="Times New Roman" w:eastAsiaTheme="minorEastAsia"/>
                      <w:sz w:val="21"/>
                      <w:szCs w:val="21"/>
                    </w:rPr>
                    <w:t>注塑机</w:t>
                  </w:r>
                </w:p>
              </w:tc>
              <w:tc>
                <w:tcPr>
                  <w:tcW w:w="885" w:type="dxa"/>
                  <w:vAlign w:val="center"/>
                </w:tcPr>
                <w:p w14:paraId="541A3F1F">
                  <w:pPr>
                    <w:jc w:val="center"/>
                    <w:rPr>
                      <w:b/>
                      <w:color w:val="auto"/>
                      <w:szCs w:val="21"/>
                    </w:rPr>
                  </w:pPr>
                  <w:r>
                    <w:rPr>
                      <w:rFonts w:hint="eastAsia" w:ascii="Times New Roman" w:hAnsi="Times New Roman" w:eastAsiaTheme="minorEastAsia"/>
                      <w:sz w:val="21"/>
                      <w:szCs w:val="21"/>
                    </w:rPr>
                    <w:t>台</w:t>
                  </w:r>
                </w:p>
              </w:tc>
              <w:tc>
                <w:tcPr>
                  <w:tcW w:w="1646" w:type="dxa"/>
                  <w:vAlign w:val="center"/>
                </w:tcPr>
                <w:p w14:paraId="62240845">
                  <w:pPr>
                    <w:jc w:val="center"/>
                    <w:rPr>
                      <w:rFonts w:hint="default"/>
                      <w:color w:val="auto"/>
                      <w:szCs w:val="21"/>
                      <w:lang w:val="en-US"/>
                    </w:rPr>
                  </w:pPr>
                  <w:r>
                    <w:rPr>
                      <w:rFonts w:hint="eastAsia"/>
                      <w:szCs w:val="21"/>
                    </w:rPr>
                    <w:t>13</w:t>
                  </w:r>
                </w:p>
              </w:tc>
              <w:tc>
                <w:tcPr>
                  <w:tcW w:w="1896" w:type="dxa"/>
                  <w:vAlign w:val="center"/>
                </w:tcPr>
                <w:p w14:paraId="610FA79A">
                  <w:pPr>
                    <w:jc w:val="center"/>
                    <w:rPr>
                      <w:rFonts w:hint="default" w:eastAsia="宋体"/>
                      <w:color w:val="auto"/>
                      <w:szCs w:val="21"/>
                      <w:lang w:val="en-US" w:eastAsia="zh-CN"/>
                    </w:rPr>
                  </w:pPr>
                  <w:r>
                    <w:rPr>
                      <w:rFonts w:hint="eastAsia"/>
                      <w:szCs w:val="21"/>
                    </w:rPr>
                    <w:t>13</w:t>
                  </w:r>
                </w:p>
              </w:tc>
            </w:tr>
            <w:tr w14:paraId="31C8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30363C77">
                  <w:pPr>
                    <w:jc w:val="center"/>
                    <w:rPr>
                      <w:rFonts w:hint="eastAsia" w:eastAsia="宋体"/>
                      <w:color w:val="auto"/>
                      <w:szCs w:val="21"/>
                      <w:lang w:eastAsia="zh-CN"/>
                    </w:rPr>
                  </w:pPr>
                  <w:r>
                    <w:rPr>
                      <w:rFonts w:hint="eastAsia"/>
                      <w:color w:val="auto"/>
                      <w:szCs w:val="21"/>
                      <w:lang w:val="en-US" w:eastAsia="zh-CN"/>
                    </w:rPr>
                    <w:t>2</w:t>
                  </w:r>
                </w:p>
              </w:tc>
              <w:tc>
                <w:tcPr>
                  <w:tcW w:w="2951" w:type="dxa"/>
                  <w:vAlign w:val="center"/>
                </w:tcPr>
                <w:p w14:paraId="704B6704">
                  <w:pPr>
                    <w:jc w:val="center"/>
                    <w:rPr>
                      <w:snapToGrid w:val="0"/>
                      <w:color w:val="auto"/>
                      <w:szCs w:val="21"/>
                    </w:rPr>
                  </w:pPr>
                  <w:r>
                    <w:rPr>
                      <w:rFonts w:hint="eastAsia" w:ascii="Times New Roman" w:hAnsi="Times New Roman" w:eastAsiaTheme="minorEastAsia"/>
                      <w:sz w:val="21"/>
                      <w:szCs w:val="21"/>
                    </w:rPr>
                    <w:t>烘干机</w:t>
                  </w:r>
                </w:p>
              </w:tc>
              <w:tc>
                <w:tcPr>
                  <w:tcW w:w="885" w:type="dxa"/>
                  <w:vAlign w:val="center"/>
                </w:tcPr>
                <w:p w14:paraId="4ACD7FC5">
                  <w:pPr>
                    <w:jc w:val="center"/>
                    <w:rPr>
                      <w:color w:val="auto"/>
                      <w:szCs w:val="21"/>
                    </w:rPr>
                  </w:pPr>
                  <w:r>
                    <w:rPr>
                      <w:rFonts w:hint="eastAsia" w:ascii="Times New Roman" w:hAnsi="Times New Roman" w:eastAsiaTheme="minorEastAsia"/>
                      <w:sz w:val="21"/>
                      <w:szCs w:val="21"/>
                    </w:rPr>
                    <w:t>台</w:t>
                  </w:r>
                </w:p>
              </w:tc>
              <w:tc>
                <w:tcPr>
                  <w:tcW w:w="1646" w:type="dxa"/>
                  <w:vAlign w:val="center"/>
                </w:tcPr>
                <w:p w14:paraId="0E7CB99E">
                  <w:pPr>
                    <w:jc w:val="center"/>
                    <w:rPr>
                      <w:color w:val="auto"/>
                      <w:szCs w:val="21"/>
                    </w:rPr>
                  </w:pPr>
                  <w:r>
                    <w:rPr>
                      <w:rFonts w:hint="eastAsia"/>
                      <w:szCs w:val="21"/>
                    </w:rPr>
                    <w:t>13</w:t>
                  </w:r>
                </w:p>
              </w:tc>
              <w:tc>
                <w:tcPr>
                  <w:tcW w:w="1896" w:type="dxa"/>
                  <w:vAlign w:val="center"/>
                </w:tcPr>
                <w:p w14:paraId="264C5DDE">
                  <w:pPr>
                    <w:jc w:val="center"/>
                    <w:rPr>
                      <w:rFonts w:hint="eastAsia" w:eastAsia="宋体"/>
                      <w:color w:val="auto"/>
                      <w:szCs w:val="21"/>
                      <w:lang w:eastAsia="zh-CN"/>
                    </w:rPr>
                  </w:pPr>
                  <w:r>
                    <w:rPr>
                      <w:rFonts w:hint="eastAsia"/>
                      <w:szCs w:val="21"/>
                    </w:rPr>
                    <w:t>13</w:t>
                  </w:r>
                </w:p>
              </w:tc>
            </w:tr>
            <w:tr w14:paraId="38AD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39CEE5D9">
                  <w:pPr>
                    <w:jc w:val="center"/>
                    <w:rPr>
                      <w:rFonts w:hint="eastAsia" w:eastAsia="宋体"/>
                      <w:color w:val="auto"/>
                      <w:szCs w:val="21"/>
                      <w:lang w:eastAsia="zh-CN"/>
                    </w:rPr>
                  </w:pPr>
                  <w:r>
                    <w:rPr>
                      <w:rFonts w:hint="eastAsia"/>
                      <w:color w:val="auto"/>
                      <w:szCs w:val="21"/>
                      <w:lang w:val="en-US" w:eastAsia="zh-CN"/>
                    </w:rPr>
                    <w:t>3</w:t>
                  </w:r>
                </w:p>
              </w:tc>
              <w:tc>
                <w:tcPr>
                  <w:tcW w:w="2951" w:type="dxa"/>
                  <w:vAlign w:val="center"/>
                </w:tcPr>
                <w:p w14:paraId="2AAABC72">
                  <w:pPr>
                    <w:jc w:val="center"/>
                    <w:rPr>
                      <w:color w:val="auto"/>
                      <w:szCs w:val="21"/>
                    </w:rPr>
                  </w:pPr>
                  <w:r>
                    <w:rPr>
                      <w:rFonts w:hint="eastAsia" w:ascii="Times New Roman" w:hAnsi="Times New Roman" w:eastAsiaTheme="minorEastAsia"/>
                      <w:sz w:val="21"/>
                      <w:szCs w:val="21"/>
                    </w:rPr>
                    <w:t>拌料机</w:t>
                  </w:r>
                </w:p>
              </w:tc>
              <w:tc>
                <w:tcPr>
                  <w:tcW w:w="885" w:type="dxa"/>
                  <w:vAlign w:val="center"/>
                </w:tcPr>
                <w:p w14:paraId="485199AB">
                  <w:pPr>
                    <w:jc w:val="center"/>
                    <w:rPr>
                      <w:color w:val="auto"/>
                      <w:szCs w:val="21"/>
                    </w:rPr>
                  </w:pPr>
                  <w:r>
                    <w:rPr>
                      <w:rFonts w:hint="eastAsia" w:ascii="Times New Roman" w:hAnsi="Times New Roman" w:eastAsiaTheme="minorEastAsia"/>
                      <w:sz w:val="21"/>
                      <w:szCs w:val="21"/>
                    </w:rPr>
                    <w:t>台</w:t>
                  </w:r>
                </w:p>
              </w:tc>
              <w:tc>
                <w:tcPr>
                  <w:tcW w:w="1646" w:type="dxa"/>
                  <w:vAlign w:val="center"/>
                </w:tcPr>
                <w:p w14:paraId="01BE5239">
                  <w:pPr>
                    <w:jc w:val="center"/>
                    <w:rPr>
                      <w:color w:val="auto"/>
                      <w:szCs w:val="21"/>
                    </w:rPr>
                  </w:pPr>
                  <w:r>
                    <w:rPr>
                      <w:rFonts w:hint="eastAsia"/>
                      <w:szCs w:val="21"/>
                    </w:rPr>
                    <w:t>2</w:t>
                  </w:r>
                </w:p>
              </w:tc>
              <w:tc>
                <w:tcPr>
                  <w:tcW w:w="1896" w:type="dxa"/>
                  <w:vAlign w:val="center"/>
                </w:tcPr>
                <w:p w14:paraId="4D90C7F0">
                  <w:pPr>
                    <w:jc w:val="center"/>
                    <w:rPr>
                      <w:rFonts w:hint="eastAsia" w:eastAsia="宋体"/>
                      <w:color w:val="auto"/>
                      <w:szCs w:val="21"/>
                      <w:lang w:eastAsia="zh-CN"/>
                    </w:rPr>
                  </w:pPr>
                  <w:r>
                    <w:rPr>
                      <w:rFonts w:hint="eastAsia"/>
                      <w:szCs w:val="21"/>
                    </w:rPr>
                    <w:t>2</w:t>
                  </w:r>
                </w:p>
              </w:tc>
            </w:tr>
            <w:tr w14:paraId="1377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3D6DE39F">
                  <w:pPr>
                    <w:jc w:val="center"/>
                    <w:rPr>
                      <w:rFonts w:hint="eastAsia" w:eastAsia="宋体"/>
                      <w:color w:val="auto"/>
                      <w:szCs w:val="21"/>
                      <w:lang w:eastAsia="zh-CN"/>
                    </w:rPr>
                  </w:pPr>
                  <w:r>
                    <w:rPr>
                      <w:rFonts w:hint="eastAsia"/>
                      <w:color w:val="auto"/>
                      <w:szCs w:val="21"/>
                      <w:lang w:val="en-US" w:eastAsia="zh-CN"/>
                    </w:rPr>
                    <w:t>4</w:t>
                  </w:r>
                </w:p>
              </w:tc>
              <w:tc>
                <w:tcPr>
                  <w:tcW w:w="2951" w:type="dxa"/>
                  <w:vAlign w:val="center"/>
                </w:tcPr>
                <w:p w14:paraId="493CE905">
                  <w:pPr>
                    <w:jc w:val="center"/>
                    <w:rPr>
                      <w:color w:val="auto"/>
                      <w:szCs w:val="21"/>
                    </w:rPr>
                  </w:pPr>
                  <w:r>
                    <w:rPr>
                      <w:rFonts w:hint="eastAsia" w:ascii="Times New Roman" w:hAnsi="Times New Roman" w:eastAsiaTheme="minorEastAsia"/>
                      <w:sz w:val="21"/>
                      <w:szCs w:val="21"/>
                    </w:rPr>
                    <w:t>冷却塔</w:t>
                  </w:r>
                </w:p>
              </w:tc>
              <w:tc>
                <w:tcPr>
                  <w:tcW w:w="885" w:type="dxa"/>
                  <w:vAlign w:val="center"/>
                </w:tcPr>
                <w:p w14:paraId="70DC78F6">
                  <w:pPr>
                    <w:jc w:val="center"/>
                    <w:rPr>
                      <w:color w:val="auto"/>
                      <w:szCs w:val="21"/>
                    </w:rPr>
                  </w:pPr>
                  <w:r>
                    <w:rPr>
                      <w:rFonts w:hint="eastAsia" w:ascii="Times New Roman" w:hAnsi="Times New Roman" w:eastAsiaTheme="minorEastAsia"/>
                      <w:sz w:val="21"/>
                      <w:szCs w:val="21"/>
                    </w:rPr>
                    <w:t>台</w:t>
                  </w:r>
                </w:p>
              </w:tc>
              <w:tc>
                <w:tcPr>
                  <w:tcW w:w="1646" w:type="dxa"/>
                  <w:vAlign w:val="center"/>
                </w:tcPr>
                <w:p w14:paraId="2D1527A1">
                  <w:pPr>
                    <w:jc w:val="center"/>
                    <w:rPr>
                      <w:color w:val="auto"/>
                      <w:szCs w:val="21"/>
                    </w:rPr>
                  </w:pPr>
                  <w:r>
                    <w:rPr>
                      <w:szCs w:val="21"/>
                    </w:rPr>
                    <w:t>1</w:t>
                  </w:r>
                </w:p>
              </w:tc>
              <w:tc>
                <w:tcPr>
                  <w:tcW w:w="1896" w:type="dxa"/>
                  <w:vAlign w:val="center"/>
                </w:tcPr>
                <w:p w14:paraId="02475546">
                  <w:pPr>
                    <w:jc w:val="center"/>
                    <w:rPr>
                      <w:rFonts w:hint="eastAsia" w:eastAsia="宋体"/>
                      <w:color w:val="auto"/>
                      <w:szCs w:val="21"/>
                      <w:lang w:eastAsia="zh-CN"/>
                    </w:rPr>
                  </w:pPr>
                  <w:r>
                    <w:rPr>
                      <w:szCs w:val="21"/>
                    </w:rPr>
                    <w:t>1</w:t>
                  </w:r>
                </w:p>
              </w:tc>
            </w:tr>
            <w:tr w14:paraId="51D3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11F3D833">
                  <w:pPr>
                    <w:jc w:val="center"/>
                    <w:rPr>
                      <w:rFonts w:hint="eastAsia" w:eastAsia="宋体"/>
                      <w:color w:val="auto"/>
                      <w:szCs w:val="21"/>
                      <w:lang w:eastAsia="zh-CN"/>
                    </w:rPr>
                  </w:pPr>
                  <w:r>
                    <w:rPr>
                      <w:rFonts w:hint="eastAsia"/>
                      <w:color w:val="auto"/>
                      <w:szCs w:val="21"/>
                      <w:lang w:val="en-US" w:eastAsia="zh-CN"/>
                    </w:rPr>
                    <w:t>5</w:t>
                  </w:r>
                </w:p>
              </w:tc>
              <w:tc>
                <w:tcPr>
                  <w:tcW w:w="2951" w:type="dxa"/>
                  <w:vAlign w:val="center"/>
                </w:tcPr>
                <w:p w14:paraId="1C1989FE">
                  <w:pPr>
                    <w:jc w:val="center"/>
                    <w:rPr>
                      <w:color w:val="auto"/>
                      <w:szCs w:val="21"/>
                    </w:rPr>
                  </w:pPr>
                  <w:r>
                    <w:rPr>
                      <w:rFonts w:hint="eastAsia" w:ascii="Times New Roman" w:hAnsi="Times New Roman" w:eastAsiaTheme="minorEastAsia"/>
                      <w:sz w:val="21"/>
                      <w:szCs w:val="21"/>
                    </w:rPr>
                    <w:t>行车</w:t>
                  </w:r>
                </w:p>
              </w:tc>
              <w:tc>
                <w:tcPr>
                  <w:tcW w:w="885" w:type="dxa"/>
                  <w:vAlign w:val="center"/>
                </w:tcPr>
                <w:p w14:paraId="129A3FB6">
                  <w:pPr>
                    <w:jc w:val="center"/>
                    <w:rPr>
                      <w:color w:val="auto"/>
                      <w:szCs w:val="21"/>
                    </w:rPr>
                  </w:pPr>
                  <w:r>
                    <w:rPr>
                      <w:rFonts w:hint="eastAsia" w:ascii="Times New Roman" w:hAnsi="Times New Roman" w:eastAsiaTheme="minorEastAsia"/>
                      <w:sz w:val="21"/>
                      <w:szCs w:val="21"/>
                    </w:rPr>
                    <w:t>台</w:t>
                  </w:r>
                </w:p>
              </w:tc>
              <w:tc>
                <w:tcPr>
                  <w:tcW w:w="1646" w:type="dxa"/>
                  <w:vAlign w:val="center"/>
                </w:tcPr>
                <w:p w14:paraId="04AF7386">
                  <w:pPr>
                    <w:jc w:val="center"/>
                    <w:rPr>
                      <w:color w:val="auto"/>
                      <w:szCs w:val="21"/>
                    </w:rPr>
                  </w:pPr>
                  <w:r>
                    <w:rPr>
                      <w:rFonts w:hint="eastAsia"/>
                      <w:szCs w:val="21"/>
                    </w:rPr>
                    <w:t>3</w:t>
                  </w:r>
                </w:p>
              </w:tc>
              <w:tc>
                <w:tcPr>
                  <w:tcW w:w="1896" w:type="dxa"/>
                  <w:vAlign w:val="center"/>
                </w:tcPr>
                <w:p w14:paraId="165899A2">
                  <w:pPr>
                    <w:jc w:val="center"/>
                    <w:rPr>
                      <w:rFonts w:hint="eastAsia" w:eastAsia="宋体"/>
                      <w:color w:val="auto"/>
                      <w:szCs w:val="21"/>
                      <w:lang w:eastAsia="zh-CN"/>
                    </w:rPr>
                  </w:pPr>
                  <w:r>
                    <w:rPr>
                      <w:rFonts w:hint="eastAsia"/>
                      <w:szCs w:val="21"/>
                    </w:rPr>
                    <w:t>3</w:t>
                  </w:r>
                </w:p>
              </w:tc>
            </w:tr>
            <w:tr w14:paraId="7B84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28ED4404">
                  <w:pPr>
                    <w:jc w:val="center"/>
                    <w:rPr>
                      <w:rFonts w:hint="eastAsia" w:eastAsia="宋体"/>
                      <w:color w:val="auto"/>
                      <w:szCs w:val="21"/>
                      <w:lang w:eastAsia="zh-CN"/>
                    </w:rPr>
                  </w:pPr>
                  <w:r>
                    <w:rPr>
                      <w:rFonts w:hint="eastAsia"/>
                      <w:color w:val="auto"/>
                      <w:szCs w:val="21"/>
                      <w:lang w:val="en-US" w:eastAsia="zh-CN"/>
                    </w:rPr>
                    <w:t>6</w:t>
                  </w:r>
                </w:p>
              </w:tc>
              <w:tc>
                <w:tcPr>
                  <w:tcW w:w="2951" w:type="dxa"/>
                  <w:vAlign w:val="center"/>
                </w:tcPr>
                <w:p w14:paraId="0A4E6F89">
                  <w:pPr>
                    <w:jc w:val="center"/>
                    <w:rPr>
                      <w:color w:val="auto"/>
                      <w:szCs w:val="21"/>
                    </w:rPr>
                  </w:pPr>
                  <w:r>
                    <w:rPr>
                      <w:rFonts w:hint="eastAsia" w:ascii="Times New Roman" w:hAnsi="Times New Roman" w:eastAsiaTheme="minorEastAsia"/>
                      <w:sz w:val="21"/>
                      <w:szCs w:val="21"/>
                    </w:rPr>
                    <w:t>冲床</w:t>
                  </w:r>
                </w:p>
              </w:tc>
              <w:tc>
                <w:tcPr>
                  <w:tcW w:w="885" w:type="dxa"/>
                  <w:vAlign w:val="center"/>
                </w:tcPr>
                <w:p w14:paraId="1FBD1CEB">
                  <w:pPr>
                    <w:jc w:val="center"/>
                    <w:rPr>
                      <w:color w:val="auto"/>
                      <w:szCs w:val="21"/>
                    </w:rPr>
                  </w:pPr>
                  <w:r>
                    <w:rPr>
                      <w:rFonts w:hint="eastAsia" w:ascii="Times New Roman" w:hAnsi="Times New Roman" w:eastAsiaTheme="minorEastAsia"/>
                      <w:sz w:val="21"/>
                      <w:szCs w:val="21"/>
                    </w:rPr>
                    <w:t>台</w:t>
                  </w:r>
                </w:p>
              </w:tc>
              <w:tc>
                <w:tcPr>
                  <w:tcW w:w="1646" w:type="dxa"/>
                  <w:vAlign w:val="center"/>
                </w:tcPr>
                <w:p w14:paraId="1D40EBF2">
                  <w:pPr>
                    <w:jc w:val="center"/>
                    <w:rPr>
                      <w:color w:val="auto"/>
                      <w:szCs w:val="21"/>
                    </w:rPr>
                  </w:pPr>
                  <w:r>
                    <w:rPr>
                      <w:rFonts w:hint="eastAsia"/>
                      <w:szCs w:val="21"/>
                    </w:rPr>
                    <w:t>7</w:t>
                  </w:r>
                </w:p>
              </w:tc>
              <w:tc>
                <w:tcPr>
                  <w:tcW w:w="1896" w:type="dxa"/>
                  <w:vAlign w:val="center"/>
                </w:tcPr>
                <w:p w14:paraId="753D02CB">
                  <w:pPr>
                    <w:jc w:val="center"/>
                    <w:rPr>
                      <w:rFonts w:hint="eastAsia" w:eastAsia="宋体"/>
                      <w:color w:val="auto"/>
                      <w:szCs w:val="21"/>
                      <w:lang w:eastAsia="zh-CN"/>
                    </w:rPr>
                  </w:pPr>
                  <w:r>
                    <w:rPr>
                      <w:rFonts w:hint="eastAsia"/>
                      <w:szCs w:val="21"/>
                    </w:rPr>
                    <w:t>7</w:t>
                  </w:r>
                </w:p>
              </w:tc>
            </w:tr>
            <w:tr w14:paraId="584B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6884E352">
                  <w:pPr>
                    <w:jc w:val="center"/>
                    <w:rPr>
                      <w:rFonts w:hint="default"/>
                      <w:color w:val="auto"/>
                      <w:szCs w:val="21"/>
                      <w:lang w:val="en-US" w:eastAsia="zh-CN"/>
                    </w:rPr>
                  </w:pPr>
                  <w:r>
                    <w:rPr>
                      <w:rFonts w:hint="eastAsia"/>
                      <w:color w:val="auto"/>
                      <w:szCs w:val="21"/>
                      <w:lang w:val="en-US" w:eastAsia="zh-CN"/>
                    </w:rPr>
                    <w:t>7</w:t>
                  </w:r>
                </w:p>
              </w:tc>
              <w:tc>
                <w:tcPr>
                  <w:tcW w:w="2951" w:type="dxa"/>
                  <w:vAlign w:val="center"/>
                </w:tcPr>
                <w:p w14:paraId="7FA26698">
                  <w:pPr>
                    <w:jc w:val="center"/>
                    <w:rPr>
                      <w:rFonts w:hint="eastAsia"/>
                      <w:color w:val="auto"/>
                      <w:szCs w:val="21"/>
                      <w:lang w:val="en-US" w:eastAsia="zh-CN"/>
                    </w:rPr>
                  </w:pPr>
                  <w:r>
                    <w:rPr>
                      <w:rFonts w:hint="eastAsia" w:ascii="Times New Roman" w:hAnsi="Times New Roman" w:eastAsiaTheme="minorEastAsia"/>
                      <w:sz w:val="21"/>
                      <w:szCs w:val="21"/>
                    </w:rPr>
                    <w:t>钻床</w:t>
                  </w:r>
                </w:p>
              </w:tc>
              <w:tc>
                <w:tcPr>
                  <w:tcW w:w="885" w:type="dxa"/>
                  <w:vAlign w:val="center"/>
                </w:tcPr>
                <w:p w14:paraId="538CA276">
                  <w:pPr>
                    <w:jc w:val="center"/>
                    <w:rPr>
                      <w:rFonts w:hint="eastAsia"/>
                      <w:color w:val="auto"/>
                      <w:szCs w:val="21"/>
                      <w:lang w:eastAsia="zh-CN"/>
                    </w:rPr>
                  </w:pPr>
                  <w:r>
                    <w:rPr>
                      <w:rFonts w:hint="eastAsia" w:ascii="Times New Roman" w:hAnsi="Times New Roman" w:eastAsiaTheme="minorEastAsia"/>
                      <w:sz w:val="21"/>
                      <w:szCs w:val="21"/>
                    </w:rPr>
                    <w:t>台</w:t>
                  </w:r>
                </w:p>
              </w:tc>
              <w:tc>
                <w:tcPr>
                  <w:tcW w:w="1646" w:type="dxa"/>
                  <w:vAlign w:val="center"/>
                </w:tcPr>
                <w:p w14:paraId="4520886C">
                  <w:pPr>
                    <w:jc w:val="center"/>
                    <w:rPr>
                      <w:rFonts w:hint="default"/>
                      <w:color w:val="auto"/>
                      <w:szCs w:val="21"/>
                      <w:lang w:val="en-US" w:eastAsia="zh-CN"/>
                    </w:rPr>
                  </w:pPr>
                  <w:r>
                    <w:rPr>
                      <w:rFonts w:hint="eastAsia"/>
                      <w:szCs w:val="21"/>
                    </w:rPr>
                    <w:t>6</w:t>
                  </w:r>
                </w:p>
              </w:tc>
              <w:tc>
                <w:tcPr>
                  <w:tcW w:w="1896" w:type="dxa"/>
                  <w:vAlign w:val="center"/>
                </w:tcPr>
                <w:p w14:paraId="45944807">
                  <w:pPr>
                    <w:jc w:val="center"/>
                    <w:rPr>
                      <w:rFonts w:hint="default"/>
                      <w:color w:val="auto"/>
                      <w:szCs w:val="21"/>
                      <w:lang w:val="en-US" w:eastAsia="zh-CN"/>
                    </w:rPr>
                  </w:pPr>
                  <w:r>
                    <w:rPr>
                      <w:rFonts w:hint="eastAsia"/>
                      <w:szCs w:val="21"/>
                    </w:rPr>
                    <w:t>6</w:t>
                  </w:r>
                </w:p>
              </w:tc>
            </w:tr>
            <w:tr w14:paraId="47BB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67E47D6D">
                  <w:pPr>
                    <w:jc w:val="center"/>
                    <w:rPr>
                      <w:rFonts w:hint="default"/>
                      <w:color w:val="auto"/>
                      <w:szCs w:val="21"/>
                      <w:lang w:val="en-US" w:eastAsia="zh-CN"/>
                    </w:rPr>
                  </w:pPr>
                  <w:r>
                    <w:rPr>
                      <w:rFonts w:hint="eastAsia"/>
                      <w:color w:val="auto"/>
                      <w:szCs w:val="21"/>
                      <w:lang w:val="en-US" w:eastAsia="zh-CN"/>
                    </w:rPr>
                    <w:t>8</w:t>
                  </w:r>
                </w:p>
              </w:tc>
              <w:tc>
                <w:tcPr>
                  <w:tcW w:w="2951" w:type="dxa"/>
                  <w:vAlign w:val="center"/>
                </w:tcPr>
                <w:p w14:paraId="1FB9E883">
                  <w:pPr>
                    <w:jc w:val="center"/>
                    <w:rPr>
                      <w:rFonts w:hint="eastAsia" w:ascii="Times New Roman" w:hAnsi="Times New Roman" w:eastAsia="宋体" w:cs="Times New Roman"/>
                      <w:color w:val="auto"/>
                    </w:rPr>
                  </w:pPr>
                  <w:r>
                    <w:rPr>
                      <w:rFonts w:hint="eastAsia" w:ascii="Times New Roman" w:hAnsi="Times New Roman" w:eastAsiaTheme="minorEastAsia"/>
                      <w:sz w:val="21"/>
                      <w:szCs w:val="21"/>
                    </w:rPr>
                    <w:t>砂轮机</w:t>
                  </w:r>
                </w:p>
              </w:tc>
              <w:tc>
                <w:tcPr>
                  <w:tcW w:w="885" w:type="dxa"/>
                  <w:vAlign w:val="center"/>
                </w:tcPr>
                <w:p w14:paraId="4841781E">
                  <w:pPr>
                    <w:jc w:val="center"/>
                    <w:rPr>
                      <w:rFonts w:hint="eastAsia"/>
                      <w:color w:val="auto"/>
                      <w:szCs w:val="21"/>
                      <w:lang w:eastAsia="zh-CN"/>
                    </w:rPr>
                  </w:pPr>
                  <w:r>
                    <w:rPr>
                      <w:rFonts w:hint="eastAsia" w:ascii="Times New Roman" w:hAnsi="Times New Roman" w:eastAsiaTheme="minorEastAsia"/>
                      <w:sz w:val="21"/>
                      <w:szCs w:val="21"/>
                    </w:rPr>
                    <w:t>台</w:t>
                  </w:r>
                </w:p>
              </w:tc>
              <w:tc>
                <w:tcPr>
                  <w:tcW w:w="1646" w:type="dxa"/>
                  <w:vAlign w:val="center"/>
                </w:tcPr>
                <w:p w14:paraId="33F537C3">
                  <w:pPr>
                    <w:jc w:val="center"/>
                    <w:rPr>
                      <w:rFonts w:hint="eastAsia"/>
                      <w:color w:val="auto"/>
                      <w:szCs w:val="21"/>
                      <w:lang w:val="en-US" w:eastAsia="zh-CN"/>
                    </w:rPr>
                  </w:pPr>
                  <w:r>
                    <w:rPr>
                      <w:rFonts w:hint="eastAsia"/>
                      <w:szCs w:val="21"/>
                    </w:rPr>
                    <w:t>10</w:t>
                  </w:r>
                </w:p>
              </w:tc>
              <w:tc>
                <w:tcPr>
                  <w:tcW w:w="1896" w:type="dxa"/>
                  <w:vAlign w:val="center"/>
                </w:tcPr>
                <w:p w14:paraId="05C641A6">
                  <w:pPr>
                    <w:jc w:val="center"/>
                    <w:rPr>
                      <w:rFonts w:hint="eastAsia"/>
                      <w:color w:val="auto"/>
                      <w:szCs w:val="21"/>
                      <w:lang w:val="en-US" w:eastAsia="zh-CN"/>
                    </w:rPr>
                  </w:pPr>
                  <w:r>
                    <w:rPr>
                      <w:rFonts w:hint="eastAsia"/>
                      <w:szCs w:val="21"/>
                    </w:rPr>
                    <w:t>10</w:t>
                  </w:r>
                </w:p>
              </w:tc>
            </w:tr>
            <w:tr w14:paraId="7568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68884F03">
                  <w:pPr>
                    <w:jc w:val="center"/>
                    <w:rPr>
                      <w:rFonts w:hint="default"/>
                      <w:color w:val="auto"/>
                      <w:szCs w:val="21"/>
                      <w:lang w:val="en-US" w:eastAsia="zh-CN"/>
                    </w:rPr>
                  </w:pPr>
                  <w:r>
                    <w:rPr>
                      <w:rFonts w:hint="eastAsia"/>
                      <w:color w:val="auto"/>
                      <w:szCs w:val="21"/>
                      <w:lang w:val="en-US" w:eastAsia="zh-CN"/>
                    </w:rPr>
                    <w:t>9</w:t>
                  </w:r>
                </w:p>
              </w:tc>
              <w:tc>
                <w:tcPr>
                  <w:tcW w:w="2951" w:type="dxa"/>
                  <w:vAlign w:val="center"/>
                </w:tcPr>
                <w:p w14:paraId="3679334F">
                  <w:pPr>
                    <w:jc w:val="center"/>
                    <w:rPr>
                      <w:rFonts w:hint="default" w:ascii="Times New Roman" w:hAnsi="Times New Roman" w:eastAsia="宋体" w:cs="Times New Roman"/>
                      <w:color w:val="auto"/>
                      <w:spacing w:val="-4"/>
                      <w:sz w:val="21"/>
                      <w:szCs w:val="21"/>
                      <w:lang w:eastAsia="zh-CN"/>
                    </w:rPr>
                  </w:pPr>
                  <w:r>
                    <w:rPr>
                      <w:rFonts w:hint="eastAsia" w:ascii="Times New Roman" w:hAnsi="Times New Roman" w:eastAsiaTheme="minorEastAsia"/>
                      <w:sz w:val="21"/>
                      <w:szCs w:val="21"/>
                    </w:rPr>
                    <w:t>磨床</w:t>
                  </w:r>
                </w:p>
              </w:tc>
              <w:tc>
                <w:tcPr>
                  <w:tcW w:w="885" w:type="dxa"/>
                  <w:vAlign w:val="center"/>
                </w:tcPr>
                <w:p w14:paraId="5C5E9439">
                  <w:pPr>
                    <w:jc w:val="center"/>
                    <w:rPr>
                      <w:rFonts w:hint="eastAsia"/>
                      <w:color w:val="auto"/>
                      <w:szCs w:val="21"/>
                      <w:lang w:val="en-US" w:eastAsia="zh-CN"/>
                    </w:rPr>
                  </w:pPr>
                  <w:r>
                    <w:rPr>
                      <w:rFonts w:hint="eastAsia" w:ascii="Times New Roman" w:hAnsi="Times New Roman" w:eastAsiaTheme="minorEastAsia"/>
                      <w:sz w:val="21"/>
                      <w:szCs w:val="21"/>
                    </w:rPr>
                    <w:t>台</w:t>
                  </w:r>
                </w:p>
              </w:tc>
              <w:tc>
                <w:tcPr>
                  <w:tcW w:w="1646" w:type="dxa"/>
                  <w:vAlign w:val="center"/>
                </w:tcPr>
                <w:p w14:paraId="0BD898B7">
                  <w:pPr>
                    <w:jc w:val="center"/>
                    <w:rPr>
                      <w:rFonts w:hint="eastAsia"/>
                      <w:color w:val="auto"/>
                      <w:szCs w:val="21"/>
                      <w:lang w:val="en-US" w:eastAsia="zh-CN"/>
                    </w:rPr>
                  </w:pPr>
                  <w:r>
                    <w:rPr>
                      <w:rFonts w:hint="eastAsia"/>
                      <w:szCs w:val="21"/>
                    </w:rPr>
                    <w:t>1</w:t>
                  </w:r>
                </w:p>
              </w:tc>
              <w:tc>
                <w:tcPr>
                  <w:tcW w:w="1896" w:type="dxa"/>
                  <w:vAlign w:val="center"/>
                </w:tcPr>
                <w:p w14:paraId="4184B6FC">
                  <w:pPr>
                    <w:jc w:val="center"/>
                    <w:rPr>
                      <w:rFonts w:hint="eastAsia"/>
                      <w:color w:val="auto"/>
                      <w:szCs w:val="21"/>
                      <w:lang w:val="en-US" w:eastAsia="zh-CN"/>
                    </w:rPr>
                  </w:pPr>
                  <w:r>
                    <w:rPr>
                      <w:rFonts w:hint="eastAsia"/>
                      <w:szCs w:val="21"/>
                    </w:rPr>
                    <w:t>1</w:t>
                  </w:r>
                </w:p>
              </w:tc>
            </w:tr>
            <w:tr w14:paraId="2233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2785C8D7">
                  <w:pPr>
                    <w:jc w:val="center"/>
                    <w:rPr>
                      <w:rFonts w:hint="default"/>
                      <w:color w:val="auto"/>
                      <w:szCs w:val="21"/>
                      <w:lang w:val="en-US" w:eastAsia="zh-CN"/>
                    </w:rPr>
                  </w:pPr>
                  <w:r>
                    <w:rPr>
                      <w:rFonts w:hint="eastAsia"/>
                      <w:color w:val="auto"/>
                      <w:szCs w:val="21"/>
                      <w:lang w:val="en-US" w:eastAsia="zh-CN"/>
                    </w:rPr>
                    <w:t>10</w:t>
                  </w:r>
                </w:p>
              </w:tc>
              <w:tc>
                <w:tcPr>
                  <w:tcW w:w="2951" w:type="dxa"/>
                  <w:vAlign w:val="center"/>
                </w:tcPr>
                <w:p w14:paraId="23075B8C">
                  <w:pPr>
                    <w:jc w:val="center"/>
                    <w:rPr>
                      <w:rFonts w:hint="default" w:ascii="Times New Roman" w:hAnsi="Times New Roman" w:eastAsia="宋体" w:cs="Times New Roman"/>
                      <w:color w:val="auto"/>
                      <w:spacing w:val="-4"/>
                      <w:sz w:val="21"/>
                      <w:szCs w:val="21"/>
                      <w:lang w:eastAsia="zh-CN"/>
                    </w:rPr>
                  </w:pPr>
                  <w:r>
                    <w:rPr>
                      <w:rFonts w:hint="eastAsia" w:ascii="Times New Roman" w:hAnsi="Times New Roman" w:eastAsiaTheme="minorEastAsia"/>
                      <w:sz w:val="21"/>
                      <w:szCs w:val="21"/>
                    </w:rPr>
                    <w:t>弯管机</w:t>
                  </w:r>
                </w:p>
              </w:tc>
              <w:tc>
                <w:tcPr>
                  <w:tcW w:w="885" w:type="dxa"/>
                  <w:vAlign w:val="center"/>
                </w:tcPr>
                <w:p w14:paraId="281F290F">
                  <w:pPr>
                    <w:jc w:val="center"/>
                    <w:rPr>
                      <w:rFonts w:hint="eastAsia"/>
                      <w:color w:val="auto"/>
                      <w:szCs w:val="21"/>
                      <w:lang w:val="en-US" w:eastAsia="zh-CN"/>
                    </w:rPr>
                  </w:pPr>
                  <w:r>
                    <w:rPr>
                      <w:rFonts w:hint="eastAsia" w:ascii="Times New Roman" w:hAnsi="Times New Roman" w:eastAsiaTheme="minorEastAsia"/>
                      <w:sz w:val="21"/>
                      <w:szCs w:val="21"/>
                    </w:rPr>
                    <w:t>台</w:t>
                  </w:r>
                </w:p>
              </w:tc>
              <w:tc>
                <w:tcPr>
                  <w:tcW w:w="1646" w:type="dxa"/>
                  <w:vAlign w:val="center"/>
                </w:tcPr>
                <w:p w14:paraId="1E41B8E2">
                  <w:pPr>
                    <w:jc w:val="center"/>
                    <w:rPr>
                      <w:rFonts w:hint="eastAsia"/>
                      <w:color w:val="auto"/>
                      <w:szCs w:val="21"/>
                      <w:lang w:val="en-US" w:eastAsia="zh-CN"/>
                    </w:rPr>
                  </w:pPr>
                  <w:r>
                    <w:rPr>
                      <w:rFonts w:hint="eastAsia"/>
                      <w:szCs w:val="21"/>
                    </w:rPr>
                    <w:t>4</w:t>
                  </w:r>
                </w:p>
              </w:tc>
              <w:tc>
                <w:tcPr>
                  <w:tcW w:w="1896" w:type="dxa"/>
                  <w:vAlign w:val="center"/>
                </w:tcPr>
                <w:p w14:paraId="015DD544">
                  <w:pPr>
                    <w:jc w:val="center"/>
                    <w:rPr>
                      <w:rFonts w:hint="eastAsia"/>
                      <w:color w:val="auto"/>
                      <w:szCs w:val="21"/>
                      <w:lang w:val="en-US" w:eastAsia="zh-CN"/>
                    </w:rPr>
                  </w:pPr>
                  <w:r>
                    <w:rPr>
                      <w:rFonts w:hint="eastAsia"/>
                      <w:szCs w:val="21"/>
                    </w:rPr>
                    <w:t>4</w:t>
                  </w:r>
                </w:p>
              </w:tc>
            </w:tr>
            <w:tr w14:paraId="0E44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1EB32352">
                  <w:pPr>
                    <w:jc w:val="center"/>
                    <w:rPr>
                      <w:rFonts w:hint="default"/>
                      <w:color w:val="auto"/>
                      <w:szCs w:val="21"/>
                      <w:lang w:val="en-US" w:eastAsia="zh-CN"/>
                    </w:rPr>
                  </w:pPr>
                  <w:r>
                    <w:rPr>
                      <w:rFonts w:hint="eastAsia"/>
                      <w:color w:val="auto"/>
                      <w:szCs w:val="21"/>
                      <w:lang w:val="en-US" w:eastAsia="zh-CN"/>
                    </w:rPr>
                    <w:t>11</w:t>
                  </w:r>
                </w:p>
              </w:tc>
              <w:tc>
                <w:tcPr>
                  <w:tcW w:w="2951" w:type="dxa"/>
                  <w:vAlign w:val="center"/>
                </w:tcPr>
                <w:p w14:paraId="091B050E">
                  <w:pPr>
                    <w:jc w:val="center"/>
                    <w:rPr>
                      <w:rFonts w:hint="default" w:ascii="Times New Roman" w:hAnsi="Times New Roman" w:eastAsia="宋体" w:cs="Times New Roman"/>
                      <w:color w:val="auto"/>
                      <w:spacing w:val="-4"/>
                      <w:sz w:val="21"/>
                      <w:szCs w:val="21"/>
                      <w:lang w:eastAsia="zh-CN"/>
                    </w:rPr>
                  </w:pPr>
                  <w:r>
                    <w:rPr>
                      <w:rFonts w:hint="eastAsia" w:ascii="Times New Roman" w:hAnsi="Times New Roman" w:eastAsiaTheme="minorEastAsia"/>
                      <w:sz w:val="21"/>
                      <w:szCs w:val="21"/>
                    </w:rPr>
                    <w:t>普通车床</w:t>
                  </w:r>
                </w:p>
              </w:tc>
              <w:tc>
                <w:tcPr>
                  <w:tcW w:w="885" w:type="dxa"/>
                  <w:vAlign w:val="center"/>
                </w:tcPr>
                <w:p w14:paraId="00EFA5D0">
                  <w:pPr>
                    <w:jc w:val="center"/>
                    <w:rPr>
                      <w:rFonts w:hint="eastAsia"/>
                      <w:color w:val="auto"/>
                      <w:szCs w:val="21"/>
                      <w:lang w:val="en-US" w:eastAsia="zh-CN"/>
                    </w:rPr>
                  </w:pPr>
                  <w:r>
                    <w:rPr>
                      <w:rFonts w:hint="eastAsia" w:ascii="Times New Roman" w:hAnsi="Times New Roman" w:eastAsiaTheme="minorEastAsia"/>
                      <w:sz w:val="21"/>
                      <w:szCs w:val="21"/>
                    </w:rPr>
                    <w:t>台</w:t>
                  </w:r>
                </w:p>
              </w:tc>
              <w:tc>
                <w:tcPr>
                  <w:tcW w:w="1646" w:type="dxa"/>
                  <w:vAlign w:val="center"/>
                </w:tcPr>
                <w:p w14:paraId="39EECEAE">
                  <w:pPr>
                    <w:jc w:val="center"/>
                    <w:rPr>
                      <w:rFonts w:hint="eastAsia"/>
                      <w:color w:val="auto"/>
                      <w:szCs w:val="21"/>
                      <w:lang w:val="en-US" w:eastAsia="zh-CN"/>
                    </w:rPr>
                  </w:pPr>
                  <w:r>
                    <w:rPr>
                      <w:rFonts w:hint="eastAsia"/>
                      <w:szCs w:val="21"/>
                    </w:rPr>
                    <w:t>1</w:t>
                  </w:r>
                </w:p>
              </w:tc>
              <w:tc>
                <w:tcPr>
                  <w:tcW w:w="1896" w:type="dxa"/>
                  <w:vAlign w:val="center"/>
                </w:tcPr>
                <w:p w14:paraId="15C2B253">
                  <w:pPr>
                    <w:jc w:val="center"/>
                    <w:rPr>
                      <w:rFonts w:hint="eastAsia"/>
                      <w:color w:val="auto"/>
                      <w:szCs w:val="21"/>
                      <w:lang w:val="en-US" w:eastAsia="zh-CN"/>
                    </w:rPr>
                  </w:pPr>
                  <w:r>
                    <w:rPr>
                      <w:rFonts w:hint="eastAsia"/>
                      <w:szCs w:val="21"/>
                    </w:rPr>
                    <w:t>1</w:t>
                  </w:r>
                </w:p>
              </w:tc>
            </w:tr>
            <w:tr w14:paraId="5606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3A8BB70A">
                  <w:pPr>
                    <w:jc w:val="center"/>
                    <w:rPr>
                      <w:rFonts w:hint="default"/>
                      <w:color w:val="auto"/>
                      <w:szCs w:val="21"/>
                      <w:lang w:val="en-US" w:eastAsia="zh-CN"/>
                    </w:rPr>
                  </w:pPr>
                  <w:r>
                    <w:rPr>
                      <w:rFonts w:hint="eastAsia"/>
                      <w:color w:val="auto"/>
                      <w:szCs w:val="21"/>
                      <w:lang w:val="en-US" w:eastAsia="zh-CN"/>
                    </w:rPr>
                    <w:t>12</w:t>
                  </w:r>
                </w:p>
              </w:tc>
              <w:tc>
                <w:tcPr>
                  <w:tcW w:w="2951" w:type="dxa"/>
                  <w:vAlign w:val="center"/>
                </w:tcPr>
                <w:p w14:paraId="5E86F0B3">
                  <w:pPr>
                    <w:jc w:val="center"/>
                    <w:rPr>
                      <w:rFonts w:hint="default" w:ascii="Times New Roman" w:hAnsi="Times New Roman" w:eastAsia="宋体" w:cs="Times New Roman"/>
                      <w:color w:val="auto"/>
                      <w:spacing w:val="-4"/>
                      <w:sz w:val="21"/>
                      <w:szCs w:val="21"/>
                      <w:lang w:eastAsia="zh-CN"/>
                    </w:rPr>
                  </w:pPr>
                  <w:r>
                    <w:rPr>
                      <w:rFonts w:hint="eastAsia" w:ascii="Times New Roman" w:hAnsi="Times New Roman" w:eastAsiaTheme="minorEastAsia"/>
                      <w:sz w:val="21"/>
                      <w:szCs w:val="21"/>
                    </w:rPr>
                    <w:t>数控车床</w:t>
                  </w:r>
                </w:p>
              </w:tc>
              <w:tc>
                <w:tcPr>
                  <w:tcW w:w="885" w:type="dxa"/>
                  <w:vAlign w:val="center"/>
                </w:tcPr>
                <w:p w14:paraId="79EAB7FD">
                  <w:pPr>
                    <w:jc w:val="center"/>
                    <w:rPr>
                      <w:rFonts w:hint="eastAsia"/>
                      <w:color w:val="auto"/>
                      <w:szCs w:val="21"/>
                      <w:lang w:val="en-US" w:eastAsia="zh-CN"/>
                    </w:rPr>
                  </w:pPr>
                  <w:r>
                    <w:rPr>
                      <w:rFonts w:hint="eastAsia" w:ascii="Times New Roman" w:hAnsi="Times New Roman" w:eastAsiaTheme="minorEastAsia"/>
                      <w:sz w:val="21"/>
                      <w:szCs w:val="21"/>
                    </w:rPr>
                    <w:t>台</w:t>
                  </w:r>
                </w:p>
              </w:tc>
              <w:tc>
                <w:tcPr>
                  <w:tcW w:w="1646" w:type="dxa"/>
                  <w:vAlign w:val="center"/>
                </w:tcPr>
                <w:p w14:paraId="773BF3B0">
                  <w:pPr>
                    <w:jc w:val="center"/>
                    <w:rPr>
                      <w:rFonts w:hint="eastAsia"/>
                      <w:color w:val="auto"/>
                      <w:szCs w:val="21"/>
                      <w:lang w:val="en-US" w:eastAsia="zh-CN"/>
                    </w:rPr>
                  </w:pPr>
                  <w:r>
                    <w:rPr>
                      <w:rFonts w:hint="eastAsia"/>
                      <w:szCs w:val="21"/>
                    </w:rPr>
                    <w:t>2</w:t>
                  </w:r>
                </w:p>
              </w:tc>
              <w:tc>
                <w:tcPr>
                  <w:tcW w:w="1896" w:type="dxa"/>
                  <w:vAlign w:val="center"/>
                </w:tcPr>
                <w:p w14:paraId="0880B152">
                  <w:pPr>
                    <w:jc w:val="center"/>
                    <w:rPr>
                      <w:rFonts w:hint="eastAsia"/>
                      <w:color w:val="auto"/>
                      <w:szCs w:val="21"/>
                      <w:lang w:val="en-US" w:eastAsia="zh-CN"/>
                    </w:rPr>
                  </w:pPr>
                  <w:r>
                    <w:rPr>
                      <w:rFonts w:hint="eastAsia"/>
                      <w:szCs w:val="21"/>
                    </w:rPr>
                    <w:t>2</w:t>
                  </w:r>
                </w:p>
              </w:tc>
            </w:tr>
            <w:tr w14:paraId="1A97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212FEE16">
                  <w:pPr>
                    <w:jc w:val="center"/>
                    <w:rPr>
                      <w:rFonts w:hint="default"/>
                      <w:color w:val="auto"/>
                      <w:szCs w:val="21"/>
                      <w:lang w:val="en-US" w:eastAsia="zh-CN"/>
                    </w:rPr>
                  </w:pPr>
                  <w:r>
                    <w:rPr>
                      <w:rFonts w:hint="eastAsia"/>
                      <w:color w:val="auto"/>
                      <w:szCs w:val="21"/>
                      <w:lang w:val="en-US" w:eastAsia="zh-CN"/>
                    </w:rPr>
                    <w:t>13</w:t>
                  </w:r>
                </w:p>
              </w:tc>
              <w:tc>
                <w:tcPr>
                  <w:tcW w:w="2951" w:type="dxa"/>
                  <w:vAlign w:val="center"/>
                </w:tcPr>
                <w:p w14:paraId="7229F92D">
                  <w:pPr>
                    <w:jc w:val="center"/>
                    <w:rPr>
                      <w:rFonts w:hint="default" w:ascii="Times New Roman" w:hAnsi="Times New Roman" w:eastAsia="宋体" w:cs="Times New Roman"/>
                      <w:color w:val="auto"/>
                      <w:spacing w:val="-4"/>
                      <w:sz w:val="21"/>
                      <w:szCs w:val="21"/>
                      <w:lang w:eastAsia="zh-CN"/>
                    </w:rPr>
                  </w:pPr>
                  <w:r>
                    <w:rPr>
                      <w:rFonts w:hint="eastAsia" w:ascii="Times New Roman" w:hAnsi="Times New Roman" w:eastAsiaTheme="minorEastAsia"/>
                      <w:sz w:val="21"/>
                      <w:szCs w:val="21"/>
                    </w:rPr>
                    <w:t>焊机</w:t>
                  </w:r>
                </w:p>
              </w:tc>
              <w:tc>
                <w:tcPr>
                  <w:tcW w:w="885" w:type="dxa"/>
                  <w:vAlign w:val="center"/>
                </w:tcPr>
                <w:p w14:paraId="4B80E869">
                  <w:pPr>
                    <w:jc w:val="center"/>
                    <w:rPr>
                      <w:rFonts w:hint="eastAsia"/>
                      <w:color w:val="auto"/>
                      <w:szCs w:val="21"/>
                      <w:lang w:val="en-US" w:eastAsia="zh-CN"/>
                    </w:rPr>
                  </w:pPr>
                  <w:r>
                    <w:rPr>
                      <w:rFonts w:hint="eastAsia" w:ascii="Times New Roman" w:hAnsi="Times New Roman" w:eastAsiaTheme="minorEastAsia"/>
                      <w:sz w:val="21"/>
                      <w:szCs w:val="21"/>
                    </w:rPr>
                    <w:t>台</w:t>
                  </w:r>
                </w:p>
              </w:tc>
              <w:tc>
                <w:tcPr>
                  <w:tcW w:w="1646" w:type="dxa"/>
                  <w:vAlign w:val="center"/>
                </w:tcPr>
                <w:p w14:paraId="59900D2E">
                  <w:pPr>
                    <w:jc w:val="center"/>
                    <w:rPr>
                      <w:rFonts w:hint="eastAsia"/>
                      <w:color w:val="auto"/>
                      <w:szCs w:val="21"/>
                      <w:lang w:val="en-US" w:eastAsia="zh-CN"/>
                    </w:rPr>
                  </w:pPr>
                  <w:r>
                    <w:rPr>
                      <w:rFonts w:hint="eastAsia"/>
                      <w:szCs w:val="21"/>
                    </w:rPr>
                    <w:t>4</w:t>
                  </w:r>
                </w:p>
              </w:tc>
              <w:tc>
                <w:tcPr>
                  <w:tcW w:w="1896" w:type="dxa"/>
                  <w:vAlign w:val="center"/>
                </w:tcPr>
                <w:p w14:paraId="2AF85B03">
                  <w:pPr>
                    <w:jc w:val="center"/>
                    <w:rPr>
                      <w:rFonts w:hint="eastAsia"/>
                      <w:color w:val="auto"/>
                      <w:szCs w:val="21"/>
                      <w:lang w:val="en-US" w:eastAsia="zh-CN"/>
                    </w:rPr>
                  </w:pPr>
                  <w:r>
                    <w:rPr>
                      <w:rFonts w:hint="eastAsia"/>
                      <w:szCs w:val="21"/>
                    </w:rPr>
                    <w:t>4</w:t>
                  </w:r>
                </w:p>
              </w:tc>
            </w:tr>
            <w:tr w14:paraId="445B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64CD8458">
                  <w:pPr>
                    <w:jc w:val="center"/>
                    <w:rPr>
                      <w:rFonts w:hint="default"/>
                      <w:color w:val="auto"/>
                      <w:szCs w:val="21"/>
                      <w:lang w:val="en-US" w:eastAsia="zh-CN"/>
                    </w:rPr>
                  </w:pPr>
                  <w:r>
                    <w:rPr>
                      <w:rFonts w:hint="eastAsia"/>
                      <w:color w:val="auto"/>
                      <w:szCs w:val="21"/>
                      <w:lang w:val="en-US" w:eastAsia="zh-CN"/>
                    </w:rPr>
                    <w:t>14</w:t>
                  </w:r>
                </w:p>
              </w:tc>
              <w:tc>
                <w:tcPr>
                  <w:tcW w:w="2951" w:type="dxa"/>
                  <w:vAlign w:val="center"/>
                </w:tcPr>
                <w:p w14:paraId="18A7F003">
                  <w:pPr>
                    <w:jc w:val="center"/>
                    <w:rPr>
                      <w:rFonts w:hint="default" w:ascii="Times New Roman" w:hAnsi="Times New Roman" w:eastAsia="宋体" w:cs="Times New Roman"/>
                      <w:color w:val="auto"/>
                      <w:spacing w:val="-4"/>
                      <w:sz w:val="21"/>
                      <w:szCs w:val="21"/>
                      <w:lang w:eastAsia="zh-CN"/>
                    </w:rPr>
                  </w:pPr>
                  <w:r>
                    <w:rPr>
                      <w:rFonts w:hint="eastAsia" w:ascii="Times New Roman" w:hAnsi="Times New Roman" w:eastAsiaTheme="minorEastAsia"/>
                      <w:sz w:val="21"/>
                      <w:szCs w:val="21"/>
                    </w:rPr>
                    <w:t>切管机</w:t>
                  </w:r>
                </w:p>
              </w:tc>
              <w:tc>
                <w:tcPr>
                  <w:tcW w:w="885" w:type="dxa"/>
                  <w:vAlign w:val="center"/>
                </w:tcPr>
                <w:p w14:paraId="03F59DBB">
                  <w:pPr>
                    <w:jc w:val="center"/>
                    <w:rPr>
                      <w:rFonts w:hint="eastAsia"/>
                      <w:color w:val="auto"/>
                      <w:szCs w:val="21"/>
                      <w:lang w:val="en-US" w:eastAsia="zh-CN"/>
                    </w:rPr>
                  </w:pPr>
                  <w:r>
                    <w:rPr>
                      <w:rFonts w:hint="eastAsia" w:ascii="Times New Roman" w:hAnsi="Times New Roman" w:eastAsiaTheme="minorEastAsia"/>
                      <w:sz w:val="21"/>
                      <w:szCs w:val="21"/>
                    </w:rPr>
                    <w:t>台</w:t>
                  </w:r>
                </w:p>
              </w:tc>
              <w:tc>
                <w:tcPr>
                  <w:tcW w:w="1646" w:type="dxa"/>
                  <w:vAlign w:val="center"/>
                </w:tcPr>
                <w:p w14:paraId="6022C7BC">
                  <w:pPr>
                    <w:jc w:val="center"/>
                    <w:rPr>
                      <w:rFonts w:hint="eastAsia"/>
                      <w:color w:val="auto"/>
                      <w:szCs w:val="21"/>
                      <w:lang w:val="en-US" w:eastAsia="zh-CN"/>
                    </w:rPr>
                  </w:pPr>
                  <w:r>
                    <w:rPr>
                      <w:rFonts w:hint="eastAsia"/>
                      <w:szCs w:val="21"/>
                    </w:rPr>
                    <w:t>4</w:t>
                  </w:r>
                </w:p>
              </w:tc>
              <w:tc>
                <w:tcPr>
                  <w:tcW w:w="1896" w:type="dxa"/>
                  <w:vAlign w:val="center"/>
                </w:tcPr>
                <w:p w14:paraId="141E0436">
                  <w:pPr>
                    <w:jc w:val="center"/>
                    <w:rPr>
                      <w:rFonts w:hint="eastAsia"/>
                      <w:color w:val="auto"/>
                      <w:szCs w:val="21"/>
                      <w:lang w:val="en-US" w:eastAsia="zh-CN"/>
                    </w:rPr>
                  </w:pPr>
                  <w:r>
                    <w:rPr>
                      <w:rFonts w:hint="eastAsia"/>
                      <w:szCs w:val="21"/>
                    </w:rPr>
                    <w:t>4</w:t>
                  </w:r>
                </w:p>
              </w:tc>
            </w:tr>
            <w:tr w14:paraId="010B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039BCD7C">
                  <w:pPr>
                    <w:jc w:val="center"/>
                    <w:rPr>
                      <w:rFonts w:hint="default"/>
                      <w:color w:val="auto"/>
                      <w:szCs w:val="21"/>
                      <w:lang w:val="en-US" w:eastAsia="zh-CN"/>
                    </w:rPr>
                  </w:pPr>
                  <w:r>
                    <w:rPr>
                      <w:rFonts w:hint="eastAsia"/>
                      <w:color w:val="auto"/>
                      <w:szCs w:val="21"/>
                      <w:lang w:val="en-US" w:eastAsia="zh-CN"/>
                    </w:rPr>
                    <w:t>15</w:t>
                  </w:r>
                </w:p>
              </w:tc>
              <w:tc>
                <w:tcPr>
                  <w:tcW w:w="2951" w:type="dxa"/>
                  <w:vAlign w:val="center"/>
                </w:tcPr>
                <w:p w14:paraId="24C6CA3B">
                  <w:pPr>
                    <w:jc w:val="center"/>
                    <w:rPr>
                      <w:rFonts w:hint="default" w:ascii="Times New Roman" w:hAnsi="Times New Roman" w:eastAsia="宋体" w:cs="Times New Roman"/>
                      <w:color w:val="auto"/>
                      <w:spacing w:val="-4"/>
                      <w:sz w:val="21"/>
                      <w:szCs w:val="21"/>
                      <w:lang w:eastAsia="zh-CN"/>
                    </w:rPr>
                  </w:pPr>
                  <w:r>
                    <w:rPr>
                      <w:rFonts w:hint="eastAsia" w:ascii="Times New Roman" w:hAnsi="Times New Roman" w:eastAsiaTheme="minorEastAsia"/>
                      <w:sz w:val="21"/>
                      <w:szCs w:val="21"/>
                    </w:rPr>
                    <w:t>空压机</w:t>
                  </w:r>
                </w:p>
              </w:tc>
              <w:tc>
                <w:tcPr>
                  <w:tcW w:w="885" w:type="dxa"/>
                  <w:vAlign w:val="center"/>
                </w:tcPr>
                <w:p w14:paraId="4AFB04BF">
                  <w:pPr>
                    <w:jc w:val="center"/>
                    <w:rPr>
                      <w:rFonts w:hint="eastAsia"/>
                      <w:color w:val="auto"/>
                      <w:szCs w:val="21"/>
                      <w:lang w:val="en-US" w:eastAsia="zh-CN"/>
                    </w:rPr>
                  </w:pPr>
                  <w:r>
                    <w:rPr>
                      <w:rFonts w:hint="eastAsia" w:ascii="Times New Roman" w:hAnsi="Times New Roman" w:eastAsiaTheme="minorEastAsia"/>
                      <w:sz w:val="21"/>
                      <w:szCs w:val="21"/>
                    </w:rPr>
                    <w:t>台</w:t>
                  </w:r>
                </w:p>
              </w:tc>
              <w:tc>
                <w:tcPr>
                  <w:tcW w:w="1646" w:type="dxa"/>
                  <w:vAlign w:val="center"/>
                </w:tcPr>
                <w:p w14:paraId="7CF39525">
                  <w:pPr>
                    <w:jc w:val="center"/>
                    <w:rPr>
                      <w:rFonts w:hint="eastAsia"/>
                      <w:color w:val="auto"/>
                      <w:szCs w:val="21"/>
                      <w:lang w:val="en-US" w:eastAsia="zh-CN"/>
                    </w:rPr>
                  </w:pPr>
                  <w:r>
                    <w:rPr>
                      <w:rFonts w:hint="eastAsia"/>
                      <w:szCs w:val="21"/>
                    </w:rPr>
                    <w:t>2</w:t>
                  </w:r>
                </w:p>
              </w:tc>
              <w:tc>
                <w:tcPr>
                  <w:tcW w:w="1896" w:type="dxa"/>
                  <w:vAlign w:val="center"/>
                </w:tcPr>
                <w:p w14:paraId="37B86A5F">
                  <w:pPr>
                    <w:jc w:val="center"/>
                    <w:rPr>
                      <w:rFonts w:hint="eastAsia"/>
                      <w:color w:val="auto"/>
                      <w:szCs w:val="21"/>
                      <w:lang w:val="en-US" w:eastAsia="zh-CN"/>
                    </w:rPr>
                  </w:pPr>
                  <w:r>
                    <w:rPr>
                      <w:rFonts w:hint="eastAsia"/>
                      <w:szCs w:val="21"/>
                    </w:rPr>
                    <w:t>2</w:t>
                  </w:r>
                </w:p>
              </w:tc>
            </w:tr>
            <w:tr w14:paraId="1411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2" w:type="dxa"/>
                  <w:vAlign w:val="center"/>
                </w:tcPr>
                <w:p w14:paraId="3CDE7704">
                  <w:pPr>
                    <w:jc w:val="center"/>
                    <w:rPr>
                      <w:rFonts w:hint="default"/>
                      <w:color w:val="auto"/>
                      <w:szCs w:val="21"/>
                      <w:lang w:val="en-US" w:eastAsia="zh-CN"/>
                    </w:rPr>
                  </w:pPr>
                  <w:r>
                    <w:rPr>
                      <w:rFonts w:hint="eastAsia"/>
                      <w:color w:val="auto"/>
                      <w:szCs w:val="21"/>
                      <w:lang w:val="en-US" w:eastAsia="zh-CN"/>
                    </w:rPr>
                    <w:t>16</w:t>
                  </w:r>
                </w:p>
              </w:tc>
              <w:tc>
                <w:tcPr>
                  <w:tcW w:w="2951" w:type="dxa"/>
                  <w:vAlign w:val="center"/>
                </w:tcPr>
                <w:p w14:paraId="39E901ED">
                  <w:pPr>
                    <w:jc w:val="center"/>
                    <w:rPr>
                      <w:rFonts w:hint="default" w:ascii="Times New Roman" w:hAnsi="Times New Roman" w:eastAsia="宋体" w:cs="Times New Roman"/>
                      <w:color w:val="auto"/>
                      <w:spacing w:val="-4"/>
                      <w:sz w:val="21"/>
                      <w:szCs w:val="21"/>
                      <w:lang w:eastAsia="zh-CN"/>
                    </w:rPr>
                  </w:pPr>
                  <w:r>
                    <w:rPr>
                      <w:rFonts w:hint="eastAsia" w:ascii="Times New Roman" w:hAnsi="Times New Roman" w:eastAsiaTheme="minorEastAsia"/>
                      <w:sz w:val="21"/>
                      <w:szCs w:val="21"/>
                    </w:rPr>
                    <w:t>有机</w:t>
                  </w:r>
                  <w:r>
                    <w:rPr>
                      <w:rFonts w:ascii="Times New Roman" w:hAnsi="Times New Roman" w:eastAsiaTheme="minorEastAsia"/>
                      <w:sz w:val="21"/>
                      <w:szCs w:val="21"/>
                    </w:rPr>
                    <w:t>废气处理设备</w:t>
                  </w:r>
                </w:p>
              </w:tc>
              <w:tc>
                <w:tcPr>
                  <w:tcW w:w="885" w:type="dxa"/>
                  <w:vAlign w:val="center"/>
                </w:tcPr>
                <w:p w14:paraId="2641AA77">
                  <w:pPr>
                    <w:jc w:val="center"/>
                    <w:rPr>
                      <w:rFonts w:hint="eastAsia"/>
                      <w:color w:val="auto"/>
                      <w:szCs w:val="21"/>
                      <w:lang w:val="en-US" w:eastAsia="zh-CN"/>
                    </w:rPr>
                  </w:pPr>
                  <w:r>
                    <w:rPr>
                      <w:rFonts w:hint="eastAsia" w:ascii="Times New Roman" w:hAnsi="Times New Roman" w:eastAsiaTheme="minorEastAsia"/>
                      <w:sz w:val="21"/>
                      <w:szCs w:val="21"/>
                    </w:rPr>
                    <w:t>套</w:t>
                  </w:r>
                </w:p>
              </w:tc>
              <w:tc>
                <w:tcPr>
                  <w:tcW w:w="1646" w:type="dxa"/>
                  <w:vAlign w:val="center"/>
                </w:tcPr>
                <w:p w14:paraId="6A302BA1">
                  <w:pPr>
                    <w:jc w:val="center"/>
                    <w:rPr>
                      <w:rFonts w:hint="eastAsia"/>
                      <w:color w:val="auto"/>
                      <w:szCs w:val="21"/>
                      <w:lang w:val="en-US" w:eastAsia="zh-CN"/>
                    </w:rPr>
                  </w:pPr>
                  <w:r>
                    <w:rPr>
                      <w:rFonts w:hint="eastAsia" w:ascii="Times New Roman" w:hAnsi="Times New Roman" w:eastAsiaTheme="minorEastAsia"/>
                      <w:sz w:val="21"/>
                      <w:szCs w:val="21"/>
                      <w:lang w:val="en-US" w:eastAsia="zh-CN"/>
                    </w:rPr>
                    <w:t>1</w:t>
                  </w:r>
                </w:p>
              </w:tc>
              <w:tc>
                <w:tcPr>
                  <w:tcW w:w="1896" w:type="dxa"/>
                  <w:vAlign w:val="center"/>
                </w:tcPr>
                <w:p w14:paraId="125F5E89">
                  <w:pPr>
                    <w:jc w:val="center"/>
                    <w:rPr>
                      <w:rFonts w:hint="eastAsia"/>
                      <w:color w:val="auto"/>
                      <w:szCs w:val="21"/>
                      <w:lang w:val="en-US" w:eastAsia="zh-CN"/>
                    </w:rPr>
                  </w:pPr>
                  <w:r>
                    <w:rPr>
                      <w:rFonts w:hint="eastAsia" w:ascii="Times New Roman" w:hAnsi="Times New Roman" w:eastAsiaTheme="minorEastAsia"/>
                      <w:sz w:val="21"/>
                      <w:szCs w:val="21"/>
                      <w:lang w:val="en-US" w:eastAsia="zh-CN"/>
                    </w:rPr>
                    <w:t>1</w:t>
                  </w:r>
                </w:p>
              </w:tc>
            </w:tr>
          </w:tbl>
          <w:p w14:paraId="1192EA27">
            <w:pPr>
              <w:rPr>
                <w:rFonts w:hAnsi="宋体"/>
                <w:color w:val="auto"/>
                <w:sz w:val="24"/>
              </w:rPr>
            </w:pPr>
          </w:p>
          <w:p w14:paraId="59B6677C">
            <w:pPr>
              <w:spacing w:beforeLines="50" w:line="440" w:lineRule="exact"/>
              <w:rPr>
                <w:b/>
                <w:color w:val="auto"/>
                <w:sz w:val="24"/>
              </w:rPr>
            </w:pPr>
            <w:r>
              <w:rPr>
                <w:rFonts w:hint="eastAsia"/>
                <w:b/>
                <w:color w:val="auto"/>
                <w:sz w:val="24"/>
                <w:lang w:val="en-US" w:eastAsia="zh-CN"/>
              </w:rPr>
              <w:t>2.2.</w:t>
            </w:r>
            <w:r>
              <w:rPr>
                <w:b/>
                <w:color w:val="auto"/>
                <w:sz w:val="24"/>
              </w:rPr>
              <w:t>3</w:t>
            </w:r>
            <w:r>
              <w:rPr>
                <w:rFonts w:hint="eastAsia"/>
                <w:b/>
                <w:color w:val="auto"/>
                <w:sz w:val="24"/>
              </w:rPr>
              <w:t>现有</w:t>
            </w:r>
            <w:r>
              <w:rPr>
                <w:b/>
                <w:color w:val="auto"/>
                <w:sz w:val="24"/>
              </w:rPr>
              <w:t>项目生产工艺流程</w:t>
            </w:r>
          </w:p>
          <w:p w14:paraId="2523FDCB">
            <w:pPr>
              <w:pStyle w:val="2"/>
              <w:ind w:firstLine="480"/>
              <w:rPr>
                <w:rFonts w:hAnsi="宋体"/>
                <w:color w:val="auto"/>
                <w:sz w:val="24"/>
              </w:rPr>
            </w:pPr>
          </w:p>
          <w:p w14:paraId="7BDB16CC">
            <w:pPr>
              <w:pStyle w:val="3"/>
              <w:rPr>
                <w:rFonts w:hAnsi="宋体"/>
                <w:color w:val="auto"/>
              </w:rPr>
            </w:pPr>
            <w:r>
              <w:drawing>
                <wp:inline distT="0" distB="0" distL="114300" distR="114300">
                  <wp:extent cx="5024755" cy="1455420"/>
                  <wp:effectExtent l="0" t="0" r="4445" b="1143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0"/>
                          <a:stretch>
                            <a:fillRect/>
                          </a:stretch>
                        </pic:blipFill>
                        <pic:spPr>
                          <a:xfrm>
                            <a:off x="0" y="0"/>
                            <a:ext cx="5024755" cy="1455420"/>
                          </a:xfrm>
                          <a:prstGeom prst="rect">
                            <a:avLst/>
                          </a:prstGeom>
                          <a:noFill/>
                          <a:ln>
                            <a:noFill/>
                          </a:ln>
                        </pic:spPr>
                      </pic:pic>
                    </a:graphicData>
                  </a:graphic>
                </wp:inline>
              </w:drawing>
            </w:r>
          </w:p>
          <w:p w14:paraId="66E8DD7C">
            <w:pPr>
              <w:rPr>
                <w:rFonts w:hAnsi="宋体"/>
                <w:color w:val="auto"/>
                <w:sz w:val="24"/>
              </w:rPr>
            </w:pPr>
          </w:p>
          <w:p w14:paraId="03648717">
            <w:pPr>
              <w:spacing w:line="360" w:lineRule="auto"/>
              <w:jc w:val="center"/>
              <w:rPr>
                <w:rFonts w:hAnsi="宋体"/>
                <w:color w:val="auto"/>
                <w:sz w:val="24"/>
              </w:rPr>
            </w:pPr>
            <w:r>
              <w:rPr>
                <w:b/>
                <w:szCs w:val="21"/>
                <w:u w:val="single"/>
              </w:rPr>
              <w:t>图</w:t>
            </w:r>
            <w:r>
              <w:rPr>
                <w:rFonts w:hint="eastAsia"/>
                <w:b/>
                <w:szCs w:val="21"/>
                <w:u w:val="single"/>
                <w:lang w:val="en-US" w:eastAsia="zh-CN"/>
              </w:rPr>
              <w:t>2-4</w:t>
            </w:r>
            <w:r>
              <w:rPr>
                <w:rFonts w:hint="eastAsia"/>
                <w:b/>
                <w:szCs w:val="21"/>
                <w:u w:val="single"/>
              </w:rPr>
              <w:t>家具塑料配件</w:t>
            </w:r>
            <w:r>
              <w:rPr>
                <w:b/>
                <w:szCs w:val="21"/>
                <w:u w:val="single"/>
              </w:rPr>
              <w:t>工艺流程及产污环节示意图</w:t>
            </w:r>
          </w:p>
          <w:p w14:paraId="7A091B5E">
            <w:pPr>
              <w:spacing w:line="360" w:lineRule="auto"/>
              <w:jc w:val="both"/>
              <w:rPr>
                <w:b/>
                <w:szCs w:val="21"/>
                <w:u w:val="single"/>
              </w:rPr>
            </w:pPr>
          </w:p>
          <w:p w14:paraId="683C06D1">
            <w:pPr>
              <w:spacing w:line="360" w:lineRule="auto"/>
              <w:jc w:val="center"/>
              <w:rPr>
                <w:b/>
                <w:szCs w:val="21"/>
                <w:u w:val="single"/>
              </w:rPr>
            </w:pPr>
            <w:r>
              <w:drawing>
                <wp:anchor distT="0" distB="0" distL="114300" distR="114300" simplePos="0" relativeHeight="251683840" behindDoc="0" locked="0" layoutInCell="1" allowOverlap="1">
                  <wp:simplePos x="0" y="0"/>
                  <wp:positionH relativeFrom="column">
                    <wp:posOffset>38735</wp:posOffset>
                  </wp:positionH>
                  <wp:positionV relativeFrom="paragraph">
                    <wp:posOffset>116840</wp:posOffset>
                  </wp:positionV>
                  <wp:extent cx="5080000" cy="1380490"/>
                  <wp:effectExtent l="0" t="0" r="6350" b="10160"/>
                  <wp:wrapNone/>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1"/>
                          <a:stretch>
                            <a:fillRect/>
                          </a:stretch>
                        </pic:blipFill>
                        <pic:spPr>
                          <a:xfrm>
                            <a:off x="0" y="0"/>
                            <a:ext cx="5080000" cy="1380490"/>
                          </a:xfrm>
                          <a:prstGeom prst="rect">
                            <a:avLst/>
                          </a:prstGeom>
                          <a:noFill/>
                          <a:ln>
                            <a:noFill/>
                          </a:ln>
                        </pic:spPr>
                      </pic:pic>
                    </a:graphicData>
                  </a:graphic>
                </wp:anchor>
              </w:drawing>
            </w:r>
          </w:p>
          <w:p w14:paraId="125A89C4">
            <w:pPr>
              <w:spacing w:line="360" w:lineRule="auto"/>
              <w:jc w:val="center"/>
              <w:rPr>
                <w:b/>
                <w:szCs w:val="21"/>
                <w:u w:val="single"/>
              </w:rPr>
            </w:pPr>
          </w:p>
          <w:p w14:paraId="361DE200">
            <w:pPr>
              <w:spacing w:line="360" w:lineRule="auto"/>
              <w:jc w:val="center"/>
              <w:rPr>
                <w:b/>
                <w:szCs w:val="21"/>
                <w:u w:val="single"/>
              </w:rPr>
            </w:pPr>
          </w:p>
          <w:p w14:paraId="65BBD69C">
            <w:pPr>
              <w:spacing w:line="360" w:lineRule="auto"/>
              <w:jc w:val="center"/>
              <w:rPr>
                <w:b/>
                <w:szCs w:val="21"/>
                <w:u w:val="single"/>
              </w:rPr>
            </w:pPr>
          </w:p>
          <w:p w14:paraId="2BCD882A">
            <w:pPr>
              <w:spacing w:line="360" w:lineRule="auto"/>
              <w:jc w:val="center"/>
              <w:rPr>
                <w:b/>
                <w:szCs w:val="21"/>
                <w:u w:val="single"/>
              </w:rPr>
            </w:pPr>
          </w:p>
          <w:p w14:paraId="02781A57">
            <w:pPr>
              <w:spacing w:line="360" w:lineRule="auto"/>
              <w:jc w:val="center"/>
              <w:rPr>
                <w:b/>
                <w:szCs w:val="21"/>
                <w:u w:val="single"/>
              </w:rPr>
            </w:pPr>
          </w:p>
          <w:p w14:paraId="65FE919E">
            <w:pPr>
              <w:spacing w:line="360" w:lineRule="auto"/>
              <w:jc w:val="center"/>
              <w:rPr>
                <w:b/>
                <w:szCs w:val="21"/>
                <w:u w:val="single"/>
              </w:rPr>
            </w:pPr>
          </w:p>
          <w:p w14:paraId="0848E49C">
            <w:pPr>
              <w:spacing w:line="360" w:lineRule="auto"/>
              <w:jc w:val="center"/>
              <w:rPr>
                <w:rFonts w:hAnsi="宋体"/>
                <w:color w:val="auto"/>
                <w:sz w:val="24"/>
              </w:rPr>
            </w:pPr>
            <w:r>
              <w:rPr>
                <w:b/>
                <w:szCs w:val="21"/>
                <w:u w:val="single"/>
              </w:rPr>
              <w:t>图</w:t>
            </w:r>
            <w:r>
              <w:rPr>
                <w:rFonts w:hint="eastAsia"/>
                <w:b/>
                <w:szCs w:val="21"/>
                <w:u w:val="single"/>
                <w:lang w:val="en-US" w:eastAsia="zh-CN"/>
              </w:rPr>
              <w:t>2-5</w:t>
            </w:r>
            <w:r>
              <w:rPr>
                <w:rFonts w:hint="eastAsia"/>
                <w:b/>
                <w:szCs w:val="21"/>
                <w:u w:val="single"/>
              </w:rPr>
              <w:t>家具塑料配件</w:t>
            </w:r>
            <w:r>
              <w:rPr>
                <w:b/>
                <w:szCs w:val="21"/>
                <w:u w:val="single"/>
              </w:rPr>
              <w:t>工艺流程及产污环节示意图</w:t>
            </w:r>
          </w:p>
          <w:p w14:paraId="00D24A3E">
            <w:pPr>
              <w:pStyle w:val="3"/>
              <w:spacing w:line="360" w:lineRule="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工艺流程简述</w:t>
            </w:r>
          </w:p>
          <w:p w14:paraId="3C75B1AF">
            <w:pPr>
              <w:pStyle w:val="3"/>
              <w:spacing w:line="360" w:lineRule="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家具塑料配件生产原料主要为PP和ABS。首先将原料烘干水分（约80℃），之后与色母料进行混合配色，倒入注塑设备中，待注塑设备达到设定温度（200-250℃）使粒子融化，之后灌入不同规格的模具中。挤出的工件通过冷却水间接冷却，之后通过人工修剪后即为成品家具塑料配件。</w:t>
            </w:r>
          </w:p>
          <w:p w14:paraId="1C78379E">
            <w:pPr>
              <w:pStyle w:val="3"/>
              <w:spacing w:line="360" w:lineRule="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家具五金配件生产原料主要为外购的钢材。本项目利用机械加工设备对钢材进行金加工。首先经下料后进行钻孔，之后通过弯管机折弯后进行焊接成型。为保证工件表面光滑无毛刺，在电焊后需采用磨光机对工件表面进行磨光处理，最后即为成品家具五金配件。</w:t>
            </w:r>
          </w:p>
          <w:p w14:paraId="16EB70B0">
            <w:pPr>
              <w:pStyle w:val="3"/>
              <w:spacing w:line="360" w:lineRule="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注：本项目不涉及喷漆、电镀、酸洗、磷化、硅烷化等表面处理工艺</w:t>
            </w:r>
          </w:p>
          <w:p w14:paraId="061A4888">
            <w:pPr>
              <w:rPr>
                <w:rFonts w:hAnsi="宋体"/>
                <w:color w:val="auto"/>
                <w:sz w:val="24"/>
              </w:rPr>
            </w:pPr>
          </w:p>
          <w:p w14:paraId="1D988490">
            <w:pPr>
              <w:pStyle w:val="2"/>
              <w:ind w:firstLine="480"/>
              <w:rPr>
                <w:rFonts w:hAnsi="宋体"/>
                <w:color w:val="auto"/>
                <w:sz w:val="24"/>
              </w:rPr>
            </w:pPr>
          </w:p>
          <w:p w14:paraId="4FAD47DC">
            <w:pPr>
              <w:pStyle w:val="3"/>
              <w:rPr>
                <w:rFonts w:hAnsi="宋体"/>
                <w:color w:val="auto"/>
              </w:rPr>
            </w:pPr>
          </w:p>
          <w:p w14:paraId="4AB2AA3B">
            <w:pPr>
              <w:rPr>
                <w:rFonts w:hAnsi="宋体"/>
                <w:color w:val="auto"/>
                <w:sz w:val="24"/>
              </w:rPr>
            </w:pPr>
          </w:p>
          <w:p w14:paraId="106F25FD">
            <w:pPr>
              <w:pStyle w:val="2"/>
              <w:ind w:firstLine="480"/>
              <w:rPr>
                <w:rFonts w:hAnsi="宋体"/>
                <w:color w:val="auto"/>
                <w:sz w:val="24"/>
              </w:rPr>
            </w:pPr>
          </w:p>
          <w:p w14:paraId="296B554B">
            <w:pPr>
              <w:spacing w:line="440" w:lineRule="exact"/>
              <w:jc w:val="left"/>
              <w:rPr>
                <w:bCs/>
                <w:color w:val="auto"/>
                <w:sz w:val="24"/>
              </w:rPr>
            </w:pPr>
            <w:r>
              <w:rPr>
                <w:rFonts w:hint="eastAsia"/>
                <w:b/>
                <w:bCs/>
                <w:color w:val="auto"/>
                <w:sz w:val="24"/>
                <w:lang w:val="en-US" w:eastAsia="zh-CN"/>
              </w:rPr>
              <w:t>2.2.</w:t>
            </w:r>
            <w:r>
              <w:rPr>
                <w:rFonts w:hint="eastAsia"/>
                <w:b/>
                <w:bCs/>
                <w:color w:val="auto"/>
                <w:sz w:val="24"/>
              </w:rPr>
              <w:t>4现有项目污染物情况汇总表</w:t>
            </w:r>
          </w:p>
          <w:p w14:paraId="243524CE">
            <w:pPr>
              <w:adjustRightInd w:val="0"/>
              <w:snapToGrid w:val="0"/>
              <w:spacing w:line="440" w:lineRule="exact"/>
              <w:ind w:firstLine="422" w:firstLineChars="200"/>
              <w:jc w:val="center"/>
              <w:rPr>
                <w:rFonts w:hAnsi="Arial"/>
                <w:b/>
                <w:bCs/>
                <w:color w:val="auto"/>
                <w:szCs w:val="21"/>
              </w:rPr>
            </w:pPr>
            <w:r>
              <w:rPr>
                <w:b/>
                <w:bCs/>
                <w:color w:val="auto"/>
                <w:szCs w:val="21"/>
              </w:rPr>
              <w:t>表</w:t>
            </w:r>
            <w:r>
              <w:rPr>
                <w:rFonts w:hint="eastAsia"/>
                <w:b/>
                <w:bCs/>
                <w:color w:val="auto"/>
                <w:szCs w:val="21"/>
              </w:rPr>
              <w:t>2</w:t>
            </w:r>
            <w:r>
              <w:rPr>
                <w:b/>
                <w:bCs/>
                <w:color w:val="auto"/>
                <w:szCs w:val="21"/>
              </w:rPr>
              <w:t>-</w:t>
            </w:r>
            <w:r>
              <w:rPr>
                <w:rFonts w:hint="eastAsia"/>
                <w:b/>
                <w:bCs/>
                <w:color w:val="auto"/>
                <w:szCs w:val="21"/>
                <w:lang w:val="en-US" w:eastAsia="zh-CN"/>
              </w:rPr>
              <w:t>10</w:t>
            </w:r>
            <w:r>
              <w:rPr>
                <w:rFonts w:hint="eastAsia"/>
                <w:b/>
                <w:bCs/>
                <w:color w:val="auto"/>
                <w:szCs w:val="21"/>
              </w:rPr>
              <w:t xml:space="preserve">  现有</w:t>
            </w:r>
            <w:r>
              <w:rPr>
                <w:b/>
                <w:bCs/>
                <w:color w:val="auto"/>
                <w:szCs w:val="21"/>
              </w:rPr>
              <w:t>项目</w:t>
            </w:r>
            <w:r>
              <w:rPr>
                <w:rFonts w:hint="eastAsia"/>
                <w:b/>
                <w:bCs/>
                <w:color w:val="auto"/>
                <w:szCs w:val="21"/>
              </w:rPr>
              <w:t>环评审批</w:t>
            </w:r>
            <w:r>
              <w:rPr>
                <w:b/>
                <w:bCs/>
                <w:color w:val="auto"/>
                <w:szCs w:val="21"/>
              </w:rPr>
              <w:t>污染源汇总情</w:t>
            </w:r>
            <w:r>
              <w:rPr>
                <w:rFonts w:hAnsi="Arial"/>
                <w:b/>
                <w:bCs/>
                <w:color w:val="auto"/>
                <w:szCs w:val="21"/>
              </w:rPr>
              <w:t>况表</w:t>
            </w:r>
          </w:p>
          <w:tbl>
            <w:tblPr>
              <w:tblStyle w:val="272"/>
              <w:tblW w:w="8508" w:type="dxa"/>
              <w:tblInd w:w="3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8"/>
              <w:gridCol w:w="1188"/>
              <w:gridCol w:w="1491"/>
              <w:gridCol w:w="2445"/>
              <w:gridCol w:w="2336"/>
            </w:tblGrid>
            <w:tr w14:paraId="6A128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048" w:type="dxa"/>
                  <w:tcBorders>
                    <w:tl2br w:val="single" w:color="000000" w:sz="4" w:space="0"/>
                  </w:tcBorders>
                  <w:vAlign w:val="top"/>
                </w:tcPr>
                <w:p w14:paraId="4DA3C79E">
                  <w:pPr>
                    <w:pStyle w:val="274"/>
                    <w:autoSpaceDE w:val="0"/>
                    <w:autoSpaceDN w:val="0"/>
                    <w:spacing w:before="87" w:line="239" w:lineRule="auto"/>
                    <w:ind w:left="116" w:right="108" w:firstLine="430"/>
                    <w:rPr>
                      <w:sz w:val="20"/>
                      <w:szCs w:val="20"/>
                    </w:rPr>
                  </w:pPr>
                  <w:r>
                    <w:rPr>
                      <w:b/>
                      <w:bCs/>
                      <w:spacing w:val="-9"/>
                      <w:sz w:val="20"/>
                      <w:szCs w:val="20"/>
                    </w:rPr>
                    <w:t>内容</w:t>
                  </w:r>
                  <w:r>
                    <w:rPr>
                      <w:sz w:val="20"/>
                      <w:szCs w:val="20"/>
                    </w:rPr>
                    <w:t xml:space="preserve"> </w:t>
                  </w:r>
                  <w:r>
                    <w:rPr>
                      <w:b/>
                      <w:bCs/>
                      <w:spacing w:val="3"/>
                      <w:sz w:val="20"/>
                      <w:szCs w:val="20"/>
                    </w:rPr>
                    <w:t>类型</w:t>
                  </w:r>
                </w:p>
              </w:tc>
              <w:tc>
                <w:tcPr>
                  <w:tcW w:w="1188" w:type="dxa"/>
                  <w:vAlign w:val="top"/>
                </w:tcPr>
                <w:p w14:paraId="410B5742">
                  <w:pPr>
                    <w:pStyle w:val="274"/>
                    <w:autoSpaceDE w:val="0"/>
                    <w:autoSpaceDN w:val="0"/>
                    <w:spacing w:before="221" w:line="229" w:lineRule="auto"/>
                    <w:ind w:left="282"/>
                    <w:rPr>
                      <w:sz w:val="20"/>
                      <w:szCs w:val="20"/>
                    </w:rPr>
                  </w:pPr>
                  <w:r>
                    <w:rPr>
                      <w:b/>
                      <w:bCs/>
                      <w:spacing w:val="5"/>
                      <w:sz w:val="20"/>
                      <w:szCs w:val="20"/>
                    </w:rPr>
                    <w:t>排放源</w:t>
                  </w:r>
                </w:p>
              </w:tc>
              <w:tc>
                <w:tcPr>
                  <w:tcW w:w="1491" w:type="dxa"/>
                  <w:vAlign w:val="top"/>
                </w:tcPr>
                <w:p w14:paraId="56DA3C73">
                  <w:pPr>
                    <w:pStyle w:val="274"/>
                    <w:autoSpaceDE w:val="0"/>
                    <w:autoSpaceDN w:val="0"/>
                    <w:spacing w:before="87"/>
                    <w:ind w:left="488" w:right="428" w:hanging="53"/>
                    <w:rPr>
                      <w:sz w:val="20"/>
                      <w:szCs w:val="20"/>
                    </w:rPr>
                  </w:pPr>
                  <w:r>
                    <w:rPr>
                      <w:b/>
                      <w:bCs/>
                      <w:spacing w:val="5"/>
                      <w:sz w:val="20"/>
                      <w:szCs w:val="20"/>
                    </w:rPr>
                    <w:t>污染物</w:t>
                  </w:r>
                  <w:r>
                    <w:rPr>
                      <w:sz w:val="20"/>
                      <w:szCs w:val="20"/>
                    </w:rPr>
                    <w:t xml:space="preserve"> </w:t>
                  </w:r>
                  <w:r>
                    <w:rPr>
                      <w:b/>
                      <w:bCs/>
                      <w:spacing w:val="-3"/>
                      <w:sz w:val="20"/>
                      <w:szCs w:val="20"/>
                    </w:rPr>
                    <w:t>名</w:t>
                  </w:r>
                  <w:r>
                    <w:rPr>
                      <w:spacing w:val="13"/>
                      <w:sz w:val="20"/>
                      <w:szCs w:val="20"/>
                    </w:rPr>
                    <w:t xml:space="preserve"> </w:t>
                  </w:r>
                  <w:r>
                    <w:rPr>
                      <w:b/>
                      <w:bCs/>
                      <w:spacing w:val="-3"/>
                      <w:sz w:val="20"/>
                      <w:szCs w:val="20"/>
                    </w:rPr>
                    <w:t>称</w:t>
                  </w:r>
                </w:p>
              </w:tc>
              <w:tc>
                <w:tcPr>
                  <w:tcW w:w="2445" w:type="dxa"/>
                  <w:vAlign w:val="top"/>
                </w:tcPr>
                <w:p w14:paraId="1F5BF075">
                  <w:pPr>
                    <w:pStyle w:val="274"/>
                    <w:autoSpaceDE w:val="0"/>
                    <w:autoSpaceDN w:val="0"/>
                    <w:spacing w:before="87" w:line="239" w:lineRule="auto"/>
                    <w:ind w:left="704" w:right="106" w:hanging="590"/>
                    <w:rPr>
                      <w:sz w:val="20"/>
                      <w:szCs w:val="20"/>
                    </w:rPr>
                  </w:pPr>
                  <w:r>
                    <w:rPr>
                      <w:b/>
                      <w:bCs/>
                      <w:spacing w:val="-1"/>
                      <w:sz w:val="20"/>
                      <w:szCs w:val="20"/>
                    </w:rPr>
                    <w:t>环评中统计排放量（固废</w:t>
                  </w:r>
                  <w:r>
                    <w:rPr>
                      <w:spacing w:val="6"/>
                      <w:sz w:val="20"/>
                      <w:szCs w:val="20"/>
                    </w:rPr>
                    <w:t xml:space="preserve"> </w:t>
                  </w:r>
                  <w:r>
                    <w:rPr>
                      <w:b/>
                      <w:bCs/>
                      <w:spacing w:val="4"/>
                      <w:sz w:val="20"/>
                      <w:szCs w:val="20"/>
                    </w:rPr>
                    <w:t>为产生量）</w:t>
                  </w:r>
                </w:p>
              </w:tc>
              <w:tc>
                <w:tcPr>
                  <w:tcW w:w="2336" w:type="dxa"/>
                  <w:vAlign w:val="top"/>
                </w:tcPr>
                <w:p w14:paraId="796EE9BF">
                  <w:pPr>
                    <w:pStyle w:val="274"/>
                    <w:autoSpaceDE w:val="0"/>
                    <w:autoSpaceDN w:val="0"/>
                    <w:spacing w:before="87" w:line="242" w:lineRule="auto"/>
                    <w:ind w:left="857" w:right="112" w:hanging="733"/>
                    <w:rPr>
                      <w:sz w:val="20"/>
                      <w:szCs w:val="20"/>
                    </w:rPr>
                  </w:pPr>
                  <w:r>
                    <w:rPr>
                      <w:b/>
                      <w:bCs/>
                      <w:spacing w:val="7"/>
                      <w:sz w:val="20"/>
                      <w:szCs w:val="20"/>
                    </w:rPr>
                    <w:t>实际排放量（固废为产</w:t>
                  </w:r>
                  <w:r>
                    <w:rPr>
                      <w:spacing w:val="2"/>
                      <w:sz w:val="20"/>
                      <w:szCs w:val="20"/>
                    </w:rPr>
                    <w:t xml:space="preserve"> </w:t>
                  </w:r>
                  <w:r>
                    <w:rPr>
                      <w:b/>
                      <w:bCs/>
                      <w:spacing w:val="1"/>
                      <w:sz w:val="20"/>
                      <w:szCs w:val="20"/>
                    </w:rPr>
                    <w:t>生量）</w:t>
                  </w:r>
                </w:p>
              </w:tc>
            </w:tr>
            <w:tr w14:paraId="244B5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048" w:type="dxa"/>
                  <w:vMerge w:val="restart"/>
                  <w:tcBorders>
                    <w:bottom w:val="nil"/>
                  </w:tcBorders>
                  <w:textDirection w:val="tbRlV"/>
                  <w:vAlign w:val="top"/>
                </w:tcPr>
                <w:p w14:paraId="6330B7ED">
                  <w:pPr>
                    <w:autoSpaceDE w:val="0"/>
                    <w:autoSpaceDN w:val="0"/>
                    <w:spacing w:line="340" w:lineRule="auto"/>
                    <w:rPr>
                      <w:rFonts w:ascii="Arial"/>
                      <w:sz w:val="21"/>
                    </w:rPr>
                  </w:pPr>
                </w:p>
                <w:p w14:paraId="23E2EF5C">
                  <w:pPr>
                    <w:pStyle w:val="274"/>
                    <w:autoSpaceDE w:val="0"/>
                    <w:autoSpaceDN w:val="0"/>
                    <w:spacing w:before="67" w:line="215" w:lineRule="auto"/>
                    <w:ind w:left="33"/>
                    <w:rPr>
                      <w:sz w:val="20"/>
                      <w:szCs w:val="20"/>
                    </w:rPr>
                  </w:pPr>
                  <w:r>
                    <w:rPr>
                      <w:b/>
                      <w:bCs/>
                      <w:spacing w:val="6"/>
                      <w:sz w:val="20"/>
                      <w:szCs w:val="20"/>
                    </w:rPr>
                    <w:t>大</w:t>
                  </w:r>
                  <w:r>
                    <w:rPr>
                      <w:spacing w:val="-36"/>
                      <w:sz w:val="20"/>
                      <w:szCs w:val="20"/>
                    </w:rPr>
                    <w:t xml:space="preserve"> </w:t>
                  </w:r>
                  <w:r>
                    <w:rPr>
                      <w:b/>
                      <w:bCs/>
                      <w:spacing w:val="6"/>
                      <w:sz w:val="20"/>
                      <w:szCs w:val="20"/>
                    </w:rPr>
                    <w:t>气</w:t>
                  </w:r>
                  <w:r>
                    <w:rPr>
                      <w:spacing w:val="-37"/>
                      <w:sz w:val="20"/>
                      <w:szCs w:val="20"/>
                    </w:rPr>
                    <w:t xml:space="preserve"> </w:t>
                  </w:r>
                  <w:r>
                    <w:rPr>
                      <w:b/>
                      <w:bCs/>
                      <w:spacing w:val="6"/>
                      <w:sz w:val="20"/>
                      <w:szCs w:val="20"/>
                    </w:rPr>
                    <w:t>污</w:t>
                  </w:r>
                  <w:r>
                    <w:rPr>
                      <w:spacing w:val="-35"/>
                      <w:sz w:val="20"/>
                      <w:szCs w:val="20"/>
                    </w:rPr>
                    <w:t xml:space="preserve"> </w:t>
                  </w:r>
                  <w:r>
                    <w:rPr>
                      <w:b/>
                      <w:bCs/>
                      <w:spacing w:val="6"/>
                      <w:sz w:val="20"/>
                      <w:szCs w:val="20"/>
                    </w:rPr>
                    <w:t>染</w:t>
                  </w:r>
                  <w:r>
                    <w:rPr>
                      <w:spacing w:val="-38"/>
                      <w:sz w:val="20"/>
                      <w:szCs w:val="20"/>
                    </w:rPr>
                    <w:t xml:space="preserve"> </w:t>
                  </w:r>
                  <w:r>
                    <w:rPr>
                      <w:b/>
                      <w:bCs/>
                      <w:spacing w:val="6"/>
                      <w:sz w:val="20"/>
                      <w:szCs w:val="20"/>
                    </w:rPr>
                    <w:t>物</w:t>
                  </w:r>
                </w:p>
              </w:tc>
              <w:tc>
                <w:tcPr>
                  <w:tcW w:w="1188" w:type="dxa"/>
                  <w:vAlign w:val="top"/>
                </w:tcPr>
                <w:p w14:paraId="58A70878">
                  <w:pPr>
                    <w:pStyle w:val="274"/>
                    <w:autoSpaceDE w:val="0"/>
                    <w:autoSpaceDN w:val="0"/>
                    <w:spacing w:before="200" w:line="228" w:lineRule="auto"/>
                    <w:ind w:left="176"/>
                    <w:rPr>
                      <w:sz w:val="20"/>
                      <w:szCs w:val="20"/>
                    </w:rPr>
                  </w:pPr>
                  <w:r>
                    <w:rPr>
                      <w:rFonts w:hint="eastAsia"/>
                      <w:spacing w:val="7"/>
                      <w:sz w:val="20"/>
                      <w:szCs w:val="20"/>
                      <w:lang w:eastAsia="zh-CN"/>
                    </w:rPr>
                    <w:t>注塑</w:t>
                  </w:r>
                  <w:r>
                    <w:rPr>
                      <w:spacing w:val="7"/>
                      <w:sz w:val="20"/>
                      <w:szCs w:val="20"/>
                    </w:rPr>
                    <w:t>废气</w:t>
                  </w:r>
                </w:p>
              </w:tc>
              <w:tc>
                <w:tcPr>
                  <w:tcW w:w="1491" w:type="dxa"/>
                  <w:vAlign w:val="top"/>
                </w:tcPr>
                <w:p w14:paraId="6DE763F9">
                  <w:pPr>
                    <w:pStyle w:val="274"/>
                    <w:autoSpaceDE w:val="0"/>
                    <w:autoSpaceDN w:val="0"/>
                    <w:spacing w:before="211" w:line="228" w:lineRule="auto"/>
                    <w:ind w:left="228"/>
                    <w:rPr>
                      <w:rFonts w:hint="eastAsia" w:eastAsia="宋体"/>
                      <w:sz w:val="20"/>
                      <w:szCs w:val="20"/>
                      <w:lang w:eastAsia="zh-CN"/>
                    </w:rPr>
                  </w:pPr>
                  <w:r>
                    <w:rPr>
                      <w:spacing w:val="7"/>
                      <w:sz w:val="20"/>
                      <w:szCs w:val="20"/>
                    </w:rPr>
                    <w:t>非甲烷总烃</w:t>
                  </w:r>
                  <w:r>
                    <w:rPr>
                      <w:rFonts w:hint="eastAsia"/>
                      <w:spacing w:val="7"/>
                      <w:sz w:val="20"/>
                      <w:szCs w:val="20"/>
                      <w:lang w:eastAsia="zh-CN"/>
                    </w:rPr>
                    <w:t>、苯乙烯</w:t>
                  </w:r>
                </w:p>
              </w:tc>
              <w:tc>
                <w:tcPr>
                  <w:tcW w:w="2445" w:type="dxa"/>
                  <w:vAlign w:val="top"/>
                </w:tcPr>
                <w:p w14:paraId="1CDA28BA">
                  <w:pPr>
                    <w:autoSpaceDE w:val="0"/>
                    <w:autoSpaceDN w:val="0"/>
                    <w:spacing w:before="233" w:line="192" w:lineRule="auto"/>
                    <w:ind w:left="872"/>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9"/>
                      <w:sz w:val="20"/>
                      <w:szCs w:val="20"/>
                    </w:rPr>
                    <w:t xml:space="preserve"> </w:t>
                  </w:r>
                  <w:r>
                    <w:rPr>
                      <w:rFonts w:hint="eastAsia" w:ascii="Times New Roman" w:hAnsi="Times New Roman" w:eastAsia="宋体" w:cs="Times New Roman"/>
                      <w:spacing w:val="-2"/>
                      <w:sz w:val="20"/>
                      <w:szCs w:val="20"/>
                      <w:lang w:val="en-US" w:eastAsia="zh-CN"/>
                    </w:rPr>
                    <w:t>055</w:t>
                  </w:r>
                  <w:r>
                    <w:rPr>
                      <w:rFonts w:ascii="Times New Roman" w:hAnsi="Times New Roman" w:eastAsia="Times New Roman" w:cs="Times New Roman"/>
                      <w:spacing w:val="-2"/>
                      <w:sz w:val="24"/>
                      <w:szCs w:val="24"/>
                    </w:rPr>
                    <w:t>t/a</w:t>
                  </w:r>
                </w:p>
              </w:tc>
              <w:tc>
                <w:tcPr>
                  <w:tcW w:w="2336" w:type="dxa"/>
                  <w:vAlign w:val="top"/>
                </w:tcPr>
                <w:p w14:paraId="657DB85B">
                  <w:pPr>
                    <w:autoSpaceDE w:val="0"/>
                    <w:autoSpaceDN w:val="0"/>
                    <w:spacing w:before="233" w:line="192" w:lineRule="auto"/>
                    <w:ind w:left="815"/>
                    <w:rPr>
                      <w:rFonts w:ascii="Times New Roman" w:hAnsi="Times New Roman" w:eastAsia="Times New Roman" w:cs="Times New Roman"/>
                      <w:sz w:val="24"/>
                      <w:szCs w:val="24"/>
                    </w:rPr>
                  </w:pPr>
                  <w:r>
                    <w:rPr>
                      <w:rFonts w:ascii="Times New Roman" w:hAnsi="Times New Roman" w:eastAsia="Times New Roman" w:cs="Times New Roman"/>
                      <w:spacing w:val="2"/>
                      <w:sz w:val="20"/>
                      <w:szCs w:val="20"/>
                    </w:rPr>
                    <w:t>0.0</w:t>
                  </w:r>
                  <w:r>
                    <w:rPr>
                      <w:rFonts w:hint="eastAsia" w:ascii="Times New Roman" w:hAnsi="Times New Roman" w:eastAsia="宋体" w:cs="Times New Roman"/>
                      <w:spacing w:val="2"/>
                      <w:sz w:val="20"/>
                      <w:szCs w:val="20"/>
                      <w:lang w:val="en-US" w:eastAsia="zh-CN"/>
                    </w:rPr>
                    <w:t>53</w:t>
                  </w:r>
                  <w:r>
                    <w:rPr>
                      <w:rFonts w:ascii="Times New Roman" w:hAnsi="Times New Roman" w:eastAsia="Times New Roman" w:cs="Times New Roman"/>
                      <w:spacing w:val="2"/>
                      <w:sz w:val="24"/>
                      <w:szCs w:val="24"/>
                    </w:rPr>
                    <w:t>t/a</w:t>
                  </w:r>
                </w:p>
              </w:tc>
            </w:tr>
            <w:tr w14:paraId="69BF9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048" w:type="dxa"/>
                  <w:vMerge w:val="continue"/>
                  <w:tcBorders>
                    <w:top w:val="nil"/>
                  </w:tcBorders>
                  <w:textDirection w:val="tbRlV"/>
                  <w:vAlign w:val="top"/>
                </w:tcPr>
                <w:p w14:paraId="401737FF">
                  <w:pPr>
                    <w:autoSpaceDE w:val="0"/>
                    <w:autoSpaceDN w:val="0"/>
                    <w:rPr>
                      <w:rFonts w:ascii="Arial"/>
                      <w:sz w:val="21"/>
                    </w:rPr>
                  </w:pPr>
                </w:p>
              </w:tc>
              <w:tc>
                <w:tcPr>
                  <w:tcW w:w="1188" w:type="dxa"/>
                  <w:vAlign w:val="top"/>
                </w:tcPr>
                <w:p w14:paraId="319AA0F0">
                  <w:pPr>
                    <w:pStyle w:val="274"/>
                    <w:autoSpaceDE w:val="0"/>
                    <w:autoSpaceDN w:val="0"/>
                    <w:spacing w:before="257" w:line="228" w:lineRule="auto"/>
                    <w:ind w:left="176"/>
                    <w:rPr>
                      <w:rFonts w:hint="eastAsia" w:eastAsia="宋体"/>
                      <w:sz w:val="20"/>
                      <w:szCs w:val="20"/>
                      <w:lang w:eastAsia="zh-CN"/>
                    </w:rPr>
                  </w:pPr>
                  <w:r>
                    <w:rPr>
                      <w:rFonts w:hint="eastAsia"/>
                      <w:spacing w:val="7"/>
                      <w:sz w:val="20"/>
                      <w:szCs w:val="20"/>
                      <w:lang w:eastAsia="zh-CN"/>
                    </w:rPr>
                    <w:t>焊接烟尘</w:t>
                  </w:r>
                </w:p>
              </w:tc>
              <w:tc>
                <w:tcPr>
                  <w:tcW w:w="1491" w:type="dxa"/>
                  <w:vAlign w:val="top"/>
                </w:tcPr>
                <w:p w14:paraId="6B511C96">
                  <w:pPr>
                    <w:pStyle w:val="274"/>
                    <w:autoSpaceDE w:val="0"/>
                    <w:autoSpaceDN w:val="0"/>
                    <w:spacing w:before="258" w:line="228" w:lineRule="auto"/>
                    <w:ind w:left="435"/>
                    <w:rPr>
                      <w:sz w:val="20"/>
                      <w:szCs w:val="20"/>
                    </w:rPr>
                  </w:pPr>
                  <w:r>
                    <w:rPr>
                      <w:spacing w:val="7"/>
                      <w:sz w:val="20"/>
                      <w:szCs w:val="20"/>
                    </w:rPr>
                    <w:t>颗粒物</w:t>
                  </w:r>
                </w:p>
              </w:tc>
              <w:tc>
                <w:tcPr>
                  <w:tcW w:w="2445" w:type="dxa"/>
                  <w:vAlign w:val="top"/>
                </w:tcPr>
                <w:p w14:paraId="6D812F05">
                  <w:pPr>
                    <w:pStyle w:val="274"/>
                    <w:autoSpaceDE w:val="0"/>
                    <w:autoSpaceDN w:val="0"/>
                    <w:spacing w:before="258" w:line="228" w:lineRule="auto"/>
                    <w:jc w:val="center"/>
                    <w:rPr>
                      <w:rFonts w:hint="default" w:ascii="Times New Roman" w:hAnsi="Times New Roman" w:eastAsia="Times New Roman" w:cs="Times New Roman"/>
                      <w:spacing w:val="-2"/>
                      <w:kern w:val="2"/>
                      <w:sz w:val="20"/>
                      <w:szCs w:val="20"/>
                      <w:lang w:val="en-US" w:eastAsia="zh-CN" w:bidi="ar-SA"/>
                    </w:rPr>
                  </w:pPr>
                  <w:r>
                    <w:rPr>
                      <w:rFonts w:hint="eastAsia" w:ascii="Times New Roman" w:hAnsi="Times New Roman" w:eastAsia="Times New Roman" w:cs="Times New Roman"/>
                      <w:spacing w:val="-2"/>
                      <w:kern w:val="2"/>
                      <w:sz w:val="20"/>
                      <w:szCs w:val="20"/>
                      <w:lang w:val="en-US" w:eastAsia="zh-CN" w:bidi="ar-SA"/>
                    </w:rPr>
                    <w:t>0.12t/a</w:t>
                  </w:r>
                </w:p>
              </w:tc>
              <w:tc>
                <w:tcPr>
                  <w:tcW w:w="2336" w:type="dxa"/>
                  <w:vAlign w:val="top"/>
                </w:tcPr>
                <w:p w14:paraId="5D8D8381">
                  <w:pPr>
                    <w:pStyle w:val="274"/>
                    <w:autoSpaceDE w:val="0"/>
                    <w:autoSpaceDN w:val="0"/>
                    <w:spacing w:before="120" w:afterAutospacing="0"/>
                    <w:ind w:right="119"/>
                    <w:jc w:val="both"/>
                    <w:rPr>
                      <w:rFonts w:hint="eastAsia" w:ascii="Times New Roman" w:hAnsi="Times New Roman" w:eastAsia="Times New Roman" w:cs="Times New Roman"/>
                      <w:spacing w:val="-2"/>
                      <w:kern w:val="2"/>
                      <w:sz w:val="20"/>
                      <w:szCs w:val="20"/>
                      <w:lang w:val="en-US" w:eastAsia="zh-CN" w:bidi="ar-SA"/>
                    </w:rPr>
                  </w:pPr>
                </w:p>
                <w:p w14:paraId="7DCF81C8">
                  <w:pPr>
                    <w:pStyle w:val="274"/>
                    <w:autoSpaceDE w:val="0"/>
                    <w:autoSpaceDN w:val="0"/>
                    <w:spacing w:beforeAutospacing="0"/>
                    <w:ind w:left="1067" w:right="119" w:hanging="943"/>
                    <w:jc w:val="center"/>
                    <w:rPr>
                      <w:rFonts w:ascii="Times New Roman" w:hAnsi="Times New Roman" w:eastAsia="Times New Roman" w:cs="Times New Roman"/>
                      <w:spacing w:val="-2"/>
                      <w:kern w:val="2"/>
                      <w:sz w:val="20"/>
                      <w:szCs w:val="20"/>
                      <w:lang w:val="en-US" w:eastAsia="zh-CN" w:bidi="ar-SA"/>
                    </w:rPr>
                  </w:pPr>
                  <w:r>
                    <w:rPr>
                      <w:rFonts w:hint="eastAsia" w:ascii="Times New Roman" w:hAnsi="Times New Roman" w:eastAsia="Times New Roman" w:cs="Times New Roman"/>
                      <w:spacing w:val="-2"/>
                      <w:kern w:val="2"/>
                      <w:sz w:val="20"/>
                      <w:szCs w:val="20"/>
                      <w:lang w:val="en-US" w:eastAsia="zh-CN" w:bidi="ar-SA"/>
                    </w:rPr>
                    <w:t>0.043/a</w:t>
                  </w:r>
                </w:p>
              </w:tc>
            </w:tr>
            <w:tr w14:paraId="28AEC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048" w:type="dxa"/>
                  <w:vMerge w:val="restart"/>
                  <w:tcBorders>
                    <w:bottom w:val="nil"/>
                  </w:tcBorders>
                  <w:textDirection w:val="tbRlV"/>
                  <w:vAlign w:val="top"/>
                </w:tcPr>
                <w:p w14:paraId="1AC2150C">
                  <w:pPr>
                    <w:autoSpaceDE w:val="0"/>
                    <w:autoSpaceDN w:val="0"/>
                    <w:spacing w:line="340" w:lineRule="auto"/>
                    <w:rPr>
                      <w:rFonts w:ascii="Arial"/>
                      <w:sz w:val="21"/>
                    </w:rPr>
                  </w:pPr>
                </w:p>
                <w:p w14:paraId="0F8846ED">
                  <w:pPr>
                    <w:pStyle w:val="274"/>
                    <w:autoSpaceDE w:val="0"/>
                    <w:autoSpaceDN w:val="0"/>
                    <w:spacing w:before="67" w:line="216" w:lineRule="auto"/>
                    <w:ind w:left="266"/>
                    <w:rPr>
                      <w:sz w:val="20"/>
                      <w:szCs w:val="20"/>
                    </w:rPr>
                  </w:pPr>
                  <w:r>
                    <w:rPr>
                      <w:b/>
                      <w:bCs/>
                      <w:spacing w:val="6"/>
                      <w:sz w:val="20"/>
                      <w:szCs w:val="20"/>
                    </w:rPr>
                    <w:t>水</w:t>
                  </w:r>
                  <w:r>
                    <w:rPr>
                      <w:spacing w:val="-34"/>
                      <w:sz w:val="20"/>
                      <w:szCs w:val="20"/>
                    </w:rPr>
                    <w:t xml:space="preserve"> </w:t>
                  </w:r>
                  <w:r>
                    <w:rPr>
                      <w:b/>
                      <w:bCs/>
                      <w:spacing w:val="6"/>
                      <w:sz w:val="20"/>
                      <w:szCs w:val="20"/>
                    </w:rPr>
                    <w:t>污</w:t>
                  </w:r>
                  <w:r>
                    <w:rPr>
                      <w:spacing w:val="-38"/>
                      <w:sz w:val="20"/>
                      <w:szCs w:val="20"/>
                    </w:rPr>
                    <w:t xml:space="preserve"> </w:t>
                  </w:r>
                  <w:r>
                    <w:rPr>
                      <w:b/>
                      <w:bCs/>
                      <w:spacing w:val="6"/>
                      <w:sz w:val="20"/>
                      <w:szCs w:val="20"/>
                    </w:rPr>
                    <w:t>染</w:t>
                  </w:r>
                  <w:r>
                    <w:rPr>
                      <w:spacing w:val="-35"/>
                      <w:sz w:val="20"/>
                      <w:szCs w:val="20"/>
                    </w:rPr>
                    <w:t xml:space="preserve"> </w:t>
                  </w:r>
                  <w:r>
                    <w:rPr>
                      <w:b/>
                      <w:bCs/>
                      <w:spacing w:val="6"/>
                      <w:sz w:val="20"/>
                      <w:szCs w:val="20"/>
                    </w:rPr>
                    <w:t>物</w:t>
                  </w:r>
                </w:p>
              </w:tc>
              <w:tc>
                <w:tcPr>
                  <w:tcW w:w="1188" w:type="dxa"/>
                  <w:vMerge w:val="restart"/>
                  <w:tcBorders>
                    <w:bottom w:val="nil"/>
                  </w:tcBorders>
                  <w:vAlign w:val="top"/>
                </w:tcPr>
                <w:p w14:paraId="355D986E">
                  <w:pPr>
                    <w:autoSpaceDE w:val="0"/>
                    <w:autoSpaceDN w:val="0"/>
                    <w:spacing w:line="472" w:lineRule="auto"/>
                    <w:rPr>
                      <w:rFonts w:ascii="Arial"/>
                      <w:sz w:val="21"/>
                    </w:rPr>
                  </w:pPr>
                </w:p>
                <w:p w14:paraId="3063186E">
                  <w:pPr>
                    <w:pStyle w:val="274"/>
                    <w:autoSpaceDE w:val="0"/>
                    <w:autoSpaceDN w:val="0"/>
                    <w:spacing w:before="65" w:line="239" w:lineRule="auto"/>
                    <w:ind w:left="102" w:leftChars="0" w:right="0" w:rightChars="0" w:hanging="102" w:firstLineChars="0"/>
                    <w:jc w:val="center"/>
                    <w:rPr>
                      <w:spacing w:val="5"/>
                      <w:sz w:val="20"/>
                      <w:szCs w:val="20"/>
                    </w:rPr>
                  </w:pPr>
                  <w:r>
                    <w:rPr>
                      <w:spacing w:val="5"/>
                      <w:sz w:val="20"/>
                      <w:szCs w:val="20"/>
                    </w:rPr>
                    <w:t>营运期</w:t>
                  </w:r>
                </w:p>
                <w:p w14:paraId="02059EA3">
                  <w:pPr>
                    <w:pStyle w:val="274"/>
                    <w:autoSpaceDE w:val="0"/>
                    <w:autoSpaceDN w:val="0"/>
                    <w:spacing w:before="65" w:line="239" w:lineRule="auto"/>
                    <w:ind w:left="102" w:leftChars="0" w:right="0" w:rightChars="0" w:hanging="102" w:firstLineChars="0"/>
                    <w:jc w:val="center"/>
                    <w:rPr>
                      <w:sz w:val="20"/>
                      <w:szCs w:val="20"/>
                    </w:rPr>
                  </w:pPr>
                  <w:r>
                    <w:rPr>
                      <w:spacing w:val="5"/>
                      <w:sz w:val="20"/>
                      <w:szCs w:val="20"/>
                    </w:rPr>
                    <w:t>生活污水</w:t>
                  </w:r>
                </w:p>
              </w:tc>
              <w:tc>
                <w:tcPr>
                  <w:tcW w:w="1491" w:type="dxa"/>
                  <w:vAlign w:val="top"/>
                </w:tcPr>
                <w:p w14:paraId="5E122F5A">
                  <w:pPr>
                    <w:pStyle w:val="274"/>
                    <w:autoSpaceDE w:val="0"/>
                    <w:autoSpaceDN w:val="0"/>
                    <w:spacing w:before="155" w:line="228" w:lineRule="auto"/>
                    <w:ind w:left="542"/>
                    <w:rPr>
                      <w:sz w:val="20"/>
                      <w:szCs w:val="20"/>
                    </w:rPr>
                  </w:pPr>
                  <w:r>
                    <w:rPr>
                      <w:spacing w:val="3"/>
                      <w:sz w:val="20"/>
                      <w:szCs w:val="20"/>
                    </w:rPr>
                    <w:t>水量</w:t>
                  </w:r>
                </w:p>
              </w:tc>
              <w:tc>
                <w:tcPr>
                  <w:tcW w:w="2445" w:type="dxa"/>
                  <w:vAlign w:val="top"/>
                </w:tcPr>
                <w:p w14:paraId="27B54B4D">
                  <w:pPr>
                    <w:autoSpaceDE w:val="0"/>
                    <w:autoSpaceDN w:val="0"/>
                    <w:spacing w:before="178" w:line="192" w:lineRule="auto"/>
                    <w:ind w:left="92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1"/>
                      <w:sz w:val="24"/>
                      <w:szCs w:val="24"/>
                    </w:rPr>
                    <w:t>0t/a</w:t>
                  </w:r>
                </w:p>
              </w:tc>
              <w:tc>
                <w:tcPr>
                  <w:tcW w:w="2336" w:type="dxa"/>
                  <w:vAlign w:val="top"/>
                </w:tcPr>
                <w:p w14:paraId="43EF096D">
                  <w:pPr>
                    <w:autoSpaceDE w:val="0"/>
                    <w:autoSpaceDN w:val="0"/>
                    <w:spacing w:before="178" w:line="192" w:lineRule="auto"/>
                    <w:ind w:left="87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w:t>
                  </w:r>
                  <w:r>
                    <w:rPr>
                      <w:rFonts w:hint="eastAsia" w:ascii="Times New Roman" w:hAnsi="Times New Roman" w:eastAsia="宋体" w:cs="Times New Roman"/>
                      <w:spacing w:val="-1"/>
                      <w:sz w:val="24"/>
                      <w:szCs w:val="24"/>
                      <w:lang w:val="en-US" w:eastAsia="zh-CN"/>
                    </w:rPr>
                    <w:t>4</w:t>
                  </w:r>
                  <w:r>
                    <w:rPr>
                      <w:rFonts w:ascii="Times New Roman" w:hAnsi="Times New Roman" w:eastAsia="Times New Roman" w:cs="Times New Roman"/>
                      <w:spacing w:val="-1"/>
                      <w:sz w:val="24"/>
                      <w:szCs w:val="24"/>
                    </w:rPr>
                    <w:t>0t/a</w:t>
                  </w:r>
                </w:p>
              </w:tc>
            </w:tr>
            <w:tr w14:paraId="79F5B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048" w:type="dxa"/>
                  <w:vMerge w:val="continue"/>
                  <w:tcBorders>
                    <w:top w:val="nil"/>
                    <w:bottom w:val="nil"/>
                  </w:tcBorders>
                  <w:textDirection w:val="tbRlV"/>
                  <w:vAlign w:val="top"/>
                </w:tcPr>
                <w:p w14:paraId="17BE75CE">
                  <w:pPr>
                    <w:autoSpaceDE w:val="0"/>
                    <w:autoSpaceDN w:val="0"/>
                    <w:rPr>
                      <w:rFonts w:ascii="Arial"/>
                      <w:sz w:val="21"/>
                    </w:rPr>
                  </w:pPr>
                </w:p>
              </w:tc>
              <w:tc>
                <w:tcPr>
                  <w:tcW w:w="1188" w:type="dxa"/>
                  <w:vMerge w:val="continue"/>
                  <w:tcBorders>
                    <w:top w:val="nil"/>
                    <w:bottom w:val="nil"/>
                  </w:tcBorders>
                  <w:vAlign w:val="top"/>
                </w:tcPr>
                <w:p w14:paraId="7E35AD96">
                  <w:pPr>
                    <w:autoSpaceDE w:val="0"/>
                    <w:autoSpaceDN w:val="0"/>
                    <w:rPr>
                      <w:rFonts w:ascii="Arial"/>
                      <w:sz w:val="21"/>
                    </w:rPr>
                  </w:pPr>
                </w:p>
              </w:tc>
              <w:tc>
                <w:tcPr>
                  <w:tcW w:w="1491" w:type="dxa"/>
                  <w:vAlign w:val="top"/>
                </w:tcPr>
                <w:p w14:paraId="6617140A">
                  <w:pPr>
                    <w:autoSpaceDE w:val="0"/>
                    <w:autoSpaceDN w:val="0"/>
                    <w:spacing w:before="193" w:line="202" w:lineRule="auto"/>
                    <w:ind w:left="45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2445" w:type="dxa"/>
                  <w:vAlign w:val="top"/>
                </w:tcPr>
                <w:p w14:paraId="6142F566">
                  <w:pPr>
                    <w:autoSpaceDE w:val="0"/>
                    <w:autoSpaceDN w:val="0"/>
                    <w:spacing w:before="68" w:line="225" w:lineRule="auto"/>
                    <w:ind w:left="886" w:right="880" w:firstLine="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r>
                    <w:rPr>
                      <w:rFonts w:ascii="Times New Roman" w:hAnsi="Times New Roman" w:eastAsia="Times New Roman" w:cs="Times New Roman"/>
                      <w:spacing w:val="2"/>
                      <w:sz w:val="20"/>
                      <w:szCs w:val="20"/>
                    </w:rPr>
                    <w:t xml:space="preserve"> 0.01</w:t>
                  </w:r>
                  <w:r>
                    <w:rPr>
                      <w:rFonts w:hint="eastAsia" w:ascii="Times New Roman" w:hAnsi="Times New Roman" w:eastAsia="宋体" w:cs="Times New Roman"/>
                      <w:spacing w:val="2"/>
                      <w:sz w:val="20"/>
                      <w:szCs w:val="20"/>
                      <w:lang w:val="en-US" w:eastAsia="zh-CN"/>
                    </w:rPr>
                    <w:t>2</w:t>
                  </w:r>
                  <w:r>
                    <w:rPr>
                      <w:rFonts w:ascii="Times New Roman" w:hAnsi="Times New Roman" w:eastAsia="Times New Roman" w:cs="Times New Roman"/>
                      <w:spacing w:val="2"/>
                      <w:sz w:val="20"/>
                      <w:szCs w:val="20"/>
                    </w:rPr>
                    <w:t>t/a</w:t>
                  </w:r>
                </w:p>
              </w:tc>
              <w:tc>
                <w:tcPr>
                  <w:tcW w:w="2336" w:type="dxa"/>
                  <w:vAlign w:val="top"/>
                </w:tcPr>
                <w:p w14:paraId="752E9489">
                  <w:pPr>
                    <w:autoSpaceDE w:val="0"/>
                    <w:autoSpaceDN w:val="0"/>
                    <w:spacing w:before="68" w:line="225" w:lineRule="auto"/>
                    <w:ind w:left="831" w:right="828" w:firstLine="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/L</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0.01</w:t>
                  </w:r>
                  <w:r>
                    <w:rPr>
                      <w:rFonts w:hint="eastAsia" w:ascii="Times New Roman" w:hAnsi="Times New Roman" w:eastAsia="宋体" w:cs="Times New Roman"/>
                      <w:spacing w:val="2"/>
                      <w:sz w:val="20"/>
                      <w:szCs w:val="20"/>
                      <w:lang w:val="en-US" w:eastAsia="zh-CN"/>
                    </w:rPr>
                    <w:t>2</w:t>
                  </w:r>
                  <w:r>
                    <w:rPr>
                      <w:rFonts w:ascii="Times New Roman" w:hAnsi="Times New Roman" w:eastAsia="Times New Roman" w:cs="Times New Roman"/>
                      <w:spacing w:val="2"/>
                      <w:sz w:val="20"/>
                      <w:szCs w:val="20"/>
                    </w:rPr>
                    <w:t>t/a</w:t>
                  </w:r>
                </w:p>
              </w:tc>
            </w:tr>
            <w:tr w14:paraId="6D9DF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48" w:type="dxa"/>
                  <w:vMerge w:val="continue"/>
                  <w:tcBorders>
                    <w:top w:val="nil"/>
                  </w:tcBorders>
                  <w:textDirection w:val="tbRlV"/>
                  <w:vAlign w:val="top"/>
                </w:tcPr>
                <w:p w14:paraId="0CC2EE44">
                  <w:pPr>
                    <w:autoSpaceDE w:val="0"/>
                    <w:autoSpaceDN w:val="0"/>
                    <w:rPr>
                      <w:rFonts w:ascii="Arial"/>
                      <w:sz w:val="21"/>
                    </w:rPr>
                  </w:pPr>
                </w:p>
              </w:tc>
              <w:tc>
                <w:tcPr>
                  <w:tcW w:w="1188" w:type="dxa"/>
                  <w:vMerge w:val="continue"/>
                  <w:tcBorders>
                    <w:top w:val="nil"/>
                  </w:tcBorders>
                  <w:vAlign w:val="top"/>
                </w:tcPr>
                <w:p w14:paraId="75826C8A">
                  <w:pPr>
                    <w:autoSpaceDE w:val="0"/>
                    <w:autoSpaceDN w:val="0"/>
                    <w:rPr>
                      <w:rFonts w:ascii="Arial"/>
                      <w:sz w:val="21"/>
                    </w:rPr>
                  </w:pPr>
                </w:p>
              </w:tc>
              <w:tc>
                <w:tcPr>
                  <w:tcW w:w="1491" w:type="dxa"/>
                  <w:vAlign w:val="top"/>
                </w:tcPr>
                <w:p w14:paraId="20CD932B">
                  <w:pPr>
                    <w:pStyle w:val="274"/>
                    <w:autoSpaceDE w:val="0"/>
                    <w:autoSpaceDN w:val="0"/>
                    <w:spacing w:before="147" w:line="227" w:lineRule="auto"/>
                    <w:ind w:left="539"/>
                    <w:rPr>
                      <w:sz w:val="20"/>
                      <w:szCs w:val="20"/>
                    </w:rPr>
                  </w:pPr>
                  <w:r>
                    <w:rPr>
                      <w:spacing w:val="4"/>
                      <w:sz w:val="20"/>
                      <w:szCs w:val="20"/>
                    </w:rPr>
                    <w:t>氨氮</w:t>
                  </w:r>
                </w:p>
              </w:tc>
              <w:tc>
                <w:tcPr>
                  <w:tcW w:w="2445" w:type="dxa"/>
                  <w:vAlign w:val="top"/>
                </w:tcPr>
                <w:p w14:paraId="239DD976">
                  <w:pPr>
                    <w:autoSpaceDE w:val="0"/>
                    <w:autoSpaceDN w:val="0"/>
                    <w:spacing w:before="59" w:line="226" w:lineRule="auto"/>
                    <w:ind w:left="0" w:leftChars="0" w:right="0" w:rightChars="0" w:firstLine="64" w:firstLineChars="0"/>
                    <w:jc w:val="center"/>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r>
                    <w:rPr>
                      <w:rFonts w:ascii="Times New Roman" w:hAnsi="Times New Roman" w:eastAsia="Times New Roman" w:cs="Times New Roman"/>
                      <w:sz w:val="20"/>
                      <w:szCs w:val="20"/>
                    </w:rPr>
                    <w:t xml:space="preserve">  </w:t>
                  </w:r>
                </w:p>
                <w:p w14:paraId="7AEDA7CE">
                  <w:pPr>
                    <w:autoSpaceDE w:val="0"/>
                    <w:autoSpaceDN w:val="0"/>
                    <w:spacing w:before="59" w:line="226" w:lineRule="auto"/>
                    <w:ind w:left="0" w:leftChars="0" w:right="0" w:rightChars="0" w:firstLine="64" w:firstLineChars="0"/>
                    <w:jc w:val="center"/>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r>
                    <w:rPr>
                      <w:rFonts w:hint="eastAsia" w:ascii="Times New Roman" w:hAnsi="Times New Roman" w:eastAsia="宋体" w:cs="Times New Roman"/>
                      <w:spacing w:val="2"/>
                      <w:sz w:val="20"/>
                      <w:szCs w:val="20"/>
                      <w:lang w:val="en-US" w:eastAsia="zh-CN"/>
                    </w:rPr>
                    <w:t>2</w:t>
                  </w:r>
                  <w:r>
                    <w:rPr>
                      <w:rFonts w:ascii="Times New Roman" w:hAnsi="Times New Roman" w:eastAsia="Times New Roman" w:cs="Times New Roman"/>
                      <w:spacing w:val="2"/>
                      <w:sz w:val="20"/>
                      <w:szCs w:val="20"/>
                    </w:rPr>
                    <w:t>t/a</w:t>
                  </w:r>
                </w:p>
              </w:tc>
              <w:tc>
                <w:tcPr>
                  <w:tcW w:w="2336" w:type="dxa"/>
                  <w:vAlign w:val="top"/>
                </w:tcPr>
                <w:p w14:paraId="5ACB6E6A">
                  <w:pPr>
                    <w:autoSpaceDE w:val="0"/>
                    <w:autoSpaceDN w:val="0"/>
                    <w:spacing w:before="59" w:line="226" w:lineRule="auto"/>
                    <w:ind w:left="564" w:leftChars="0" w:right="0" w:rightChars="0" w:hanging="564" w:firstLineChars="0"/>
                    <w:jc w:val="center"/>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r>
                    <w:rPr>
                      <w:rFonts w:ascii="Times New Roman" w:hAnsi="Times New Roman" w:eastAsia="Times New Roman" w:cs="Times New Roman"/>
                      <w:sz w:val="20"/>
                      <w:szCs w:val="20"/>
                    </w:rPr>
                    <w:t xml:space="preserve"> </w:t>
                  </w:r>
                </w:p>
                <w:p w14:paraId="0E84B5C9">
                  <w:pPr>
                    <w:autoSpaceDE w:val="0"/>
                    <w:autoSpaceDN w:val="0"/>
                    <w:spacing w:before="59" w:line="226" w:lineRule="auto"/>
                    <w:ind w:left="564" w:leftChars="0" w:right="0" w:rightChars="0" w:hanging="564" w:firstLineChars="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0.001</w:t>
                  </w:r>
                  <w:r>
                    <w:rPr>
                      <w:rFonts w:hint="eastAsia" w:ascii="Times New Roman" w:hAnsi="Times New Roman" w:eastAsia="宋体" w:cs="Times New Roman"/>
                      <w:spacing w:val="2"/>
                      <w:sz w:val="20"/>
                      <w:szCs w:val="20"/>
                      <w:lang w:val="en-US" w:eastAsia="zh-CN"/>
                    </w:rPr>
                    <w:t>2</w:t>
                  </w:r>
                  <w:r>
                    <w:rPr>
                      <w:rFonts w:ascii="Times New Roman" w:hAnsi="Times New Roman" w:eastAsia="Times New Roman" w:cs="Times New Roman"/>
                      <w:spacing w:val="2"/>
                      <w:sz w:val="20"/>
                      <w:szCs w:val="20"/>
                    </w:rPr>
                    <w:t>t/a</w:t>
                  </w:r>
                </w:p>
              </w:tc>
            </w:tr>
            <w:tr w14:paraId="14F26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048" w:type="dxa"/>
                  <w:vMerge w:val="restart"/>
                  <w:textDirection w:val="tbRlV"/>
                  <w:vAlign w:val="top"/>
                </w:tcPr>
                <w:p w14:paraId="68E6710C">
                  <w:pPr>
                    <w:autoSpaceDE w:val="0"/>
                    <w:autoSpaceDN w:val="0"/>
                    <w:spacing w:line="340" w:lineRule="auto"/>
                    <w:rPr>
                      <w:rFonts w:ascii="Arial"/>
                      <w:sz w:val="21"/>
                    </w:rPr>
                  </w:pPr>
                </w:p>
                <w:p w14:paraId="00418F31">
                  <w:pPr>
                    <w:pStyle w:val="274"/>
                    <w:autoSpaceDE w:val="0"/>
                    <w:autoSpaceDN w:val="0"/>
                    <w:spacing w:before="67" w:line="217" w:lineRule="auto"/>
                    <w:ind w:left="943"/>
                    <w:rPr>
                      <w:sz w:val="20"/>
                      <w:szCs w:val="20"/>
                    </w:rPr>
                  </w:pPr>
                  <w:r>
                    <w:rPr>
                      <w:b/>
                      <w:bCs/>
                      <w:spacing w:val="6"/>
                      <w:sz w:val="20"/>
                      <w:szCs w:val="20"/>
                    </w:rPr>
                    <w:t>固</w:t>
                  </w:r>
                  <w:r>
                    <w:rPr>
                      <w:spacing w:val="-36"/>
                      <w:sz w:val="20"/>
                      <w:szCs w:val="20"/>
                    </w:rPr>
                    <w:t xml:space="preserve"> </w:t>
                  </w:r>
                  <w:r>
                    <w:rPr>
                      <w:b/>
                      <w:bCs/>
                      <w:spacing w:val="6"/>
                      <w:sz w:val="20"/>
                      <w:szCs w:val="20"/>
                    </w:rPr>
                    <w:t>体</w:t>
                  </w:r>
                  <w:r>
                    <w:rPr>
                      <w:spacing w:val="-36"/>
                      <w:sz w:val="20"/>
                      <w:szCs w:val="20"/>
                    </w:rPr>
                    <w:t xml:space="preserve"> </w:t>
                  </w:r>
                  <w:r>
                    <w:rPr>
                      <w:b/>
                      <w:bCs/>
                      <w:spacing w:val="6"/>
                      <w:sz w:val="20"/>
                      <w:szCs w:val="20"/>
                    </w:rPr>
                    <w:t>废</w:t>
                  </w:r>
                  <w:r>
                    <w:rPr>
                      <w:spacing w:val="-37"/>
                      <w:sz w:val="20"/>
                      <w:szCs w:val="20"/>
                    </w:rPr>
                    <w:t xml:space="preserve"> </w:t>
                  </w:r>
                  <w:r>
                    <w:rPr>
                      <w:b/>
                      <w:bCs/>
                      <w:spacing w:val="6"/>
                      <w:sz w:val="20"/>
                      <w:szCs w:val="20"/>
                    </w:rPr>
                    <w:t>物</w:t>
                  </w:r>
                </w:p>
              </w:tc>
              <w:tc>
                <w:tcPr>
                  <w:tcW w:w="1188" w:type="dxa"/>
                  <w:vAlign w:val="top"/>
                </w:tcPr>
                <w:p w14:paraId="6A91B4CE">
                  <w:pPr>
                    <w:pStyle w:val="274"/>
                    <w:autoSpaceDE w:val="0"/>
                    <w:autoSpaceDN w:val="0"/>
                    <w:spacing w:before="46" w:line="238" w:lineRule="auto"/>
                    <w:ind w:left="102" w:leftChars="0" w:right="0" w:rightChars="0" w:hanging="102" w:firstLineChars="0"/>
                    <w:jc w:val="center"/>
                    <w:rPr>
                      <w:spacing w:val="5"/>
                      <w:sz w:val="20"/>
                      <w:szCs w:val="20"/>
                    </w:rPr>
                  </w:pPr>
                  <w:r>
                    <w:rPr>
                      <w:spacing w:val="5"/>
                      <w:sz w:val="20"/>
                      <w:szCs w:val="20"/>
                    </w:rPr>
                    <w:t>营运期</w:t>
                  </w:r>
                </w:p>
                <w:p w14:paraId="512F5167">
                  <w:pPr>
                    <w:pStyle w:val="274"/>
                    <w:autoSpaceDE w:val="0"/>
                    <w:autoSpaceDN w:val="0"/>
                    <w:spacing w:before="46" w:line="238" w:lineRule="auto"/>
                    <w:ind w:left="102" w:leftChars="0" w:right="0" w:rightChars="0" w:hanging="102" w:firstLineChars="0"/>
                    <w:jc w:val="center"/>
                    <w:rPr>
                      <w:sz w:val="20"/>
                      <w:szCs w:val="20"/>
                    </w:rPr>
                  </w:pPr>
                  <w:r>
                    <w:rPr>
                      <w:spacing w:val="5"/>
                      <w:sz w:val="20"/>
                      <w:szCs w:val="20"/>
                    </w:rPr>
                    <w:t>生活固废</w:t>
                  </w:r>
                </w:p>
              </w:tc>
              <w:tc>
                <w:tcPr>
                  <w:tcW w:w="1491" w:type="dxa"/>
                  <w:vAlign w:val="top"/>
                </w:tcPr>
                <w:p w14:paraId="0D1EF510">
                  <w:pPr>
                    <w:pStyle w:val="274"/>
                    <w:autoSpaceDE w:val="0"/>
                    <w:autoSpaceDN w:val="0"/>
                    <w:spacing w:before="180" w:line="228" w:lineRule="auto"/>
                    <w:ind w:left="332"/>
                    <w:rPr>
                      <w:sz w:val="20"/>
                      <w:szCs w:val="20"/>
                    </w:rPr>
                  </w:pPr>
                  <w:r>
                    <w:rPr>
                      <w:spacing w:val="6"/>
                      <w:sz w:val="20"/>
                      <w:szCs w:val="20"/>
                    </w:rPr>
                    <w:t>生活垃圾</w:t>
                  </w:r>
                </w:p>
              </w:tc>
              <w:tc>
                <w:tcPr>
                  <w:tcW w:w="2445" w:type="dxa"/>
                  <w:vAlign w:val="top"/>
                </w:tcPr>
                <w:p w14:paraId="4F3A49AD">
                  <w:pPr>
                    <w:autoSpaceDE w:val="0"/>
                    <w:autoSpaceDN w:val="0"/>
                    <w:spacing w:before="214" w:line="199" w:lineRule="auto"/>
                    <w:ind w:left="1072"/>
                    <w:rPr>
                      <w:rFonts w:ascii="Times New Roman" w:hAnsi="Times New Roman" w:eastAsia="Times New Roman" w:cs="Times New Roman"/>
                      <w:sz w:val="20"/>
                      <w:szCs w:val="20"/>
                    </w:rPr>
                  </w:pPr>
                  <w:r>
                    <w:rPr>
                      <w:rFonts w:ascii="Times New Roman" w:hAnsi="Times New Roman" w:eastAsia="Times New Roman" w:cs="Times New Roman"/>
                      <w:sz w:val="20"/>
                      <w:szCs w:val="20"/>
                    </w:rPr>
                    <w:t>3t/a</w:t>
                  </w:r>
                </w:p>
              </w:tc>
              <w:tc>
                <w:tcPr>
                  <w:tcW w:w="2336" w:type="dxa"/>
                  <w:vAlign w:val="top"/>
                </w:tcPr>
                <w:p w14:paraId="3607CD8F">
                  <w:pPr>
                    <w:autoSpaceDE w:val="0"/>
                    <w:autoSpaceDN w:val="0"/>
                    <w:spacing w:before="214" w:line="199" w:lineRule="auto"/>
                    <w:ind w:left="10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3t/a</w:t>
                  </w:r>
                </w:p>
              </w:tc>
            </w:tr>
            <w:tr w14:paraId="19B4B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048" w:type="dxa"/>
                  <w:vMerge w:val="continue"/>
                  <w:textDirection w:val="tbRlV"/>
                  <w:vAlign w:val="top"/>
                </w:tcPr>
                <w:p w14:paraId="757115E3">
                  <w:pPr>
                    <w:autoSpaceDE w:val="0"/>
                    <w:autoSpaceDN w:val="0"/>
                    <w:rPr>
                      <w:rFonts w:ascii="Arial"/>
                      <w:sz w:val="21"/>
                    </w:rPr>
                  </w:pPr>
                </w:p>
              </w:tc>
              <w:tc>
                <w:tcPr>
                  <w:tcW w:w="1188" w:type="dxa"/>
                  <w:vMerge w:val="restart"/>
                  <w:vAlign w:val="top"/>
                </w:tcPr>
                <w:p w14:paraId="08DB7DD0">
                  <w:pPr>
                    <w:autoSpaceDE w:val="0"/>
                    <w:autoSpaceDN w:val="0"/>
                    <w:spacing w:line="248" w:lineRule="auto"/>
                    <w:rPr>
                      <w:rFonts w:ascii="Arial"/>
                      <w:sz w:val="21"/>
                    </w:rPr>
                  </w:pPr>
                </w:p>
                <w:p w14:paraId="67E0F721">
                  <w:pPr>
                    <w:autoSpaceDE w:val="0"/>
                    <w:autoSpaceDN w:val="0"/>
                    <w:spacing w:line="248" w:lineRule="auto"/>
                    <w:rPr>
                      <w:rFonts w:ascii="Arial"/>
                      <w:sz w:val="21"/>
                    </w:rPr>
                  </w:pPr>
                </w:p>
                <w:p w14:paraId="5F8172AB">
                  <w:pPr>
                    <w:autoSpaceDE w:val="0"/>
                    <w:autoSpaceDN w:val="0"/>
                    <w:spacing w:line="249" w:lineRule="auto"/>
                    <w:rPr>
                      <w:rFonts w:ascii="Arial"/>
                      <w:sz w:val="21"/>
                    </w:rPr>
                  </w:pPr>
                </w:p>
                <w:p w14:paraId="35064B21">
                  <w:pPr>
                    <w:autoSpaceDE w:val="0"/>
                    <w:autoSpaceDN w:val="0"/>
                    <w:spacing w:line="249" w:lineRule="auto"/>
                    <w:rPr>
                      <w:rFonts w:ascii="Arial"/>
                      <w:sz w:val="21"/>
                    </w:rPr>
                  </w:pPr>
                </w:p>
                <w:p w14:paraId="0F072CDD">
                  <w:pPr>
                    <w:pStyle w:val="274"/>
                    <w:autoSpaceDE w:val="0"/>
                    <w:autoSpaceDN w:val="0"/>
                    <w:spacing w:before="65" w:line="228" w:lineRule="auto"/>
                    <w:ind w:left="179"/>
                    <w:rPr>
                      <w:sz w:val="20"/>
                      <w:szCs w:val="20"/>
                    </w:rPr>
                  </w:pPr>
                  <w:r>
                    <w:rPr>
                      <w:spacing w:val="6"/>
                      <w:sz w:val="20"/>
                      <w:szCs w:val="20"/>
                    </w:rPr>
                    <w:t>工业固废</w:t>
                  </w:r>
                </w:p>
              </w:tc>
              <w:tc>
                <w:tcPr>
                  <w:tcW w:w="1491" w:type="dxa"/>
                  <w:vAlign w:val="center"/>
                </w:tcPr>
                <w:p w14:paraId="5E9CF7B4">
                  <w:pPr>
                    <w:pStyle w:val="274"/>
                    <w:autoSpaceDE w:val="0"/>
                    <w:autoSpaceDN w:val="0"/>
                    <w:spacing w:before="46" w:line="238" w:lineRule="auto"/>
                    <w:ind w:left="102" w:leftChars="0" w:right="0" w:rightChars="0" w:hanging="102" w:firstLineChars="0"/>
                    <w:jc w:val="center"/>
                    <w:rPr>
                      <w:spacing w:val="5"/>
                      <w:sz w:val="20"/>
                      <w:szCs w:val="20"/>
                    </w:rPr>
                  </w:pPr>
                  <w:r>
                    <w:rPr>
                      <w:rFonts w:hint="eastAsia"/>
                      <w:spacing w:val="5"/>
                      <w:sz w:val="20"/>
                      <w:szCs w:val="20"/>
                    </w:rPr>
                    <w:t>钢材边角料及次品</w:t>
                  </w:r>
                </w:p>
              </w:tc>
              <w:tc>
                <w:tcPr>
                  <w:tcW w:w="2445" w:type="dxa"/>
                  <w:vAlign w:val="center"/>
                </w:tcPr>
                <w:p w14:paraId="46A7682D">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15t/a</w:t>
                  </w:r>
                </w:p>
              </w:tc>
              <w:tc>
                <w:tcPr>
                  <w:tcW w:w="2336" w:type="dxa"/>
                  <w:vAlign w:val="center"/>
                </w:tcPr>
                <w:p w14:paraId="23DAF858">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15t/a</w:t>
                  </w:r>
                </w:p>
              </w:tc>
            </w:tr>
            <w:tr w14:paraId="179BA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048" w:type="dxa"/>
                  <w:vMerge w:val="continue"/>
                  <w:textDirection w:val="tbRlV"/>
                  <w:vAlign w:val="top"/>
                </w:tcPr>
                <w:p w14:paraId="42B1E822">
                  <w:pPr>
                    <w:autoSpaceDE w:val="0"/>
                    <w:autoSpaceDN w:val="0"/>
                    <w:rPr>
                      <w:rFonts w:ascii="Arial"/>
                      <w:sz w:val="21"/>
                    </w:rPr>
                  </w:pPr>
                </w:p>
              </w:tc>
              <w:tc>
                <w:tcPr>
                  <w:tcW w:w="1188" w:type="dxa"/>
                  <w:vMerge w:val="continue"/>
                  <w:vAlign w:val="top"/>
                </w:tcPr>
                <w:p w14:paraId="50453CEC">
                  <w:pPr>
                    <w:autoSpaceDE w:val="0"/>
                    <w:autoSpaceDN w:val="0"/>
                    <w:rPr>
                      <w:rFonts w:ascii="Arial"/>
                      <w:sz w:val="21"/>
                    </w:rPr>
                  </w:pPr>
                </w:p>
              </w:tc>
              <w:tc>
                <w:tcPr>
                  <w:tcW w:w="1491" w:type="dxa"/>
                  <w:vAlign w:val="center"/>
                </w:tcPr>
                <w:p w14:paraId="49D53AC2">
                  <w:pPr>
                    <w:pStyle w:val="274"/>
                    <w:autoSpaceDE w:val="0"/>
                    <w:autoSpaceDN w:val="0"/>
                    <w:spacing w:before="46" w:line="238" w:lineRule="auto"/>
                    <w:ind w:left="102" w:leftChars="0" w:right="0" w:rightChars="0" w:hanging="102" w:firstLineChars="0"/>
                    <w:jc w:val="center"/>
                    <w:rPr>
                      <w:spacing w:val="5"/>
                      <w:sz w:val="20"/>
                      <w:szCs w:val="20"/>
                    </w:rPr>
                  </w:pPr>
                  <w:r>
                    <w:rPr>
                      <w:rFonts w:hint="eastAsia"/>
                      <w:spacing w:val="5"/>
                      <w:sz w:val="20"/>
                      <w:szCs w:val="20"/>
                    </w:rPr>
                    <w:t>焊渣</w:t>
                  </w:r>
                </w:p>
              </w:tc>
              <w:tc>
                <w:tcPr>
                  <w:tcW w:w="2445" w:type="dxa"/>
                  <w:vAlign w:val="center"/>
                </w:tcPr>
                <w:p w14:paraId="61B6D1B4">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0.1t/a</w:t>
                  </w:r>
                </w:p>
              </w:tc>
              <w:tc>
                <w:tcPr>
                  <w:tcW w:w="2336" w:type="dxa"/>
                  <w:vAlign w:val="center"/>
                </w:tcPr>
                <w:p w14:paraId="0F0211AA">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0.1t/a</w:t>
                  </w:r>
                </w:p>
              </w:tc>
            </w:tr>
            <w:tr w14:paraId="608D6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048" w:type="dxa"/>
                  <w:vMerge w:val="continue"/>
                  <w:textDirection w:val="tbRlV"/>
                  <w:vAlign w:val="top"/>
                </w:tcPr>
                <w:p w14:paraId="7FE22355">
                  <w:pPr>
                    <w:autoSpaceDE w:val="0"/>
                    <w:autoSpaceDN w:val="0"/>
                    <w:rPr>
                      <w:rFonts w:ascii="Arial"/>
                      <w:sz w:val="21"/>
                    </w:rPr>
                  </w:pPr>
                </w:p>
              </w:tc>
              <w:tc>
                <w:tcPr>
                  <w:tcW w:w="1188" w:type="dxa"/>
                  <w:vMerge w:val="continue"/>
                  <w:vAlign w:val="top"/>
                </w:tcPr>
                <w:p w14:paraId="05D0EC3D">
                  <w:pPr>
                    <w:autoSpaceDE w:val="0"/>
                    <w:autoSpaceDN w:val="0"/>
                    <w:rPr>
                      <w:rFonts w:ascii="Arial"/>
                      <w:sz w:val="21"/>
                    </w:rPr>
                  </w:pPr>
                </w:p>
              </w:tc>
              <w:tc>
                <w:tcPr>
                  <w:tcW w:w="1491" w:type="dxa"/>
                  <w:vAlign w:val="center"/>
                </w:tcPr>
                <w:p w14:paraId="49D5BA95">
                  <w:pPr>
                    <w:pStyle w:val="274"/>
                    <w:autoSpaceDE w:val="0"/>
                    <w:autoSpaceDN w:val="0"/>
                    <w:spacing w:before="46" w:line="238" w:lineRule="auto"/>
                    <w:ind w:left="102" w:leftChars="0" w:right="0" w:rightChars="0" w:hanging="102" w:firstLineChars="0"/>
                    <w:jc w:val="center"/>
                    <w:rPr>
                      <w:spacing w:val="5"/>
                      <w:sz w:val="20"/>
                      <w:szCs w:val="20"/>
                    </w:rPr>
                  </w:pPr>
                  <w:r>
                    <w:rPr>
                      <w:rFonts w:hint="eastAsia"/>
                      <w:spacing w:val="5"/>
                      <w:sz w:val="20"/>
                      <w:szCs w:val="20"/>
                    </w:rPr>
                    <w:t>塑料边角料及次品</w:t>
                  </w:r>
                </w:p>
              </w:tc>
              <w:tc>
                <w:tcPr>
                  <w:tcW w:w="2445" w:type="dxa"/>
                  <w:vAlign w:val="center"/>
                </w:tcPr>
                <w:p w14:paraId="4A88229E">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20t/a</w:t>
                  </w:r>
                </w:p>
              </w:tc>
              <w:tc>
                <w:tcPr>
                  <w:tcW w:w="2336" w:type="dxa"/>
                  <w:vAlign w:val="center"/>
                </w:tcPr>
                <w:p w14:paraId="56A37A37">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20t/a</w:t>
                  </w:r>
                </w:p>
              </w:tc>
            </w:tr>
            <w:tr w14:paraId="5CDCF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048" w:type="dxa"/>
                  <w:vMerge w:val="continue"/>
                  <w:textDirection w:val="tbRlV"/>
                  <w:vAlign w:val="top"/>
                </w:tcPr>
                <w:p w14:paraId="6D2CE0FD">
                  <w:pPr>
                    <w:autoSpaceDE w:val="0"/>
                    <w:autoSpaceDN w:val="0"/>
                    <w:rPr>
                      <w:rFonts w:ascii="Arial"/>
                      <w:sz w:val="21"/>
                    </w:rPr>
                  </w:pPr>
                </w:p>
              </w:tc>
              <w:tc>
                <w:tcPr>
                  <w:tcW w:w="1188" w:type="dxa"/>
                  <w:vMerge w:val="continue"/>
                  <w:vAlign w:val="top"/>
                </w:tcPr>
                <w:p w14:paraId="297E3CD5">
                  <w:pPr>
                    <w:autoSpaceDE w:val="0"/>
                    <w:autoSpaceDN w:val="0"/>
                    <w:rPr>
                      <w:rFonts w:ascii="Arial"/>
                      <w:sz w:val="21"/>
                    </w:rPr>
                  </w:pPr>
                </w:p>
              </w:tc>
              <w:tc>
                <w:tcPr>
                  <w:tcW w:w="1491" w:type="dxa"/>
                  <w:vAlign w:val="center"/>
                </w:tcPr>
                <w:p w14:paraId="5E343377">
                  <w:pPr>
                    <w:pStyle w:val="274"/>
                    <w:autoSpaceDE w:val="0"/>
                    <w:autoSpaceDN w:val="0"/>
                    <w:spacing w:before="46" w:line="238" w:lineRule="auto"/>
                    <w:ind w:left="102" w:leftChars="0" w:right="0" w:rightChars="0" w:hanging="102" w:firstLineChars="0"/>
                    <w:jc w:val="center"/>
                    <w:rPr>
                      <w:spacing w:val="5"/>
                      <w:sz w:val="20"/>
                      <w:szCs w:val="20"/>
                    </w:rPr>
                  </w:pPr>
                  <w:r>
                    <w:rPr>
                      <w:rFonts w:hint="eastAsia"/>
                      <w:spacing w:val="5"/>
                      <w:sz w:val="20"/>
                      <w:szCs w:val="20"/>
                    </w:rPr>
                    <w:t>废乳化液</w:t>
                  </w:r>
                </w:p>
              </w:tc>
              <w:tc>
                <w:tcPr>
                  <w:tcW w:w="2445" w:type="dxa"/>
                  <w:vAlign w:val="center"/>
                </w:tcPr>
                <w:p w14:paraId="1E7B6066">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0.4t/a</w:t>
                  </w:r>
                </w:p>
              </w:tc>
              <w:tc>
                <w:tcPr>
                  <w:tcW w:w="2336" w:type="dxa"/>
                  <w:vAlign w:val="center"/>
                </w:tcPr>
                <w:p w14:paraId="377E6BFC">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0.4t/a</w:t>
                  </w:r>
                </w:p>
              </w:tc>
            </w:tr>
            <w:tr w14:paraId="29A22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48" w:type="dxa"/>
                  <w:vMerge w:val="continue"/>
                  <w:textDirection w:val="tbRlV"/>
                  <w:vAlign w:val="top"/>
                </w:tcPr>
                <w:p w14:paraId="1DBB697F">
                  <w:pPr>
                    <w:autoSpaceDE w:val="0"/>
                    <w:autoSpaceDN w:val="0"/>
                    <w:rPr>
                      <w:rFonts w:ascii="Arial"/>
                      <w:sz w:val="21"/>
                    </w:rPr>
                  </w:pPr>
                </w:p>
              </w:tc>
              <w:tc>
                <w:tcPr>
                  <w:tcW w:w="1188" w:type="dxa"/>
                  <w:vMerge w:val="continue"/>
                  <w:vAlign w:val="top"/>
                </w:tcPr>
                <w:p w14:paraId="501DE21B">
                  <w:pPr>
                    <w:autoSpaceDE w:val="0"/>
                    <w:autoSpaceDN w:val="0"/>
                    <w:rPr>
                      <w:rFonts w:ascii="Arial"/>
                      <w:sz w:val="21"/>
                    </w:rPr>
                  </w:pPr>
                </w:p>
              </w:tc>
              <w:tc>
                <w:tcPr>
                  <w:tcW w:w="1491" w:type="dxa"/>
                  <w:vAlign w:val="center"/>
                </w:tcPr>
                <w:p w14:paraId="53FB7F62">
                  <w:pPr>
                    <w:pStyle w:val="274"/>
                    <w:autoSpaceDE w:val="0"/>
                    <w:autoSpaceDN w:val="0"/>
                    <w:spacing w:before="46" w:line="238" w:lineRule="auto"/>
                    <w:ind w:left="102" w:leftChars="0" w:right="0" w:rightChars="0" w:hanging="102" w:firstLineChars="0"/>
                    <w:jc w:val="center"/>
                    <w:rPr>
                      <w:spacing w:val="5"/>
                      <w:sz w:val="20"/>
                      <w:szCs w:val="20"/>
                    </w:rPr>
                  </w:pPr>
                  <w:r>
                    <w:rPr>
                      <w:rFonts w:hint="eastAsia"/>
                      <w:spacing w:val="5"/>
                      <w:sz w:val="20"/>
                      <w:szCs w:val="20"/>
                    </w:rPr>
                    <w:t>废润滑油</w:t>
                  </w:r>
                </w:p>
              </w:tc>
              <w:tc>
                <w:tcPr>
                  <w:tcW w:w="2445" w:type="dxa"/>
                  <w:vAlign w:val="center"/>
                </w:tcPr>
                <w:p w14:paraId="69A5C88F">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0.05t/a</w:t>
                  </w:r>
                </w:p>
              </w:tc>
              <w:tc>
                <w:tcPr>
                  <w:tcW w:w="2336" w:type="dxa"/>
                  <w:vAlign w:val="center"/>
                </w:tcPr>
                <w:p w14:paraId="549778F2">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0.05t/a</w:t>
                  </w:r>
                </w:p>
              </w:tc>
            </w:tr>
            <w:tr w14:paraId="584E1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48" w:type="dxa"/>
                  <w:vMerge w:val="continue"/>
                  <w:textDirection w:val="tbRlV"/>
                  <w:vAlign w:val="top"/>
                </w:tcPr>
                <w:p w14:paraId="502873FB">
                  <w:pPr>
                    <w:autoSpaceDE w:val="0"/>
                    <w:autoSpaceDN w:val="0"/>
                    <w:rPr>
                      <w:rFonts w:ascii="Arial"/>
                      <w:sz w:val="21"/>
                    </w:rPr>
                  </w:pPr>
                </w:p>
              </w:tc>
              <w:tc>
                <w:tcPr>
                  <w:tcW w:w="1188" w:type="dxa"/>
                  <w:vMerge w:val="continue"/>
                  <w:vAlign w:val="top"/>
                </w:tcPr>
                <w:p w14:paraId="043B2842">
                  <w:pPr>
                    <w:autoSpaceDE w:val="0"/>
                    <w:autoSpaceDN w:val="0"/>
                    <w:rPr>
                      <w:rFonts w:ascii="Arial"/>
                      <w:sz w:val="21"/>
                    </w:rPr>
                  </w:pPr>
                </w:p>
              </w:tc>
              <w:tc>
                <w:tcPr>
                  <w:tcW w:w="1491" w:type="dxa"/>
                  <w:vAlign w:val="center"/>
                </w:tcPr>
                <w:p w14:paraId="78890C6E">
                  <w:pPr>
                    <w:pStyle w:val="274"/>
                    <w:autoSpaceDE w:val="0"/>
                    <w:autoSpaceDN w:val="0"/>
                    <w:spacing w:before="46" w:line="238" w:lineRule="auto"/>
                    <w:ind w:left="102" w:leftChars="0" w:right="0" w:rightChars="0" w:hanging="102" w:firstLineChars="0"/>
                    <w:jc w:val="center"/>
                    <w:rPr>
                      <w:spacing w:val="5"/>
                      <w:sz w:val="20"/>
                      <w:szCs w:val="20"/>
                    </w:rPr>
                  </w:pPr>
                  <w:r>
                    <w:rPr>
                      <w:spacing w:val="5"/>
                      <w:sz w:val="20"/>
                      <w:szCs w:val="20"/>
                    </w:rPr>
                    <w:t>废活性炭</w:t>
                  </w:r>
                </w:p>
              </w:tc>
              <w:tc>
                <w:tcPr>
                  <w:tcW w:w="2445" w:type="dxa"/>
                  <w:vAlign w:val="center"/>
                </w:tcPr>
                <w:p w14:paraId="4FD9358A">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3.17t/a</w:t>
                  </w:r>
                </w:p>
              </w:tc>
              <w:tc>
                <w:tcPr>
                  <w:tcW w:w="2336" w:type="dxa"/>
                  <w:vAlign w:val="center"/>
                </w:tcPr>
                <w:p w14:paraId="5502D7B0">
                  <w:pPr>
                    <w:autoSpaceDE w:val="0"/>
                    <w:autoSpaceDN w:val="0"/>
                    <w:spacing w:before="178" w:line="192" w:lineRule="auto"/>
                    <w:ind w:left="924"/>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3.17t/a</w:t>
                  </w:r>
                </w:p>
              </w:tc>
            </w:tr>
          </w:tbl>
          <w:p w14:paraId="6750EB77">
            <w:pPr>
              <w:pStyle w:val="2"/>
              <w:spacing w:line="440" w:lineRule="exact"/>
              <w:ind w:firstLine="0" w:firstLineChars="0"/>
              <w:rPr>
                <w:bCs/>
                <w:color w:val="auto"/>
                <w:sz w:val="24"/>
              </w:rPr>
            </w:pPr>
            <w:r>
              <w:rPr>
                <w:rFonts w:hint="eastAsia"/>
                <w:b/>
                <w:color w:val="auto"/>
                <w:sz w:val="24"/>
                <w:lang w:val="en-US" w:eastAsia="zh-CN"/>
              </w:rPr>
              <w:t>2.2.5</w:t>
            </w:r>
            <w:r>
              <w:rPr>
                <w:b/>
                <w:color w:val="auto"/>
                <w:sz w:val="24"/>
              </w:rPr>
              <w:t>现有</w:t>
            </w:r>
            <w:r>
              <w:rPr>
                <w:rFonts w:hint="eastAsia"/>
                <w:b/>
                <w:color w:val="auto"/>
                <w:sz w:val="24"/>
              </w:rPr>
              <w:t>项目监测数据</w:t>
            </w:r>
          </w:p>
          <w:p w14:paraId="06407653">
            <w:pPr>
              <w:pStyle w:val="2"/>
              <w:spacing w:line="360" w:lineRule="auto"/>
              <w:ind w:firstLine="480"/>
              <w:rPr>
                <w:rFonts w:hAnsi="宋体"/>
                <w:color w:val="auto"/>
                <w:sz w:val="24"/>
              </w:rPr>
            </w:pPr>
            <w:r>
              <w:rPr>
                <w:rFonts w:hint="eastAsia"/>
                <w:color w:val="auto"/>
                <w:kern w:val="0"/>
                <w:sz w:val="24"/>
              </w:rPr>
              <w:t xml:space="preserve">  </w:t>
            </w:r>
            <w:r>
              <w:rPr>
                <w:rFonts w:hint="eastAsia"/>
                <w:color w:val="auto"/>
                <w:kern w:val="0"/>
                <w:sz w:val="24"/>
                <w:lang w:val="en-US" w:eastAsia="zh-CN"/>
              </w:rPr>
              <w:t xml:space="preserve"> </w:t>
            </w:r>
            <w:r>
              <w:rPr>
                <w:rFonts w:hint="default" w:ascii="Times New Roman" w:hAnsi="Times New Roman" w:cs="Times New Roman"/>
                <w:color w:val="auto"/>
                <w:kern w:val="0"/>
                <w:sz w:val="24"/>
                <w:lang w:val="en-US" w:eastAsia="zh-CN"/>
              </w:rPr>
              <w:t xml:space="preserve"> </w:t>
            </w:r>
            <w:r>
              <w:rPr>
                <w:rFonts w:hint="default" w:ascii="Times New Roman" w:hAnsi="Times New Roman" w:eastAsia="宋体" w:cs="Times New Roman"/>
                <w:color w:val="auto"/>
                <w:kern w:val="2"/>
                <w:sz w:val="24"/>
                <w:szCs w:val="32"/>
                <w:lang w:val="en-US" w:eastAsia="zh-CN" w:bidi="ar-SA"/>
              </w:rPr>
              <w:t>企业</w:t>
            </w:r>
            <w:r>
              <w:rPr>
                <w:rFonts w:hint="default" w:ascii="Times New Roman" w:hAnsi="Times New Roman" w:eastAsia="宋体" w:cs="Times New Roman"/>
                <w:color w:val="auto"/>
                <w:kern w:val="0"/>
                <w:sz w:val="24"/>
                <w:szCs w:val="24"/>
                <w:lang w:val="en-US" w:eastAsia="zh-CN" w:bidi="ar-SA"/>
              </w:rPr>
              <w:t>现有厂区实际已停产，因此监测数据采用2020年的验收检测数据，根据湖州天亿环境检测有限公司出具的《</w:t>
            </w:r>
            <w:r>
              <w:rPr>
                <w:rStyle w:val="271"/>
                <w:rFonts w:hint="eastAsia" w:ascii="Times New Roman" w:hAnsi="Times New Roman" w:cs="Times New Roman" w:eastAsiaTheme="minorEastAsia"/>
                <w:color w:val="auto"/>
                <w:sz w:val="24"/>
                <w:szCs w:val="24"/>
                <w:lang w:eastAsia="zh-CN"/>
              </w:rPr>
              <w:t>安吉联红五金制品厂年产100万套家具塑料配件、30万套家具五金配件建设</w:t>
            </w:r>
            <w:r>
              <w:rPr>
                <w:rFonts w:hint="default" w:ascii="Times New Roman" w:hAnsi="Times New Roman" w:cs="Times New Roman" w:eastAsiaTheme="minorEastAsia"/>
                <w:color w:val="auto"/>
                <w:sz w:val="24"/>
              </w:rPr>
              <w:t>项目</w:t>
            </w:r>
            <w:r>
              <w:rPr>
                <w:rFonts w:hint="default" w:ascii="Times New Roman" w:hAnsi="Times New Roman" w:eastAsia="宋体" w:cs="Times New Roman"/>
                <w:color w:val="auto"/>
                <w:kern w:val="0"/>
                <w:sz w:val="24"/>
                <w:szCs w:val="24"/>
                <w:lang w:val="en-US" w:eastAsia="zh-CN" w:bidi="ar-SA"/>
              </w:rPr>
              <w:t>检测报告》（报告编号：</w:t>
            </w:r>
            <w:r>
              <w:rPr>
                <w:rFonts w:ascii="Times New Roman" w:hAnsiTheme="minorEastAsia" w:eastAsiaTheme="minorEastAsia"/>
                <w:sz w:val="24"/>
                <w:szCs w:val="24"/>
              </w:rPr>
              <w:t>天亿检测（20</w:t>
            </w:r>
            <w:r>
              <w:rPr>
                <w:rFonts w:hint="eastAsia" w:ascii="Times New Roman" w:hAnsiTheme="minorEastAsia" w:eastAsiaTheme="minorEastAsia"/>
                <w:sz w:val="24"/>
                <w:szCs w:val="24"/>
              </w:rPr>
              <w:t>20</w:t>
            </w:r>
            <w:r>
              <w:rPr>
                <w:rFonts w:ascii="Times New Roman" w:hAnsiTheme="minorEastAsia" w:eastAsiaTheme="minorEastAsia"/>
                <w:sz w:val="24"/>
                <w:szCs w:val="24"/>
              </w:rPr>
              <w:t>）检</w:t>
            </w:r>
            <w:r>
              <w:rPr>
                <w:rFonts w:hint="eastAsia" w:ascii="Times New Roman" w:hAnsiTheme="minorEastAsia" w:eastAsiaTheme="minorEastAsia"/>
                <w:sz w:val="24"/>
                <w:szCs w:val="24"/>
              </w:rPr>
              <w:t>121号</w:t>
            </w:r>
            <w:r>
              <w:rPr>
                <w:rFonts w:hint="default" w:ascii="Times New Roman" w:hAnsi="Times New Roman" w:eastAsia="宋体" w:cs="Times New Roman"/>
                <w:color w:val="auto"/>
                <w:kern w:val="0"/>
                <w:sz w:val="24"/>
                <w:szCs w:val="24"/>
                <w:lang w:val="en-US" w:eastAsia="zh-CN" w:bidi="ar-SA"/>
              </w:rPr>
              <w:t>），现有项目环境检测结果见下表2-</w:t>
            </w:r>
            <w:r>
              <w:rPr>
                <w:rFonts w:hint="eastAsia" w:ascii="Times New Roman" w:hAnsi="Times New Roman" w:eastAsia="宋体" w:cs="Times New Roman"/>
                <w:color w:val="auto"/>
                <w:kern w:val="0"/>
                <w:sz w:val="24"/>
                <w:szCs w:val="24"/>
                <w:lang w:val="en-US" w:eastAsia="zh-CN" w:bidi="ar-SA"/>
              </w:rPr>
              <w:t>11</w:t>
            </w:r>
            <w:r>
              <w:rPr>
                <w:rFonts w:hint="default" w:ascii="Times New Roman" w:hAnsi="Times New Roman" w:eastAsia="宋体" w:cs="Times New Roman"/>
                <w:color w:val="auto"/>
                <w:kern w:val="0"/>
                <w:sz w:val="24"/>
                <w:szCs w:val="24"/>
                <w:lang w:val="en-US" w:eastAsia="zh-CN" w:bidi="ar-SA"/>
              </w:rPr>
              <w:t>～2-</w:t>
            </w:r>
            <w:r>
              <w:rPr>
                <w:rFonts w:hint="eastAsia" w:ascii="Times New Roman" w:hAnsi="Times New Roman" w:eastAsia="宋体" w:cs="Times New Roman"/>
                <w:color w:val="auto"/>
                <w:kern w:val="0"/>
                <w:sz w:val="24"/>
                <w:szCs w:val="24"/>
                <w:lang w:val="en-US" w:eastAsia="zh-CN" w:bidi="ar-SA"/>
              </w:rPr>
              <w:t>13</w:t>
            </w:r>
          </w:p>
          <w:p w14:paraId="4319A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11</w:t>
            </w:r>
            <w:r>
              <w:rPr>
                <w:rFonts w:hint="eastAsia"/>
                <w:b/>
                <w:color w:val="auto"/>
                <w:szCs w:val="21"/>
              </w:rPr>
              <w:t xml:space="preserve"> 废水监测结果</w:t>
            </w:r>
          </w:p>
          <w:tbl>
            <w:tblPr>
              <w:tblStyle w:val="37"/>
              <w:tblpPr w:leftFromText="181" w:rightFromText="181" w:vertAnchor="text" w:horzAnchor="margin" w:tblpX="279" w:tblpY="16"/>
              <w:tblOverlap w:val="never"/>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607"/>
              <w:gridCol w:w="1607"/>
              <w:gridCol w:w="1607"/>
              <w:gridCol w:w="2448"/>
            </w:tblGrid>
            <w:tr w14:paraId="1661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5BC3E009">
                  <w:pPr>
                    <w:jc w:val="center"/>
                    <w:rPr>
                      <w:rFonts w:ascii="Times New Roman" w:hAnsiTheme="minorEastAsia" w:eastAsiaTheme="minorEastAsia"/>
                      <w:sz w:val="21"/>
                      <w:szCs w:val="21"/>
                    </w:rPr>
                  </w:pPr>
                  <w:r>
                    <w:rPr>
                      <w:rFonts w:hint="eastAsia" w:ascii="Times New Roman" w:hAnsiTheme="minorEastAsia" w:eastAsiaTheme="minorEastAsia"/>
                      <w:sz w:val="21"/>
                      <w:szCs w:val="21"/>
                    </w:rPr>
                    <w:t>采样时间</w:t>
                  </w:r>
                </w:p>
              </w:tc>
              <w:tc>
                <w:tcPr>
                  <w:tcW w:w="7269" w:type="dxa"/>
                  <w:gridSpan w:val="4"/>
                  <w:vAlign w:val="center"/>
                </w:tcPr>
                <w:p w14:paraId="7946CF1E">
                  <w:pPr>
                    <w:jc w:val="center"/>
                    <w:rPr>
                      <w:rFonts w:ascii="Times New Roman" w:hAnsiTheme="minorEastAsia" w:eastAsiaTheme="minorEastAsia"/>
                      <w:sz w:val="21"/>
                      <w:szCs w:val="21"/>
                    </w:rPr>
                  </w:pPr>
                  <w:r>
                    <w:rPr>
                      <w:rFonts w:hint="eastAsia" w:ascii="Times New Roman" w:hAnsiTheme="minorEastAsia" w:eastAsiaTheme="minorEastAsia"/>
                      <w:sz w:val="21"/>
                      <w:szCs w:val="21"/>
                    </w:rPr>
                    <w:t>2020.09.02</w:t>
                  </w:r>
                </w:p>
              </w:tc>
            </w:tr>
            <w:tr w14:paraId="22A5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62B35456">
                  <w:pPr>
                    <w:jc w:val="center"/>
                    <w:rPr>
                      <w:rFonts w:ascii="Times New Roman" w:hAnsiTheme="minorEastAsia" w:eastAsiaTheme="minorEastAsia"/>
                      <w:sz w:val="21"/>
                      <w:szCs w:val="21"/>
                    </w:rPr>
                  </w:pPr>
                  <w:r>
                    <w:rPr>
                      <w:rFonts w:hint="eastAsia" w:ascii="Times New Roman" w:hAnsiTheme="minorEastAsia" w:eastAsiaTheme="minorEastAsia"/>
                      <w:sz w:val="21"/>
                      <w:szCs w:val="21"/>
                    </w:rPr>
                    <w:t>采样点位</w:t>
                  </w:r>
                </w:p>
              </w:tc>
              <w:tc>
                <w:tcPr>
                  <w:tcW w:w="7269" w:type="dxa"/>
                  <w:gridSpan w:val="4"/>
                  <w:vAlign w:val="center"/>
                </w:tcPr>
                <w:p w14:paraId="02942411">
                  <w:pPr>
                    <w:jc w:val="center"/>
                    <w:textAlignment w:val="center"/>
                    <w:rPr>
                      <w:rFonts w:ascii="Times New Roman" w:hAnsiTheme="minorEastAsia" w:eastAsiaTheme="minorEastAsia"/>
                      <w:sz w:val="21"/>
                      <w:szCs w:val="21"/>
                    </w:rPr>
                  </w:pPr>
                  <w:r>
                    <w:rPr>
                      <w:rFonts w:hint="eastAsia" w:ascii="Times New Roman" w:hAnsiTheme="minorEastAsia" w:eastAsiaTheme="minorEastAsia"/>
                      <w:sz w:val="21"/>
                      <w:szCs w:val="21"/>
                    </w:rPr>
                    <w:t>生活污水排放口</w:t>
                  </w:r>
                </w:p>
              </w:tc>
            </w:tr>
            <w:tr w14:paraId="3700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79E737B1">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水样编号</w:t>
                  </w:r>
                </w:p>
              </w:tc>
              <w:tc>
                <w:tcPr>
                  <w:tcW w:w="1607" w:type="dxa"/>
                  <w:vAlign w:val="center"/>
                </w:tcPr>
                <w:p w14:paraId="6296F157">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水200902001</w:t>
                  </w:r>
                </w:p>
              </w:tc>
              <w:tc>
                <w:tcPr>
                  <w:tcW w:w="1607" w:type="dxa"/>
                  <w:vAlign w:val="center"/>
                </w:tcPr>
                <w:p w14:paraId="5F4DB331">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水200902002</w:t>
                  </w:r>
                </w:p>
              </w:tc>
              <w:tc>
                <w:tcPr>
                  <w:tcW w:w="1607" w:type="dxa"/>
                  <w:vAlign w:val="center"/>
                </w:tcPr>
                <w:p w14:paraId="35F91844">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水200902003</w:t>
                  </w:r>
                </w:p>
              </w:tc>
              <w:tc>
                <w:tcPr>
                  <w:tcW w:w="2448" w:type="dxa"/>
                  <w:vAlign w:val="center"/>
                </w:tcPr>
                <w:p w14:paraId="1D658DC8">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水200902004</w:t>
                  </w:r>
                </w:p>
              </w:tc>
            </w:tr>
            <w:tr w14:paraId="7290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6C7C9A15">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样品性状</w:t>
                  </w:r>
                </w:p>
              </w:tc>
              <w:tc>
                <w:tcPr>
                  <w:tcW w:w="7269" w:type="dxa"/>
                  <w:gridSpan w:val="4"/>
                  <w:vAlign w:val="center"/>
                </w:tcPr>
                <w:p w14:paraId="6EF5A263">
                  <w:pPr>
                    <w:jc w:val="center"/>
                    <w:textAlignment w:val="center"/>
                    <w:rPr>
                      <w:rFonts w:ascii="Times New Roman" w:hAnsiTheme="minorEastAsia" w:eastAsiaTheme="minorEastAsia"/>
                      <w:sz w:val="21"/>
                      <w:szCs w:val="21"/>
                    </w:rPr>
                  </w:pPr>
                  <w:r>
                    <w:rPr>
                      <w:rFonts w:hint="eastAsia" w:ascii="Times New Roman" w:hAnsiTheme="minorEastAsia" w:eastAsiaTheme="minorEastAsia"/>
                      <w:sz w:val="21"/>
                      <w:szCs w:val="21"/>
                    </w:rPr>
                    <w:t>微黄，微浊</w:t>
                  </w:r>
                </w:p>
              </w:tc>
            </w:tr>
            <w:tr w14:paraId="22DE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057B4224">
                  <w:pPr>
                    <w:jc w:val="center"/>
                    <w:rPr>
                      <w:rFonts w:ascii="Times New Roman" w:hAnsiTheme="minorEastAsia" w:eastAsiaTheme="minorEastAsia"/>
                      <w:sz w:val="21"/>
                      <w:szCs w:val="21"/>
                    </w:rPr>
                  </w:pPr>
                  <w:r>
                    <w:rPr>
                      <w:rFonts w:ascii="Times New Roman" w:hAnsiTheme="minorEastAsia" w:eastAsiaTheme="minorEastAsia"/>
                      <w:sz w:val="21"/>
                      <w:szCs w:val="21"/>
                    </w:rPr>
                    <w:t>pH</w:t>
                  </w:r>
                  <w:r>
                    <w:rPr>
                      <w:rFonts w:hint="eastAsia" w:ascii="Times New Roman" w:hAnsiTheme="minorEastAsia" w:eastAsiaTheme="minorEastAsia"/>
                      <w:sz w:val="21"/>
                      <w:szCs w:val="21"/>
                    </w:rPr>
                    <w:t>值（无量纲）</w:t>
                  </w:r>
                </w:p>
              </w:tc>
              <w:tc>
                <w:tcPr>
                  <w:tcW w:w="1607" w:type="dxa"/>
                  <w:vAlign w:val="center"/>
                </w:tcPr>
                <w:p w14:paraId="7DA80EEB">
                  <w:pPr>
                    <w:jc w:val="center"/>
                    <w:rPr>
                      <w:rFonts w:ascii="Times New Roman" w:hAnsiTheme="minorEastAsia" w:eastAsiaTheme="minorEastAsia"/>
                      <w:sz w:val="21"/>
                      <w:szCs w:val="21"/>
                    </w:rPr>
                  </w:pPr>
                  <w:r>
                    <w:rPr>
                      <w:rFonts w:hint="eastAsia" w:ascii="Times New Roman" w:hAnsiTheme="minorEastAsia" w:eastAsiaTheme="minorEastAsia"/>
                      <w:sz w:val="21"/>
                      <w:szCs w:val="21"/>
                    </w:rPr>
                    <w:t>7.39</w:t>
                  </w:r>
                </w:p>
              </w:tc>
              <w:tc>
                <w:tcPr>
                  <w:tcW w:w="1607" w:type="dxa"/>
                  <w:vAlign w:val="center"/>
                </w:tcPr>
                <w:p w14:paraId="71B1EEEA">
                  <w:pPr>
                    <w:jc w:val="center"/>
                    <w:rPr>
                      <w:rFonts w:ascii="Times New Roman" w:hAnsiTheme="minorEastAsia" w:eastAsiaTheme="minorEastAsia"/>
                      <w:sz w:val="21"/>
                      <w:szCs w:val="21"/>
                    </w:rPr>
                  </w:pPr>
                  <w:r>
                    <w:rPr>
                      <w:rFonts w:hint="eastAsia" w:ascii="Times New Roman" w:hAnsiTheme="minorEastAsia" w:eastAsiaTheme="minorEastAsia"/>
                      <w:sz w:val="21"/>
                      <w:szCs w:val="21"/>
                    </w:rPr>
                    <w:t>7.37</w:t>
                  </w:r>
                </w:p>
              </w:tc>
              <w:tc>
                <w:tcPr>
                  <w:tcW w:w="1607" w:type="dxa"/>
                  <w:vAlign w:val="center"/>
                </w:tcPr>
                <w:p w14:paraId="55F6EEA8">
                  <w:pPr>
                    <w:jc w:val="center"/>
                    <w:rPr>
                      <w:rFonts w:ascii="Times New Roman" w:hAnsiTheme="minorEastAsia" w:eastAsiaTheme="minorEastAsia"/>
                      <w:sz w:val="21"/>
                      <w:szCs w:val="21"/>
                    </w:rPr>
                  </w:pPr>
                  <w:r>
                    <w:rPr>
                      <w:rFonts w:hint="eastAsia" w:ascii="Times New Roman" w:hAnsiTheme="minorEastAsia" w:eastAsiaTheme="minorEastAsia"/>
                      <w:sz w:val="21"/>
                      <w:szCs w:val="21"/>
                    </w:rPr>
                    <w:t>7.36</w:t>
                  </w:r>
                </w:p>
              </w:tc>
              <w:tc>
                <w:tcPr>
                  <w:tcW w:w="2448" w:type="dxa"/>
                  <w:vAlign w:val="center"/>
                </w:tcPr>
                <w:p w14:paraId="2E342BFC">
                  <w:pPr>
                    <w:jc w:val="center"/>
                    <w:rPr>
                      <w:rFonts w:ascii="Times New Roman" w:hAnsiTheme="minorEastAsia" w:eastAsiaTheme="minorEastAsia"/>
                      <w:sz w:val="21"/>
                      <w:szCs w:val="21"/>
                    </w:rPr>
                  </w:pPr>
                  <w:r>
                    <w:rPr>
                      <w:rFonts w:hint="eastAsia" w:ascii="Times New Roman" w:hAnsiTheme="minorEastAsia" w:eastAsiaTheme="minorEastAsia"/>
                      <w:sz w:val="21"/>
                      <w:szCs w:val="21"/>
                    </w:rPr>
                    <w:t>7.39</w:t>
                  </w:r>
                </w:p>
              </w:tc>
            </w:tr>
            <w:tr w14:paraId="0DCC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0FC68EA1">
                  <w:pPr>
                    <w:jc w:val="center"/>
                    <w:rPr>
                      <w:rFonts w:ascii="Times New Roman" w:hAnsiTheme="minorEastAsia" w:eastAsiaTheme="minorEastAsia"/>
                      <w:sz w:val="21"/>
                      <w:szCs w:val="21"/>
                    </w:rPr>
                  </w:pPr>
                  <w:r>
                    <w:rPr>
                      <w:rFonts w:hint="eastAsia" w:ascii="Times New Roman" w:hAnsiTheme="minorEastAsia" w:eastAsiaTheme="minorEastAsia"/>
                      <w:sz w:val="21"/>
                      <w:szCs w:val="21"/>
                    </w:rPr>
                    <w:t>化学需氧量（</w:t>
                  </w:r>
                  <w:r>
                    <w:rPr>
                      <w:rFonts w:ascii="Times New Roman" w:hAnsiTheme="minorEastAsia" w:eastAsiaTheme="minorEastAsia"/>
                      <w:sz w:val="21"/>
                      <w:szCs w:val="21"/>
                    </w:rPr>
                    <w:t>mg/L</w:t>
                  </w:r>
                  <w:r>
                    <w:rPr>
                      <w:rFonts w:hint="eastAsia" w:ascii="Times New Roman" w:hAnsiTheme="minorEastAsia" w:eastAsiaTheme="minorEastAsia"/>
                      <w:sz w:val="21"/>
                      <w:szCs w:val="21"/>
                    </w:rPr>
                    <w:t>）</w:t>
                  </w:r>
                </w:p>
              </w:tc>
              <w:tc>
                <w:tcPr>
                  <w:tcW w:w="1607" w:type="dxa"/>
                  <w:vAlign w:val="center"/>
                </w:tcPr>
                <w:p w14:paraId="3462628A">
                  <w:pPr>
                    <w:spacing w:line="260" w:lineRule="exact"/>
                    <w:jc w:val="center"/>
                    <w:rPr>
                      <w:rFonts w:ascii="Times New Roman" w:hAnsiTheme="minorEastAsia" w:eastAsiaTheme="minorEastAsia"/>
                      <w:sz w:val="21"/>
                      <w:szCs w:val="21"/>
                    </w:rPr>
                  </w:pPr>
                  <w:r>
                    <w:rPr>
                      <w:rFonts w:hint="eastAsia" w:ascii="Times New Roman" w:hAnsiTheme="minorEastAsia" w:eastAsiaTheme="minorEastAsia"/>
                      <w:sz w:val="21"/>
                      <w:szCs w:val="21"/>
                    </w:rPr>
                    <w:t>341</w:t>
                  </w:r>
                </w:p>
              </w:tc>
              <w:tc>
                <w:tcPr>
                  <w:tcW w:w="1607" w:type="dxa"/>
                  <w:vAlign w:val="center"/>
                </w:tcPr>
                <w:p w14:paraId="0BAB91D2">
                  <w:pPr>
                    <w:jc w:val="center"/>
                    <w:rPr>
                      <w:rFonts w:ascii="Times New Roman" w:hAnsiTheme="minorEastAsia" w:eastAsiaTheme="minorEastAsia"/>
                      <w:sz w:val="21"/>
                      <w:szCs w:val="21"/>
                    </w:rPr>
                  </w:pPr>
                  <w:r>
                    <w:rPr>
                      <w:rFonts w:hint="eastAsia" w:ascii="Times New Roman" w:hAnsiTheme="minorEastAsia" w:eastAsiaTheme="minorEastAsia"/>
                      <w:sz w:val="21"/>
                      <w:szCs w:val="21"/>
                    </w:rPr>
                    <w:t>341</w:t>
                  </w:r>
                </w:p>
              </w:tc>
              <w:tc>
                <w:tcPr>
                  <w:tcW w:w="1607" w:type="dxa"/>
                  <w:vAlign w:val="center"/>
                </w:tcPr>
                <w:p w14:paraId="53ED8C78">
                  <w:pPr>
                    <w:jc w:val="center"/>
                    <w:rPr>
                      <w:rFonts w:ascii="Times New Roman" w:hAnsiTheme="minorEastAsia" w:eastAsiaTheme="minorEastAsia"/>
                      <w:sz w:val="21"/>
                      <w:szCs w:val="21"/>
                    </w:rPr>
                  </w:pPr>
                  <w:r>
                    <w:rPr>
                      <w:rFonts w:hint="eastAsia" w:ascii="Times New Roman" w:hAnsiTheme="minorEastAsia" w:eastAsiaTheme="minorEastAsia"/>
                      <w:sz w:val="21"/>
                      <w:szCs w:val="21"/>
                    </w:rPr>
                    <w:t>339</w:t>
                  </w:r>
                </w:p>
              </w:tc>
              <w:tc>
                <w:tcPr>
                  <w:tcW w:w="2448" w:type="dxa"/>
                  <w:vAlign w:val="center"/>
                </w:tcPr>
                <w:p w14:paraId="4C411443">
                  <w:pPr>
                    <w:jc w:val="center"/>
                    <w:rPr>
                      <w:rFonts w:ascii="Times New Roman" w:hAnsiTheme="minorEastAsia" w:eastAsiaTheme="minorEastAsia"/>
                      <w:sz w:val="21"/>
                      <w:szCs w:val="21"/>
                    </w:rPr>
                  </w:pPr>
                  <w:r>
                    <w:rPr>
                      <w:rFonts w:hint="eastAsia" w:ascii="Times New Roman" w:hAnsiTheme="minorEastAsia" w:eastAsiaTheme="minorEastAsia"/>
                      <w:sz w:val="21"/>
                      <w:szCs w:val="21"/>
                    </w:rPr>
                    <w:t>339</w:t>
                  </w:r>
                </w:p>
              </w:tc>
            </w:tr>
            <w:tr w14:paraId="48BD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5FF8F997">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氨氮（</w:t>
                  </w:r>
                  <w:r>
                    <w:rPr>
                      <w:rFonts w:ascii="Times New Roman" w:hAnsiTheme="minorEastAsia" w:eastAsiaTheme="minorEastAsia"/>
                      <w:sz w:val="21"/>
                      <w:szCs w:val="21"/>
                    </w:rPr>
                    <w:t>mg/L</w:t>
                  </w:r>
                  <w:r>
                    <w:rPr>
                      <w:rFonts w:hint="eastAsia" w:ascii="Times New Roman" w:hAnsiTheme="minorEastAsia" w:eastAsiaTheme="minorEastAsia"/>
                      <w:sz w:val="21"/>
                      <w:szCs w:val="21"/>
                    </w:rPr>
                    <w:t>）</w:t>
                  </w:r>
                </w:p>
              </w:tc>
              <w:tc>
                <w:tcPr>
                  <w:tcW w:w="1607" w:type="dxa"/>
                  <w:vAlign w:val="center"/>
                </w:tcPr>
                <w:p w14:paraId="3281EEA2">
                  <w:pPr>
                    <w:spacing w:line="260" w:lineRule="exact"/>
                    <w:jc w:val="center"/>
                    <w:rPr>
                      <w:rFonts w:ascii="Times New Roman" w:hAnsiTheme="minorEastAsia" w:eastAsiaTheme="minorEastAsia"/>
                      <w:sz w:val="21"/>
                      <w:szCs w:val="21"/>
                    </w:rPr>
                  </w:pPr>
                  <w:r>
                    <w:rPr>
                      <w:rFonts w:hint="eastAsia" w:ascii="Times New Roman" w:hAnsiTheme="minorEastAsia" w:eastAsiaTheme="minorEastAsia"/>
                      <w:sz w:val="21"/>
                      <w:szCs w:val="21"/>
                    </w:rPr>
                    <w:t>16.5</w:t>
                  </w:r>
                </w:p>
              </w:tc>
              <w:tc>
                <w:tcPr>
                  <w:tcW w:w="1607" w:type="dxa"/>
                  <w:vAlign w:val="center"/>
                </w:tcPr>
                <w:p w14:paraId="34080727">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16.7</w:t>
                  </w:r>
                </w:p>
              </w:tc>
              <w:tc>
                <w:tcPr>
                  <w:tcW w:w="1607" w:type="dxa"/>
                  <w:vAlign w:val="center"/>
                </w:tcPr>
                <w:p w14:paraId="15435D12">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16.7</w:t>
                  </w:r>
                </w:p>
              </w:tc>
              <w:tc>
                <w:tcPr>
                  <w:tcW w:w="2448" w:type="dxa"/>
                  <w:vAlign w:val="center"/>
                </w:tcPr>
                <w:p w14:paraId="0322CC06">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16.6</w:t>
                  </w:r>
                </w:p>
              </w:tc>
            </w:tr>
            <w:tr w14:paraId="678A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228BAB47">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总磷（</w:t>
                  </w:r>
                  <w:r>
                    <w:rPr>
                      <w:rFonts w:ascii="Times New Roman" w:hAnsiTheme="minorEastAsia" w:eastAsiaTheme="minorEastAsia"/>
                      <w:sz w:val="21"/>
                      <w:szCs w:val="21"/>
                    </w:rPr>
                    <w:t>mg/L</w:t>
                  </w:r>
                  <w:r>
                    <w:rPr>
                      <w:rFonts w:hint="eastAsia" w:ascii="Times New Roman" w:hAnsiTheme="minorEastAsia" w:eastAsiaTheme="minorEastAsia"/>
                      <w:sz w:val="21"/>
                      <w:szCs w:val="21"/>
                    </w:rPr>
                    <w:t>）</w:t>
                  </w:r>
                </w:p>
              </w:tc>
              <w:tc>
                <w:tcPr>
                  <w:tcW w:w="1607" w:type="dxa"/>
                  <w:vAlign w:val="center"/>
                </w:tcPr>
                <w:p w14:paraId="0386346F">
                  <w:pPr>
                    <w:spacing w:line="260" w:lineRule="exact"/>
                    <w:jc w:val="center"/>
                    <w:rPr>
                      <w:rFonts w:ascii="Times New Roman" w:hAnsiTheme="minorEastAsia" w:eastAsiaTheme="minorEastAsia"/>
                      <w:sz w:val="21"/>
                      <w:szCs w:val="21"/>
                    </w:rPr>
                  </w:pPr>
                  <w:r>
                    <w:rPr>
                      <w:rFonts w:hint="eastAsia" w:ascii="Times New Roman" w:hAnsiTheme="minorEastAsia" w:eastAsiaTheme="minorEastAsia"/>
                      <w:sz w:val="21"/>
                      <w:szCs w:val="21"/>
                    </w:rPr>
                    <w:t>2.46</w:t>
                  </w:r>
                </w:p>
              </w:tc>
              <w:tc>
                <w:tcPr>
                  <w:tcW w:w="1607" w:type="dxa"/>
                  <w:vAlign w:val="center"/>
                </w:tcPr>
                <w:p w14:paraId="13D72FD6">
                  <w:pPr>
                    <w:jc w:val="center"/>
                    <w:rPr>
                      <w:rFonts w:ascii="Times New Roman" w:hAnsiTheme="minorEastAsia" w:eastAsiaTheme="minorEastAsia"/>
                      <w:sz w:val="21"/>
                      <w:szCs w:val="21"/>
                    </w:rPr>
                  </w:pPr>
                  <w:r>
                    <w:rPr>
                      <w:rFonts w:hint="eastAsia" w:ascii="Times New Roman" w:hAnsiTheme="minorEastAsia" w:eastAsiaTheme="minorEastAsia"/>
                      <w:sz w:val="21"/>
                      <w:szCs w:val="21"/>
                    </w:rPr>
                    <w:t>2.34</w:t>
                  </w:r>
                </w:p>
              </w:tc>
              <w:tc>
                <w:tcPr>
                  <w:tcW w:w="1607" w:type="dxa"/>
                  <w:vAlign w:val="center"/>
                </w:tcPr>
                <w:p w14:paraId="1EA5BA87">
                  <w:pPr>
                    <w:jc w:val="center"/>
                    <w:rPr>
                      <w:rFonts w:ascii="Times New Roman" w:hAnsiTheme="minorEastAsia" w:eastAsiaTheme="minorEastAsia"/>
                      <w:sz w:val="21"/>
                      <w:szCs w:val="21"/>
                    </w:rPr>
                  </w:pPr>
                  <w:r>
                    <w:rPr>
                      <w:rFonts w:hint="eastAsia" w:ascii="Times New Roman" w:hAnsiTheme="minorEastAsia" w:eastAsiaTheme="minorEastAsia"/>
                      <w:sz w:val="21"/>
                      <w:szCs w:val="21"/>
                    </w:rPr>
                    <w:t>2.14</w:t>
                  </w:r>
                </w:p>
              </w:tc>
              <w:tc>
                <w:tcPr>
                  <w:tcW w:w="2448" w:type="dxa"/>
                  <w:vAlign w:val="center"/>
                </w:tcPr>
                <w:p w14:paraId="12AF1F34">
                  <w:pPr>
                    <w:jc w:val="center"/>
                    <w:rPr>
                      <w:rFonts w:ascii="Times New Roman" w:hAnsiTheme="minorEastAsia" w:eastAsiaTheme="minorEastAsia"/>
                      <w:sz w:val="21"/>
                      <w:szCs w:val="21"/>
                    </w:rPr>
                  </w:pPr>
                  <w:r>
                    <w:rPr>
                      <w:rFonts w:hint="eastAsia" w:ascii="Times New Roman" w:hAnsiTheme="minorEastAsia" w:eastAsiaTheme="minorEastAsia"/>
                      <w:sz w:val="21"/>
                      <w:szCs w:val="21"/>
                    </w:rPr>
                    <w:t>2.26</w:t>
                  </w:r>
                </w:p>
              </w:tc>
            </w:tr>
            <w:tr w14:paraId="0384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4BE06D5C">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悬浮物（</w:t>
                  </w:r>
                  <w:r>
                    <w:rPr>
                      <w:rFonts w:ascii="Times New Roman" w:hAnsiTheme="minorEastAsia" w:eastAsiaTheme="minorEastAsia"/>
                      <w:sz w:val="21"/>
                      <w:szCs w:val="21"/>
                    </w:rPr>
                    <w:t>mg/L</w:t>
                  </w:r>
                  <w:r>
                    <w:rPr>
                      <w:rFonts w:hint="eastAsia" w:ascii="Times New Roman" w:hAnsiTheme="minorEastAsia" w:eastAsiaTheme="minorEastAsia"/>
                      <w:sz w:val="21"/>
                      <w:szCs w:val="21"/>
                    </w:rPr>
                    <w:t>）</w:t>
                  </w:r>
                </w:p>
              </w:tc>
              <w:tc>
                <w:tcPr>
                  <w:tcW w:w="1607" w:type="dxa"/>
                  <w:vAlign w:val="center"/>
                </w:tcPr>
                <w:p w14:paraId="77D605EC">
                  <w:pPr>
                    <w:spacing w:line="260" w:lineRule="exact"/>
                    <w:jc w:val="center"/>
                    <w:rPr>
                      <w:rFonts w:ascii="Times New Roman" w:hAnsiTheme="minorEastAsia" w:eastAsiaTheme="minorEastAsia"/>
                      <w:sz w:val="21"/>
                      <w:szCs w:val="21"/>
                    </w:rPr>
                  </w:pPr>
                  <w:r>
                    <w:rPr>
                      <w:rFonts w:hint="eastAsia" w:ascii="Times New Roman" w:hAnsiTheme="minorEastAsia" w:eastAsiaTheme="minorEastAsia"/>
                      <w:sz w:val="21"/>
                      <w:szCs w:val="21"/>
                    </w:rPr>
                    <w:t>112</w:t>
                  </w:r>
                </w:p>
              </w:tc>
              <w:tc>
                <w:tcPr>
                  <w:tcW w:w="1607" w:type="dxa"/>
                  <w:vAlign w:val="center"/>
                </w:tcPr>
                <w:p w14:paraId="0DC870D5">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127</w:t>
                  </w:r>
                </w:p>
              </w:tc>
              <w:tc>
                <w:tcPr>
                  <w:tcW w:w="1607" w:type="dxa"/>
                  <w:vAlign w:val="center"/>
                </w:tcPr>
                <w:p w14:paraId="6705B795">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133</w:t>
                  </w:r>
                </w:p>
              </w:tc>
              <w:tc>
                <w:tcPr>
                  <w:tcW w:w="2448" w:type="dxa"/>
                  <w:vAlign w:val="center"/>
                </w:tcPr>
                <w:p w14:paraId="319A3A34">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135</w:t>
                  </w:r>
                </w:p>
              </w:tc>
            </w:tr>
            <w:tr w14:paraId="0918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67C4576A">
                  <w:pPr>
                    <w:jc w:val="center"/>
                    <w:rPr>
                      <w:rFonts w:ascii="Times New Roman" w:hAnsiTheme="minorEastAsia" w:eastAsiaTheme="minorEastAsia"/>
                      <w:sz w:val="21"/>
                      <w:szCs w:val="21"/>
                    </w:rPr>
                  </w:pPr>
                  <w:r>
                    <w:rPr>
                      <w:rFonts w:hint="eastAsia" w:ascii="Times New Roman" w:hAnsiTheme="minorEastAsia" w:eastAsiaTheme="minorEastAsia"/>
                      <w:sz w:val="21"/>
                      <w:szCs w:val="21"/>
                    </w:rPr>
                    <w:t>采样时间</w:t>
                  </w:r>
                </w:p>
              </w:tc>
              <w:tc>
                <w:tcPr>
                  <w:tcW w:w="7269" w:type="dxa"/>
                  <w:gridSpan w:val="4"/>
                  <w:vAlign w:val="center"/>
                </w:tcPr>
                <w:p w14:paraId="07651AD0">
                  <w:pPr>
                    <w:jc w:val="center"/>
                    <w:rPr>
                      <w:rFonts w:ascii="Times New Roman" w:hAnsiTheme="minorEastAsia" w:eastAsiaTheme="minorEastAsia"/>
                      <w:sz w:val="21"/>
                      <w:szCs w:val="21"/>
                    </w:rPr>
                  </w:pPr>
                  <w:r>
                    <w:rPr>
                      <w:rFonts w:hint="eastAsia"/>
                    </w:rPr>
                    <w:t>2020.08.13</w:t>
                  </w:r>
                </w:p>
              </w:tc>
            </w:tr>
            <w:tr w14:paraId="6301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0705FE24">
                  <w:pPr>
                    <w:jc w:val="center"/>
                    <w:rPr>
                      <w:rFonts w:ascii="Times New Roman" w:hAnsiTheme="minorEastAsia" w:eastAsiaTheme="minorEastAsia"/>
                      <w:sz w:val="21"/>
                      <w:szCs w:val="21"/>
                    </w:rPr>
                  </w:pPr>
                  <w:r>
                    <w:rPr>
                      <w:rFonts w:hint="eastAsia" w:ascii="Times New Roman" w:hAnsiTheme="minorEastAsia" w:eastAsiaTheme="minorEastAsia"/>
                      <w:sz w:val="21"/>
                      <w:szCs w:val="21"/>
                    </w:rPr>
                    <w:t>采样点位</w:t>
                  </w:r>
                </w:p>
              </w:tc>
              <w:tc>
                <w:tcPr>
                  <w:tcW w:w="7269" w:type="dxa"/>
                  <w:gridSpan w:val="4"/>
                  <w:vAlign w:val="center"/>
                </w:tcPr>
                <w:p w14:paraId="53D7807D">
                  <w:pPr>
                    <w:jc w:val="center"/>
                    <w:rPr>
                      <w:rFonts w:ascii="Times New Roman" w:hAnsiTheme="minorEastAsia" w:eastAsiaTheme="minorEastAsia"/>
                      <w:sz w:val="21"/>
                      <w:szCs w:val="21"/>
                    </w:rPr>
                  </w:pPr>
                  <w:r>
                    <w:rPr>
                      <w:rFonts w:hint="eastAsia" w:ascii="Times New Roman" w:hAnsiTheme="minorEastAsia" w:eastAsiaTheme="minorEastAsia"/>
                      <w:sz w:val="21"/>
                      <w:szCs w:val="21"/>
                    </w:rPr>
                    <w:t>生活污水排放口</w:t>
                  </w:r>
                </w:p>
              </w:tc>
            </w:tr>
            <w:tr w14:paraId="1D34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7E914A33">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水样编号</w:t>
                  </w:r>
                </w:p>
              </w:tc>
              <w:tc>
                <w:tcPr>
                  <w:tcW w:w="1607" w:type="dxa"/>
                  <w:vAlign w:val="center"/>
                </w:tcPr>
                <w:p w14:paraId="79949025">
                  <w:pPr>
                    <w:jc w:val="center"/>
                    <w:textAlignment w:val="center"/>
                    <w:rPr>
                      <w:rFonts w:ascii="Times New Roman" w:hAnsiTheme="minorEastAsia" w:eastAsiaTheme="minorEastAsia"/>
                      <w:sz w:val="21"/>
                      <w:szCs w:val="21"/>
                    </w:rPr>
                  </w:pPr>
                  <w:r>
                    <w:rPr>
                      <w:rFonts w:hint="eastAsia" w:ascii="Times New Roman" w:hAnsiTheme="minorEastAsia" w:eastAsiaTheme="minorEastAsia"/>
                      <w:sz w:val="21"/>
                      <w:szCs w:val="21"/>
                    </w:rPr>
                    <w:t>水200813001</w:t>
                  </w:r>
                </w:p>
              </w:tc>
              <w:tc>
                <w:tcPr>
                  <w:tcW w:w="1607" w:type="dxa"/>
                  <w:vAlign w:val="center"/>
                </w:tcPr>
                <w:p w14:paraId="6945CDF6">
                  <w:pPr>
                    <w:jc w:val="center"/>
                    <w:textAlignment w:val="center"/>
                    <w:rPr>
                      <w:rFonts w:ascii="Times New Roman" w:hAnsiTheme="minorEastAsia" w:eastAsiaTheme="minorEastAsia"/>
                      <w:sz w:val="21"/>
                      <w:szCs w:val="21"/>
                    </w:rPr>
                  </w:pPr>
                  <w:r>
                    <w:rPr>
                      <w:rFonts w:hint="eastAsia" w:ascii="Times New Roman" w:hAnsiTheme="minorEastAsia" w:eastAsiaTheme="minorEastAsia"/>
                      <w:sz w:val="21"/>
                      <w:szCs w:val="21"/>
                    </w:rPr>
                    <w:t>水200813002</w:t>
                  </w:r>
                </w:p>
              </w:tc>
              <w:tc>
                <w:tcPr>
                  <w:tcW w:w="1607" w:type="dxa"/>
                  <w:vAlign w:val="center"/>
                </w:tcPr>
                <w:p w14:paraId="586C918E">
                  <w:pPr>
                    <w:jc w:val="center"/>
                    <w:textAlignment w:val="center"/>
                    <w:rPr>
                      <w:rFonts w:ascii="Times New Roman" w:hAnsiTheme="minorEastAsia" w:eastAsiaTheme="minorEastAsia"/>
                      <w:sz w:val="21"/>
                      <w:szCs w:val="21"/>
                    </w:rPr>
                  </w:pPr>
                  <w:r>
                    <w:rPr>
                      <w:rFonts w:hint="eastAsia" w:ascii="Times New Roman" w:hAnsiTheme="minorEastAsia" w:eastAsiaTheme="minorEastAsia"/>
                      <w:sz w:val="21"/>
                      <w:szCs w:val="21"/>
                    </w:rPr>
                    <w:t>水200813003</w:t>
                  </w:r>
                </w:p>
              </w:tc>
              <w:tc>
                <w:tcPr>
                  <w:tcW w:w="2448" w:type="dxa"/>
                  <w:vAlign w:val="center"/>
                </w:tcPr>
                <w:p w14:paraId="129A4D80">
                  <w:pPr>
                    <w:jc w:val="center"/>
                    <w:textAlignment w:val="center"/>
                    <w:rPr>
                      <w:rFonts w:ascii="Times New Roman" w:hAnsiTheme="minorEastAsia" w:eastAsiaTheme="minorEastAsia"/>
                      <w:sz w:val="21"/>
                      <w:szCs w:val="21"/>
                    </w:rPr>
                  </w:pPr>
                  <w:r>
                    <w:rPr>
                      <w:rFonts w:hint="eastAsia" w:ascii="Times New Roman" w:hAnsiTheme="minorEastAsia" w:eastAsiaTheme="minorEastAsia"/>
                      <w:sz w:val="21"/>
                      <w:szCs w:val="21"/>
                    </w:rPr>
                    <w:t>水200813004</w:t>
                  </w:r>
                </w:p>
              </w:tc>
            </w:tr>
            <w:tr w14:paraId="0971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6995D69A">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样品性状</w:t>
                  </w:r>
                </w:p>
              </w:tc>
              <w:tc>
                <w:tcPr>
                  <w:tcW w:w="7269" w:type="dxa"/>
                  <w:gridSpan w:val="4"/>
                  <w:vAlign w:val="center"/>
                </w:tcPr>
                <w:p w14:paraId="19CF1D93">
                  <w:pPr>
                    <w:jc w:val="center"/>
                    <w:rPr>
                      <w:rFonts w:ascii="Times New Roman" w:hAnsiTheme="minorEastAsia" w:eastAsiaTheme="minorEastAsia"/>
                      <w:sz w:val="21"/>
                      <w:szCs w:val="21"/>
                    </w:rPr>
                  </w:pPr>
                  <w:r>
                    <w:rPr>
                      <w:rFonts w:hint="eastAsia" w:ascii="Times New Roman" w:hAnsiTheme="minorEastAsia" w:eastAsiaTheme="minorEastAsia"/>
                      <w:sz w:val="21"/>
                      <w:szCs w:val="21"/>
                    </w:rPr>
                    <w:t>微黄，微浊</w:t>
                  </w:r>
                </w:p>
              </w:tc>
            </w:tr>
            <w:tr w14:paraId="577A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427E40C0">
                  <w:pPr>
                    <w:jc w:val="center"/>
                    <w:rPr>
                      <w:rFonts w:ascii="Times New Roman" w:hAnsiTheme="minorEastAsia" w:eastAsiaTheme="minorEastAsia"/>
                      <w:sz w:val="21"/>
                      <w:szCs w:val="21"/>
                    </w:rPr>
                  </w:pPr>
                  <w:r>
                    <w:rPr>
                      <w:rFonts w:ascii="Times New Roman" w:hAnsiTheme="minorEastAsia" w:eastAsiaTheme="minorEastAsia"/>
                      <w:sz w:val="21"/>
                      <w:szCs w:val="21"/>
                    </w:rPr>
                    <w:t>pH</w:t>
                  </w:r>
                  <w:r>
                    <w:rPr>
                      <w:rFonts w:hint="eastAsia" w:ascii="Times New Roman" w:hAnsiTheme="minorEastAsia" w:eastAsiaTheme="minorEastAsia"/>
                      <w:sz w:val="21"/>
                      <w:szCs w:val="21"/>
                    </w:rPr>
                    <w:t>值（无量纲）</w:t>
                  </w:r>
                </w:p>
              </w:tc>
              <w:tc>
                <w:tcPr>
                  <w:tcW w:w="1607" w:type="dxa"/>
                  <w:vAlign w:val="center"/>
                </w:tcPr>
                <w:p w14:paraId="33DBF1BF">
                  <w:pPr>
                    <w:spacing w:line="260" w:lineRule="exact"/>
                    <w:jc w:val="center"/>
                    <w:rPr>
                      <w:rFonts w:ascii="Times New Roman" w:hAnsiTheme="minorEastAsia" w:eastAsiaTheme="minorEastAsia"/>
                      <w:sz w:val="21"/>
                      <w:szCs w:val="21"/>
                    </w:rPr>
                  </w:pPr>
                  <w:r>
                    <w:rPr>
                      <w:rFonts w:hint="eastAsia" w:ascii="Times New Roman" w:hAnsiTheme="minorEastAsia" w:eastAsiaTheme="minorEastAsia"/>
                      <w:sz w:val="21"/>
                      <w:szCs w:val="21"/>
                    </w:rPr>
                    <w:t>7.38</w:t>
                  </w:r>
                </w:p>
              </w:tc>
              <w:tc>
                <w:tcPr>
                  <w:tcW w:w="1607" w:type="dxa"/>
                  <w:vAlign w:val="center"/>
                </w:tcPr>
                <w:p w14:paraId="2E3D60FC">
                  <w:pPr>
                    <w:jc w:val="center"/>
                    <w:rPr>
                      <w:rFonts w:ascii="Times New Roman" w:hAnsiTheme="minorEastAsia" w:eastAsiaTheme="minorEastAsia"/>
                      <w:sz w:val="21"/>
                      <w:szCs w:val="21"/>
                    </w:rPr>
                  </w:pPr>
                  <w:r>
                    <w:rPr>
                      <w:rFonts w:hint="eastAsia" w:ascii="Times New Roman" w:hAnsiTheme="minorEastAsia" w:eastAsiaTheme="minorEastAsia"/>
                      <w:sz w:val="21"/>
                      <w:szCs w:val="21"/>
                    </w:rPr>
                    <w:t>7.35</w:t>
                  </w:r>
                </w:p>
              </w:tc>
              <w:tc>
                <w:tcPr>
                  <w:tcW w:w="1607" w:type="dxa"/>
                  <w:vAlign w:val="center"/>
                </w:tcPr>
                <w:p w14:paraId="75E657E3">
                  <w:pPr>
                    <w:jc w:val="center"/>
                    <w:rPr>
                      <w:rFonts w:ascii="Times New Roman" w:hAnsiTheme="minorEastAsia" w:eastAsiaTheme="minorEastAsia"/>
                      <w:sz w:val="21"/>
                      <w:szCs w:val="21"/>
                    </w:rPr>
                  </w:pPr>
                  <w:r>
                    <w:rPr>
                      <w:rFonts w:hint="eastAsia" w:ascii="Times New Roman" w:hAnsiTheme="minorEastAsia" w:eastAsiaTheme="minorEastAsia"/>
                      <w:sz w:val="21"/>
                      <w:szCs w:val="21"/>
                    </w:rPr>
                    <w:t>7.37</w:t>
                  </w:r>
                </w:p>
              </w:tc>
              <w:tc>
                <w:tcPr>
                  <w:tcW w:w="2448" w:type="dxa"/>
                  <w:vAlign w:val="center"/>
                </w:tcPr>
                <w:p w14:paraId="64AE48CE">
                  <w:pPr>
                    <w:jc w:val="center"/>
                    <w:rPr>
                      <w:rFonts w:ascii="Times New Roman" w:hAnsiTheme="minorEastAsia" w:eastAsiaTheme="minorEastAsia"/>
                      <w:sz w:val="21"/>
                      <w:szCs w:val="21"/>
                    </w:rPr>
                  </w:pPr>
                  <w:r>
                    <w:rPr>
                      <w:rFonts w:hint="eastAsia" w:ascii="Times New Roman" w:hAnsiTheme="minorEastAsia" w:eastAsiaTheme="minorEastAsia"/>
                      <w:sz w:val="21"/>
                      <w:szCs w:val="21"/>
                    </w:rPr>
                    <w:t>7.36</w:t>
                  </w:r>
                </w:p>
              </w:tc>
            </w:tr>
            <w:tr w14:paraId="0B12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75C1024A">
                  <w:pPr>
                    <w:jc w:val="center"/>
                    <w:rPr>
                      <w:rFonts w:ascii="Times New Roman" w:hAnsiTheme="minorEastAsia" w:eastAsiaTheme="minorEastAsia"/>
                      <w:sz w:val="21"/>
                      <w:szCs w:val="21"/>
                    </w:rPr>
                  </w:pPr>
                  <w:r>
                    <w:rPr>
                      <w:rFonts w:hint="eastAsia" w:ascii="Times New Roman" w:hAnsiTheme="minorEastAsia" w:eastAsiaTheme="minorEastAsia"/>
                      <w:sz w:val="21"/>
                      <w:szCs w:val="21"/>
                    </w:rPr>
                    <w:t>化学需氧量（</w:t>
                  </w:r>
                  <w:r>
                    <w:rPr>
                      <w:rFonts w:ascii="Times New Roman" w:hAnsiTheme="minorEastAsia" w:eastAsiaTheme="minorEastAsia"/>
                      <w:sz w:val="21"/>
                      <w:szCs w:val="21"/>
                    </w:rPr>
                    <w:t>mg/L</w:t>
                  </w:r>
                  <w:r>
                    <w:rPr>
                      <w:rFonts w:hint="eastAsia" w:ascii="Times New Roman" w:hAnsiTheme="minorEastAsia" w:eastAsiaTheme="minorEastAsia"/>
                      <w:sz w:val="21"/>
                      <w:szCs w:val="21"/>
                    </w:rPr>
                    <w:t>）</w:t>
                  </w:r>
                </w:p>
              </w:tc>
              <w:tc>
                <w:tcPr>
                  <w:tcW w:w="1607" w:type="dxa"/>
                  <w:vAlign w:val="center"/>
                </w:tcPr>
                <w:p w14:paraId="27FFD6A3">
                  <w:pPr>
                    <w:spacing w:line="260" w:lineRule="exact"/>
                    <w:jc w:val="center"/>
                    <w:rPr>
                      <w:rFonts w:ascii="Times New Roman" w:hAnsiTheme="minorEastAsia" w:eastAsiaTheme="minorEastAsia"/>
                      <w:sz w:val="21"/>
                      <w:szCs w:val="21"/>
                    </w:rPr>
                  </w:pPr>
                  <w:r>
                    <w:rPr>
                      <w:rFonts w:hint="eastAsia" w:ascii="Times New Roman" w:hAnsiTheme="minorEastAsia" w:eastAsiaTheme="minorEastAsia"/>
                      <w:sz w:val="21"/>
                      <w:szCs w:val="21"/>
                    </w:rPr>
                    <w:t>341</w:t>
                  </w:r>
                </w:p>
              </w:tc>
              <w:tc>
                <w:tcPr>
                  <w:tcW w:w="1607" w:type="dxa"/>
                  <w:vAlign w:val="center"/>
                </w:tcPr>
                <w:p w14:paraId="48DF552E">
                  <w:pPr>
                    <w:jc w:val="center"/>
                    <w:rPr>
                      <w:rFonts w:ascii="Times New Roman" w:hAnsiTheme="minorEastAsia" w:eastAsiaTheme="minorEastAsia"/>
                      <w:sz w:val="21"/>
                      <w:szCs w:val="21"/>
                    </w:rPr>
                  </w:pPr>
                  <w:r>
                    <w:rPr>
                      <w:rFonts w:hint="eastAsia" w:ascii="Times New Roman" w:hAnsiTheme="minorEastAsia" w:eastAsiaTheme="minorEastAsia"/>
                      <w:sz w:val="21"/>
                      <w:szCs w:val="21"/>
                    </w:rPr>
                    <w:t>338</w:t>
                  </w:r>
                </w:p>
              </w:tc>
              <w:tc>
                <w:tcPr>
                  <w:tcW w:w="1607" w:type="dxa"/>
                  <w:vAlign w:val="center"/>
                </w:tcPr>
                <w:p w14:paraId="4D9A5407">
                  <w:pPr>
                    <w:jc w:val="center"/>
                    <w:rPr>
                      <w:rFonts w:ascii="Times New Roman" w:hAnsiTheme="minorEastAsia" w:eastAsiaTheme="minorEastAsia"/>
                      <w:sz w:val="21"/>
                      <w:szCs w:val="21"/>
                    </w:rPr>
                  </w:pPr>
                  <w:r>
                    <w:rPr>
                      <w:rFonts w:hint="eastAsia" w:ascii="Times New Roman" w:hAnsiTheme="minorEastAsia" w:eastAsiaTheme="minorEastAsia"/>
                      <w:sz w:val="21"/>
                      <w:szCs w:val="21"/>
                    </w:rPr>
                    <w:t>336</w:t>
                  </w:r>
                </w:p>
              </w:tc>
              <w:tc>
                <w:tcPr>
                  <w:tcW w:w="2448" w:type="dxa"/>
                  <w:vAlign w:val="center"/>
                </w:tcPr>
                <w:p w14:paraId="07795280">
                  <w:pPr>
                    <w:jc w:val="center"/>
                    <w:rPr>
                      <w:rFonts w:ascii="Times New Roman" w:hAnsiTheme="minorEastAsia" w:eastAsiaTheme="minorEastAsia"/>
                      <w:sz w:val="21"/>
                      <w:szCs w:val="21"/>
                    </w:rPr>
                  </w:pPr>
                  <w:r>
                    <w:rPr>
                      <w:rFonts w:hint="eastAsia" w:ascii="Times New Roman" w:hAnsiTheme="minorEastAsia" w:eastAsiaTheme="minorEastAsia"/>
                      <w:sz w:val="21"/>
                      <w:szCs w:val="21"/>
                    </w:rPr>
                    <w:t>345</w:t>
                  </w:r>
                </w:p>
              </w:tc>
            </w:tr>
            <w:tr w14:paraId="1EF1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73F47EFD">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氨氮（</w:t>
                  </w:r>
                  <w:r>
                    <w:rPr>
                      <w:rFonts w:ascii="Times New Roman" w:hAnsiTheme="minorEastAsia" w:eastAsiaTheme="minorEastAsia"/>
                      <w:sz w:val="21"/>
                      <w:szCs w:val="21"/>
                    </w:rPr>
                    <w:t>mg/L</w:t>
                  </w:r>
                  <w:r>
                    <w:rPr>
                      <w:rFonts w:hint="eastAsia" w:ascii="Times New Roman" w:hAnsiTheme="minorEastAsia" w:eastAsiaTheme="minorEastAsia"/>
                      <w:sz w:val="21"/>
                      <w:szCs w:val="21"/>
                    </w:rPr>
                    <w:t>）</w:t>
                  </w:r>
                </w:p>
              </w:tc>
              <w:tc>
                <w:tcPr>
                  <w:tcW w:w="1607" w:type="dxa"/>
                  <w:vAlign w:val="center"/>
                </w:tcPr>
                <w:p w14:paraId="2908CB04">
                  <w:pPr>
                    <w:spacing w:line="260" w:lineRule="exact"/>
                    <w:jc w:val="center"/>
                    <w:rPr>
                      <w:rFonts w:ascii="Times New Roman" w:hAnsiTheme="minorEastAsia" w:eastAsiaTheme="minorEastAsia"/>
                      <w:sz w:val="21"/>
                      <w:szCs w:val="21"/>
                    </w:rPr>
                  </w:pPr>
                  <w:r>
                    <w:rPr>
                      <w:rFonts w:hint="eastAsia" w:ascii="Times New Roman" w:hAnsiTheme="minorEastAsia" w:eastAsiaTheme="minorEastAsia"/>
                      <w:sz w:val="21"/>
                      <w:szCs w:val="21"/>
                    </w:rPr>
                    <w:t>16.6</w:t>
                  </w:r>
                </w:p>
              </w:tc>
              <w:tc>
                <w:tcPr>
                  <w:tcW w:w="1607" w:type="dxa"/>
                  <w:vAlign w:val="center"/>
                </w:tcPr>
                <w:p w14:paraId="7CA85F09">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16.8</w:t>
                  </w:r>
                </w:p>
              </w:tc>
              <w:tc>
                <w:tcPr>
                  <w:tcW w:w="1607" w:type="dxa"/>
                  <w:vAlign w:val="center"/>
                </w:tcPr>
                <w:p w14:paraId="0E4CF5D1">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16.5</w:t>
                  </w:r>
                </w:p>
              </w:tc>
              <w:tc>
                <w:tcPr>
                  <w:tcW w:w="2448" w:type="dxa"/>
                  <w:vAlign w:val="center"/>
                </w:tcPr>
                <w:p w14:paraId="293DDDCB">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16.6</w:t>
                  </w:r>
                </w:p>
              </w:tc>
            </w:tr>
            <w:tr w14:paraId="56D9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3BB40270">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总磷（</w:t>
                  </w:r>
                  <w:r>
                    <w:rPr>
                      <w:rFonts w:ascii="Times New Roman" w:hAnsiTheme="minorEastAsia" w:eastAsiaTheme="minorEastAsia"/>
                      <w:sz w:val="21"/>
                      <w:szCs w:val="21"/>
                    </w:rPr>
                    <w:t>mg/L</w:t>
                  </w:r>
                  <w:r>
                    <w:rPr>
                      <w:rFonts w:hint="eastAsia" w:ascii="Times New Roman" w:hAnsiTheme="minorEastAsia" w:eastAsiaTheme="minorEastAsia"/>
                      <w:sz w:val="21"/>
                      <w:szCs w:val="21"/>
                    </w:rPr>
                    <w:t>）</w:t>
                  </w:r>
                </w:p>
              </w:tc>
              <w:tc>
                <w:tcPr>
                  <w:tcW w:w="1607" w:type="dxa"/>
                  <w:vAlign w:val="center"/>
                </w:tcPr>
                <w:p w14:paraId="34EE5057">
                  <w:pPr>
                    <w:spacing w:line="260" w:lineRule="exact"/>
                    <w:jc w:val="center"/>
                    <w:rPr>
                      <w:rFonts w:ascii="Times New Roman" w:hAnsiTheme="minorEastAsia" w:eastAsiaTheme="minorEastAsia"/>
                      <w:sz w:val="21"/>
                      <w:szCs w:val="21"/>
                    </w:rPr>
                  </w:pPr>
                  <w:r>
                    <w:rPr>
                      <w:rFonts w:hint="eastAsia" w:ascii="Times New Roman" w:hAnsiTheme="minorEastAsia" w:eastAsiaTheme="minorEastAsia"/>
                      <w:sz w:val="21"/>
                      <w:szCs w:val="21"/>
                    </w:rPr>
                    <w:t>2.36</w:t>
                  </w:r>
                </w:p>
              </w:tc>
              <w:tc>
                <w:tcPr>
                  <w:tcW w:w="1607" w:type="dxa"/>
                  <w:vAlign w:val="center"/>
                </w:tcPr>
                <w:p w14:paraId="103D0469">
                  <w:pPr>
                    <w:jc w:val="center"/>
                    <w:rPr>
                      <w:rFonts w:ascii="Times New Roman" w:hAnsiTheme="minorEastAsia" w:eastAsiaTheme="minorEastAsia"/>
                      <w:sz w:val="21"/>
                      <w:szCs w:val="21"/>
                    </w:rPr>
                  </w:pPr>
                  <w:r>
                    <w:rPr>
                      <w:rFonts w:hint="eastAsia" w:ascii="Times New Roman" w:hAnsiTheme="minorEastAsia" w:eastAsiaTheme="minorEastAsia"/>
                      <w:sz w:val="21"/>
                      <w:szCs w:val="21"/>
                    </w:rPr>
                    <w:t>2.40</w:t>
                  </w:r>
                </w:p>
              </w:tc>
              <w:tc>
                <w:tcPr>
                  <w:tcW w:w="1607" w:type="dxa"/>
                  <w:vAlign w:val="center"/>
                </w:tcPr>
                <w:p w14:paraId="74968D65">
                  <w:pPr>
                    <w:jc w:val="center"/>
                    <w:rPr>
                      <w:rFonts w:ascii="Times New Roman" w:hAnsiTheme="minorEastAsia" w:eastAsiaTheme="minorEastAsia"/>
                      <w:sz w:val="21"/>
                      <w:szCs w:val="21"/>
                    </w:rPr>
                  </w:pPr>
                  <w:r>
                    <w:rPr>
                      <w:rFonts w:hint="eastAsia" w:ascii="Times New Roman" w:hAnsiTheme="minorEastAsia" w:eastAsiaTheme="minorEastAsia"/>
                      <w:sz w:val="21"/>
                      <w:szCs w:val="21"/>
                    </w:rPr>
                    <w:t>2.22</w:t>
                  </w:r>
                </w:p>
              </w:tc>
              <w:tc>
                <w:tcPr>
                  <w:tcW w:w="2448" w:type="dxa"/>
                  <w:vAlign w:val="center"/>
                </w:tcPr>
                <w:p w14:paraId="5F7BB681">
                  <w:pPr>
                    <w:jc w:val="center"/>
                    <w:rPr>
                      <w:rFonts w:ascii="Times New Roman" w:hAnsiTheme="minorEastAsia" w:eastAsiaTheme="minorEastAsia"/>
                      <w:sz w:val="21"/>
                      <w:szCs w:val="21"/>
                    </w:rPr>
                  </w:pPr>
                  <w:r>
                    <w:rPr>
                      <w:rFonts w:hint="eastAsia" w:ascii="Times New Roman" w:hAnsiTheme="minorEastAsia" w:eastAsiaTheme="minorEastAsia"/>
                      <w:sz w:val="21"/>
                      <w:szCs w:val="21"/>
                    </w:rPr>
                    <w:t>2.24</w:t>
                  </w:r>
                </w:p>
              </w:tc>
            </w:tr>
            <w:tr w14:paraId="2480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98" w:type="dxa"/>
                  <w:vAlign w:val="center"/>
                </w:tcPr>
                <w:p w14:paraId="5DE12C8A">
                  <w:pPr>
                    <w:jc w:val="center"/>
                    <w:rPr>
                      <w:rFonts w:ascii="Times New Roman" w:hAnsiTheme="minorEastAsia" w:eastAsiaTheme="minorEastAsia"/>
                      <w:sz w:val="21"/>
                      <w:szCs w:val="21"/>
                    </w:rPr>
                  </w:pPr>
                  <w:r>
                    <w:rPr>
                      <w:rFonts w:hint="eastAsia" w:ascii="Times New Roman" w:hAnsiTheme="minorEastAsia" w:eastAsiaTheme="minorEastAsia"/>
                      <w:sz w:val="21"/>
                      <w:szCs w:val="21"/>
                    </w:rPr>
                    <w:t>悬浮物（</w:t>
                  </w:r>
                  <w:r>
                    <w:rPr>
                      <w:rFonts w:ascii="Times New Roman" w:hAnsiTheme="minorEastAsia" w:eastAsiaTheme="minorEastAsia"/>
                      <w:sz w:val="21"/>
                      <w:szCs w:val="21"/>
                    </w:rPr>
                    <w:t>mg/L</w:t>
                  </w:r>
                  <w:r>
                    <w:rPr>
                      <w:rFonts w:hint="eastAsia" w:ascii="Times New Roman" w:hAnsiTheme="minorEastAsia" w:eastAsiaTheme="minorEastAsia"/>
                      <w:sz w:val="21"/>
                      <w:szCs w:val="21"/>
                    </w:rPr>
                    <w:t>）</w:t>
                  </w:r>
                </w:p>
              </w:tc>
              <w:tc>
                <w:tcPr>
                  <w:tcW w:w="1607" w:type="dxa"/>
                  <w:vAlign w:val="center"/>
                </w:tcPr>
                <w:p w14:paraId="284E1934">
                  <w:pPr>
                    <w:spacing w:line="260" w:lineRule="exact"/>
                    <w:jc w:val="center"/>
                    <w:rPr>
                      <w:rFonts w:ascii="Times New Roman" w:hAnsiTheme="minorEastAsia" w:eastAsiaTheme="minorEastAsia"/>
                      <w:sz w:val="21"/>
                      <w:szCs w:val="21"/>
                    </w:rPr>
                  </w:pPr>
                  <w:r>
                    <w:rPr>
                      <w:rFonts w:hint="eastAsia" w:ascii="Times New Roman" w:hAnsiTheme="minorEastAsia" w:eastAsiaTheme="minorEastAsia"/>
                      <w:sz w:val="21"/>
                      <w:szCs w:val="21"/>
                    </w:rPr>
                    <w:t>120</w:t>
                  </w:r>
                </w:p>
              </w:tc>
              <w:tc>
                <w:tcPr>
                  <w:tcW w:w="1607" w:type="dxa"/>
                  <w:vAlign w:val="center"/>
                </w:tcPr>
                <w:p w14:paraId="1BCA921D">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128</w:t>
                  </w:r>
                </w:p>
              </w:tc>
              <w:tc>
                <w:tcPr>
                  <w:tcW w:w="1607" w:type="dxa"/>
                  <w:vAlign w:val="center"/>
                </w:tcPr>
                <w:p w14:paraId="312867D5">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131</w:t>
                  </w:r>
                </w:p>
              </w:tc>
              <w:tc>
                <w:tcPr>
                  <w:tcW w:w="2448" w:type="dxa"/>
                  <w:vAlign w:val="center"/>
                </w:tcPr>
                <w:p w14:paraId="003C468B">
                  <w:pPr>
                    <w:jc w:val="center"/>
                    <w:rPr>
                      <w:rFonts w:ascii="Times New Roman" w:hAnsiTheme="minorEastAsia" w:eastAsiaTheme="minorEastAsia"/>
                      <w:sz w:val="21"/>
                      <w:szCs w:val="21"/>
                    </w:rPr>
                  </w:pPr>
                  <w:r>
                    <w:rPr>
                      <w:rFonts w:hint="eastAsia" w:ascii="Times New Roman" w:hAnsiTheme="minorEastAsia" w:eastAsiaTheme="minorEastAsia"/>
                      <w:sz w:val="21"/>
                      <w:szCs w:val="21"/>
                    </w:rPr>
                    <w:t>124</w:t>
                  </w:r>
                </w:p>
              </w:tc>
            </w:tr>
          </w:tbl>
          <w:p w14:paraId="0A17DCA9">
            <w:pPr>
              <w:pStyle w:val="3"/>
              <w:spacing w:line="360" w:lineRule="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监测结果显示：现有项目生活污水各项污染物浓度均可达到安吉县城北污水处理厂接管标准。</w:t>
            </w:r>
          </w:p>
          <w:p w14:paraId="25D0ABD5">
            <w:pPr>
              <w:spacing w:beforeLines="50"/>
              <w:ind w:firstLine="420"/>
              <w:jc w:val="left"/>
              <w:rPr>
                <w:bCs/>
                <w:color w:val="auto"/>
                <w:sz w:val="24"/>
              </w:rPr>
            </w:pPr>
            <w:r>
              <w:rPr>
                <w:rFonts w:hint="eastAsia"/>
                <w:bCs/>
                <w:color w:val="auto"/>
                <w:sz w:val="24"/>
              </w:rPr>
              <w:t>（2）废气</w:t>
            </w:r>
          </w:p>
          <w:p w14:paraId="004379B9">
            <w:pPr>
              <w:spacing w:line="440" w:lineRule="exact"/>
              <w:jc w:val="center"/>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12</w:t>
            </w:r>
            <w:r>
              <w:rPr>
                <w:rFonts w:hint="eastAsia"/>
                <w:b/>
                <w:color w:val="auto"/>
                <w:szCs w:val="21"/>
              </w:rPr>
              <w:t xml:space="preserve"> 厂界无组织监测结果</w:t>
            </w:r>
          </w:p>
          <w:tbl>
            <w:tblPr>
              <w:tblStyle w:val="3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559"/>
              <w:gridCol w:w="993"/>
              <w:gridCol w:w="1275"/>
              <w:gridCol w:w="1134"/>
              <w:gridCol w:w="1560"/>
              <w:gridCol w:w="1175"/>
            </w:tblGrid>
            <w:tr w14:paraId="09E7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restart"/>
                  <w:tcBorders>
                    <w:left w:val="single" w:color="auto" w:sz="4" w:space="0"/>
                  </w:tcBorders>
                  <w:vAlign w:val="center"/>
                </w:tcPr>
                <w:p w14:paraId="451FF5DB">
                  <w:pPr>
                    <w:pStyle w:val="237"/>
                    <w:jc w:val="center"/>
                    <w:rPr>
                      <w:rFonts w:hAnsiTheme="minorEastAsia" w:eastAsiaTheme="minorEastAsia"/>
                      <w:b/>
                      <w:kern w:val="0"/>
                      <w:szCs w:val="21"/>
                    </w:rPr>
                  </w:pPr>
                  <w:r>
                    <w:rPr>
                      <w:rFonts w:hint="eastAsia" w:hAnsiTheme="minorEastAsia" w:eastAsiaTheme="minorEastAsia"/>
                      <w:b/>
                      <w:kern w:val="0"/>
                      <w:szCs w:val="21"/>
                    </w:rPr>
                    <w:t>检测</w:t>
                  </w:r>
                </w:p>
                <w:p w14:paraId="1E5E155D">
                  <w:pPr>
                    <w:pStyle w:val="237"/>
                    <w:jc w:val="center"/>
                    <w:rPr>
                      <w:rFonts w:hAnsiTheme="minorEastAsia" w:eastAsiaTheme="minorEastAsia"/>
                      <w:b/>
                      <w:kern w:val="0"/>
                      <w:szCs w:val="21"/>
                    </w:rPr>
                  </w:pPr>
                  <w:r>
                    <w:rPr>
                      <w:rFonts w:hint="eastAsia" w:hAnsiTheme="minorEastAsia" w:eastAsiaTheme="minorEastAsia"/>
                      <w:b/>
                      <w:kern w:val="0"/>
                      <w:szCs w:val="21"/>
                    </w:rPr>
                    <w:t>日期</w:t>
                  </w:r>
                </w:p>
              </w:tc>
              <w:tc>
                <w:tcPr>
                  <w:tcW w:w="1559" w:type="dxa"/>
                  <w:vMerge w:val="restart"/>
                  <w:vAlign w:val="center"/>
                </w:tcPr>
                <w:p w14:paraId="673DF198">
                  <w:pPr>
                    <w:pStyle w:val="237"/>
                    <w:jc w:val="center"/>
                    <w:rPr>
                      <w:rFonts w:hAnsiTheme="minorEastAsia" w:eastAsiaTheme="minorEastAsia"/>
                      <w:b/>
                      <w:kern w:val="0"/>
                      <w:szCs w:val="21"/>
                    </w:rPr>
                  </w:pPr>
                  <w:r>
                    <w:rPr>
                      <w:rFonts w:hint="eastAsia" w:hAnsiTheme="minorEastAsia" w:eastAsiaTheme="minorEastAsia"/>
                      <w:b/>
                      <w:kern w:val="0"/>
                      <w:szCs w:val="21"/>
                    </w:rPr>
                    <w:t>测点</w:t>
                  </w:r>
                </w:p>
                <w:p w14:paraId="705B01FF">
                  <w:pPr>
                    <w:pStyle w:val="237"/>
                    <w:jc w:val="center"/>
                    <w:rPr>
                      <w:rFonts w:hAnsiTheme="minorEastAsia" w:eastAsiaTheme="minorEastAsia"/>
                      <w:b/>
                      <w:kern w:val="0"/>
                      <w:szCs w:val="21"/>
                    </w:rPr>
                  </w:pPr>
                  <w:r>
                    <w:rPr>
                      <w:rFonts w:hint="eastAsia" w:hAnsiTheme="minorEastAsia" w:eastAsiaTheme="minorEastAsia"/>
                      <w:b/>
                      <w:kern w:val="0"/>
                      <w:szCs w:val="21"/>
                    </w:rPr>
                    <w:t>编号</w:t>
                  </w:r>
                </w:p>
              </w:tc>
              <w:tc>
                <w:tcPr>
                  <w:tcW w:w="993" w:type="dxa"/>
                  <w:vMerge w:val="restart"/>
                  <w:vAlign w:val="center"/>
                </w:tcPr>
                <w:p w14:paraId="573BCB75">
                  <w:pPr>
                    <w:pStyle w:val="237"/>
                    <w:jc w:val="center"/>
                    <w:rPr>
                      <w:rFonts w:hAnsiTheme="minorEastAsia" w:eastAsiaTheme="minorEastAsia"/>
                      <w:b/>
                      <w:kern w:val="0"/>
                      <w:szCs w:val="21"/>
                    </w:rPr>
                  </w:pPr>
                  <w:r>
                    <w:rPr>
                      <w:rFonts w:hint="eastAsia" w:hAnsiTheme="minorEastAsia" w:eastAsiaTheme="minorEastAsia"/>
                      <w:b/>
                      <w:kern w:val="0"/>
                      <w:szCs w:val="21"/>
                    </w:rPr>
                    <w:t>检测</w:t>
                  </w:r>
                </w:p>
                <w:p w14:paraId="45A75A78">
                  <w:pPr>
                    <w:pStyle w:val="237"/>
                    <w:jc w:val="center"/>
                    <w:rPr>
                      <w:rFonts w:hAnsiTheme="minorEastAsia" w:eastAsiaTheme="minorEastAsia"/>
                      <w:b/>
                      <w:kern w:val="0"/>
                      <w:szCs w:val="21"/>
                    </w:rPr>
                  </w:pPr>
                  <w:r>
                    <w:rPr>
                      <w:rFonts w:hint="eastAsia" w:hAnsiTheme="minorEastAsia" w:eastAsiaTheme="minorEastAsia"/>
                      <w:b/>
                      <w:kern w:val="0"/>
                      <w:szCs w:val="21"/>
                    </w:rPr>
                    <w:t>频次</w:t>
                  </w:r>
                </w:p>
              </w:tc>
              <w:tc>
                <w:tcPr>
                  <w:tcW w:w="5144" w:type="dxa"/>
                  <w:gridSpan w:val="4"/>
                  <w:tcBorders>
                    <w:right w:val="single" w:color="auto" w:sz="4" w:space="0"/>
                  </w:tcBorders>
                  <w:vAlign w:val="center"/>
                </w:tcPr>
                <w:p w14:paraId="1BC32E0C">
                  <w:pPr>
                    <w:pStyle w:val="237"/>
                    <w:jc w:val="center"/>
                    <w:rPr>
                      <w:rFonts w:hAnsiTheme="minorEastAsia" w:eastAsiaTheme="minorEastAsia"/>
                      <w:b/>
                      <w:kern w:val="0"/>
                      <w:szCs w:val="21"/>
                    </w:rPr>
                  </w:pPr>
                  <w:r>
                    <w:rPr>
                      <w:rFonts w:hint="eastAsia" w:hAnsiTheme="minorEastAsia" w:eastAsiaTheme="minorEastAsia"/>
                      <w:b/>
                      <w:kern w:val="0"/>
                      <w:szCs w:val="21"/>
                    </w:rPr>
                    <w:t>检测结果（mg/m</w:t>
                  </w:r>
                  <w:r>
                    <w:rPr>
                      <w:rFonts w:hint="eastAsia" w:hAnsiTheme="minorEastAsia" w:eastAsiaTheme="minorEastAsia"/>
                      <w:b/>
                      <w:kern w:val="0"/>
                      <w:szCs w:val="21"/>
                      <w:vertAlign w:val="superscript"/>
                    </w:rPr>
                    <w:t>3</w:t>
                  </w:r>
                  <w:r>
                    <w:rPr>
                      <w:rFonts w:hint="eastAsia" w:hAnsiTheme="minorEastAsia" w:eastAsiaTheme="minorEastAsia"/>
                      <w:b/>
                      <w:kern w:val="0"/>
                      <w:szCs w:val="21"/>
                    </w:rPr>
                    <w:t>）</w:t>
                  </w:r>
                </w:p>
              </w:tc>
            </w:tr>
            <w:tr w14:paraId="0B95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69AB28CE">
                  <w:pPr>
                    <w:pStyle w:val="237"/>
                    <w:jc w:val="center"/>
                    <w:rPr>
                      <w:rFonts w:hAnsiTheme="minorEastAsia" w:eastAsiaTheme="minorEastAsia"/>
                      <w:b/>
                      <w:kern w:val="0"/>
                      <w:szCs w:val="21"/>
                    </w:rPr>
                  </w:pPr>
                </w:p>
              </w:tc>
              <w:tc>
                <w:tcPr>
                  <w:tcW w:w="1559" w:type="dxa"/>
                  <w:vMerge w:val="continue"/>
                  <w:vAlign w:val="center"/>
                </w:tcPr>
                <w:p w14:paraId="3A8EE974">
                  <w:pPr>
                    <w:pStyle w:val="237"/>
                    <w:jc w:val="center"/>
                    <w:rPr>
                      <w:rFonts w:hAnsiTheme="minorEastAsia" w:eastAsiaTheme="minorEastAsia"/>
                      <w:b/>
                      <w:kern w:val="0"/>
                      <w:szCs w:val="21"/>
                    </w:rPr>
                  </w:pPr>
                </w:p>
              </w:tc>
              <w:tc>
                <w:tcPr>
                  <w:tcW w:w="993" w:type="dxa"/>
                  <w:vMerge w:val="continue"/>
                  <w:vAlign w:val="center"/>
                </w:tcPr>
                <w:p w14:paraId="1A7835F6">
                  <w:pPr>
                    <w:pStyle w:val="237"/>
                    <w:jc w:val="center"/>
                    <w:rPr>
                      <w:rFonts w:hAnsiTheme="minorEastAsia" w:eastAsiaTheme="minorEastAsia"/>
                      <w:b/>
                      <w:kern w:val="0"/>
                      <w:szCs w:val="21"/>
                    </w:rPr>
                  </w:pPr>
                </w:p>
              </w:tc>
              <w:tc>
                <w:tcPr>
                  <w:tcW w:w="1275" w:type="dxa"/>
                  <w:tcBorders>
                    <w:right w:val="nil"/>
                  </w:tcBorders>
                  <w:vAlign w:val="center"/>
                </w:tcPr>
                <w:p w14:paraId="168E6F4B">
                  <w:pPr>
                    <w:pStyle w:val="237"/>
                    <w:jc w:val="center"/>
                    <w:rPr>
                      <w:rFonts w:hAnsiTheme="minorEastAsia" w:eastAsiaTheme="minorEastAsia"/>
                      <w:b/>
                      <w:kern w:val="0"/>
                      <w:szCs w:val="21"/>
                    </w:rPr>
                  </w:pPr>
                  <w:r>
                    <w:rPr>
                      <w:rFonts w:hint="eastAsia" w:hAnsiTheme="minorEastAsia" w:eastAsiaTheme="minorEastAsia"/>
                      <w:b/>
                      <w:kern w:val="0"/>
                      <w:szCs w:val="21"/>
                    </w:rPr>
                    <w:t>非甲烷总烃</w:t>
                  </w:r>
                </w:p>
              </w:tc>
              <w:tc>
                <w:tcPr>
                  <w:tcW w:w="1134" w:type="dxa"/>
                  <w:tcBorders>
                    <w:right w:val="nil"/>
                  </w:tcBorders>
                  <w:vAlign w:val="center"/>
                </w:tcPr>
                <w:p w14:paraId="6F2EAC27">
                  <w:pPr>
                    <w:pStyle w:val="237"/>
                    <w:jc w:val="center"/>
                    <w:rPr>
                      <w:rFonts w:hAnsiTheme="minorEastAsia" w:eastAsiaTheme="minorEastAsia"/>
                      <w:b/>
                      <w:kern w:val="0"/>
                      <w:szCs w:val="21"/>
                    </w:rPr>
                  </w:pPr>
                  <w:r>
                    <w:rPr>
                      <w:rFonts w:hint="eastAsia" w:hAnsiTheme="minorEastAsia" w:eastAsiaTheme="minorEastAsia"/>
                      <w:b/>
                      <w:kern w:val="0"/>
                      <w:szCs w:val="21"/>
                    </w:rPr>
                    <w:t>苯乙烯</w:t>
                  </w:r>
                </w:p>
              </w:tc>
              <w:tc>
                <w:tcPr>
                  <w:tcW w:w="1560" w:type="dxa"/>
                  <w:tcBorders>
                    <w:right w:val="single" w:color="auto" w:sz="4" w:space="0"/>
                  </w:tcBorders>
                  <w:vAlign w:val="center"/>
                </w:tcPr>
                <w:p w14:paraId="1A8DEAAC">
                  <w:pPr>
                    <w:pStyle w:val="237"/>
                    <w:jc w:val="center"/>
                    <w:rPr>
                      <w:rFonts w:hAnsiTheme="minorEastAsia" w:eastAsiaTheme="minorEastAsia"/>
                      <w:b/>
                      <w:kern w:val="0"/>
                      <w:szCs w:val="21"/>
                    </w:rPr>
                  </w:pPr>
                  <w:r>
                    <w:rPr>
                      <w:rFonts w:hint="eastAsia" w:hAnsiTheme="minorEastAsia" w:eastAsiaTheme="minorEastAsia"/>
                      <w:b/>
                      <w:kern w:val="0"/>
                      <w:szCs w:val="21"/>
                    </w:rPr>
                    <w:t>总悬浮颗粒物</w:t>
                  </w:r>
                </w:p>
              </w:tc>
              <w:tc>
                <w:tcPr>
                  <w:tcW w:w="1175" w:type="dxa"/>
                  <w:tcBorders>
                    <w:right w:val="single" w:color="auto" w:sz="4" w:space="0"/>
                  </w:tcBorders>
                  <w:vAlign w:val="center"/>
                </w:tcPr>
                <w:p w14:paraId="7E4CFBB0">
                  <w:pPr>
                    <w:pStyle w:val="237"/>
                    <w:jc w:val="center"/>
                    <w:rPr>
                      <w:rFonts w:hAnsiTheme="minorEastAsia" w:eastAsiaTheme="minorEastAsia"/>
                      <w:b/>
                      <w:kern w:val="0"/>
                      <w:szCs w:val="21"/>
                    </w:rPr>
                  </w:pPr>
                  <w:r>
                    <w:rPr>
                      <w:rFonts w:hint="eastAsia" w:hAnsiTheme="minorEastAsia" w:eastAsiaTheme="minorEastAsia"/>
                      <w:b/>
                      <w:kern w:val="0"/>
                      <w:szCs w:val="21"/>
                    </w:rPr>
                    <w:t>臭气浓度</w:t>
                  </w:r>
                </w:p>
              </w:tc>
            </w:tr>
            <w:tr w14:paraId="5BDB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restart"/>
                  <w:tcBorders>
                    <w:left w:val="single" w:color="auto" w:sz="4" w:space="0"/>
                  </w:tcBorders>
                  <w:vAlign w:val="center"/>
                </w:tcPr>
                <w:p w14:paraId="62B7493A">
                  <w:pPr>
                    <w:pStyle w:val="237"/>
                    <w:jc w:val="center"/>
                    <w:rPr>
                      <w:rFonts w:hAnsiTheme="minorEastAsia" w:eastAsiaTheme="minorEastAsia"/>
                      <w:kern w:val="0"/>
                      <w:szCs w:val="21"/>
                    </w:rPr>
                  </w:pPr>
                  <w:r>
                    <w:rPr>
                      <w:rFonts w:hint="eastAsia" w:hAnsiTheme="minorEastAsia" w:eastAsiaTheme="minorEastAsia"/>
                      <w:kern w:val="0"/>
                      <w:szCs w:val="21"/>
                    </w:rPr>
                    <w:t>2020.09.02</w:t>
                  </w:r>
                </w:p>
              </w:tc>
              <w:tc>
                <w:tcPr>
                  <w:tcW w:w="1559" w:type="dxa"/>
                  <w:vMerge w:val="restart"/>
                  <w:tcBorders>
                    <w:right w:val="single" w:color="auto" w:sz="4" w:space="0"/>
                  </w:tcBorders>
                  <w:vAlign w:val="center"/>
                </w:tcPr>
                <w:p w14:paraId="32EF90B5">
                  <w:pPr>
                    <w:pStyle w:val="237"/>
                    <w:jc w:val="center"/>
                    <w:rPr>
                      <w:rFonts w:hAnsiTheme="minorEastAsia" w:eastAsiaTheme="minorEastAsia"/>
                      <w:kern w:val="0"/>
                      <w:szCs w:val="21"/>
                    </w:rPr>
                  </w:pPr>
                  <w:r>
                    <w:rPr>
                      <w:rFonts w:hint="eastAsia" w:hAnsiTheme="minorEastAsia" w:eastAsiaTheme="minorEastAsia"/>
                      <w:kern w:val="0"/>
                      <w:szCs w:val="21"/>
                    </w:rPr>
                    <w:t>厂界下风向1#点位</w:t>
                  </w:r>
                </w:p>
              </w:tc>
              <w:tc>
                <w:tcPr>
                  <w:tcW w:w="993" w:type="dxa"/>
                  <w:tcBorders>
                    <w:left w:val="single" w:color="auto" w:sz="4" w:space="0"/>
                  </w:tcBorders>
                  <w:vAlign w:val="center"/>
                </w:tcPr>
                <w:p w14:paraId="61ED4B1D">
                  <w:pPr>
                    <w:pStyle w:val="237"/>
                    <w:jc w:val="center"/>
                    <w:rPr>
                      <w:rFonts w:hAnsiTheme="minorEastAsia" w:eastAsiaTheme="minorEastAsia"/>
                      <w:kern w:val="0"/>
                      <w:szCs w:val="21"/>
                    </w:rPr>
                  </w:pPr>
                  <w:r>
                    <w:rPr>
                      <w:rFonts w:hint="eastAsia" w:hAnsiTheme="minorEastAsia" w:eastAsiaTheme="minorEastAsia"/>
                      <w:kern w:val="0"/>
                      <w:szCs w:val="21"/>
                    </w:rPr>
                    <w:t>第一次</w:t>
                  </w:r>
                </w:p>
              </w:tc>
              <w:tc>
                <w:tcPr>
                  <w:tcW w:w="1275" w:type="dxa"/>
                  <w:tcBorders>
                    <w:right w:val="nil"/>
                  </w:tcBorders>
                  <w:vAlign w:val="center"/>
                </w:tcPr>
                <w:p w14:paraId="1609D00D">
                  <w:pPr>
                    <w:pStyle w:val="237"/>
                    <w:jc w:val="center"/>
                  </w:pPr>
                  <w:r>
                    <w:rPr>
                      <w:rFonts w:hint="eastAsia"/>
                    </w:rPr>
                    <w:t>1.16</w:t>
                  </w:r>
                </w:p>
              </w:tc>
              <w:tc>
                <w:tcPr>
                  <w:tcW w:w="1134" w:type="dxa"/>
                  <w:tcBorders>
                    <w:right w:val="nil"/>
                  </w:tcBorders>
                  <w:vAlign w:val="center"/>
                </w:tcPr>
                <w:p w14:paraId="5E7FABC9">
                  <w:pPr>
                    <w:pStyle w:val="237"/>
                    <w:jc w:val="center"/>
                  </w:pPr>
                  <w:r>
                    <w:rPr>
                      <w:rFonts w:hint="eastAsia"/>
                    </w:rPr>
                    <w:t>&lt;1.5</w:t>
                  </w:r>
                  <w:r>
                    <w:t>×</w:t>
                  </w:r>
                  <w:r>
                    <w:rPr>
                      <w:rFonts w:hint="eastAsia"/>
                    </w:rPr>
                    <w:t>10</w:t>
                  </w:r>
                  <w:r>
                    <w:rPr>
                      <w:rFonts w:hint="eastAsia"/>
                      <w:vertAlign w:val="superscript"/>
                    </w:rPr>
                    <w:t>-3</w:t>
                  </w:r>
                </w:p>
              </w:tc>
              <w:tc>
                <w:tcPr>
                  <w:tcW w:w="1560" w:type="dxa"/>
                  <w:tcBorders>
                    <w:right w:val="single" w:color="auto" w:sz="4" w:space="0"/>
                  </w:tcBorders>
                  <w:vAlign w:val="center"/>
                </w:tcPr>
                <w:p w14:paraId="419D9A38">
                  <w:pPr>
                    <w:pStyle w:val="237"/>
                    <w:jc w:val="center"/>
                  </w:pPr>
                  <w:r>
                    <w:rPr>
                      <w:rFonts w:hint="eastAsia"/>
                    </w:rPr>
                    <w:t>5.00</w:t>
                  </w:r>
                  <w:r>
                    <w:t>×</w:t>
                  </w:r>
                  <w:r>
                    <w:rPr>
                      <w:rFonts w:hint="eastAsia"/>
                    </w:rPr>
                    <w:t>10</w:t>
                  </w:r>
                  <w:r>
                    <w:rPr>
                      <w:rFonts w:hint="eastAsia"/>
                      <w:vertAlign w:val="superscript"/>
                    </w:rPr>
                    <w:t>-2</w:t>
                  </w:r>
                </w:p>
              </w:tc>
              <w:tc>
                <w:tcPr>
                  <w:tcW w:w="1175" w:type="dxa"/>
                  <w:tcBorders>
                    <w:right w:val="single" w:color="auto" w:sz="4" w:space="0"/>
                  </w:tcBorders>
                  <w:vAlign w:val="center"/>
                </w:tcPr>
                <w:p w14:paraId="4FA6C26F">
                  <w:pPr>
                    <w:pStyle w:val="237"/>
                    <w:jc w:val="center"/>
                  </w:pPr>
                  <w:r>
                    <w:rPr>
                      <w:rFonts w:hint="eastAsia" w:ascii="宋体" w:hAnsi="宋体"/>
                      <w:bCs/>
                      <w:szCs w:val="21"/>
                    </w:rPr>
                    <w:t>＜</w:t>
                  </w:r>
                  <w:r>
                    <w:rPr>
                      <w:rFonts w:hint="eastAsia" w:hAnsi="宋体"/>
                      <w:bCs/>
                      <w:szCs w:val="21"/>
                    </w:rPr>
                    <w:t>10</w:t>
                  </w:r>
                </w:p>
              </w:tc>
            </w:tr>
            <w:tr w14:paraId="6D0A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6A55CAEC">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642463FE">
                  <w:pPr>
                    <w:pStyle w:val="237"/>
                    <w:jc w:val="center"/>
                    <w:rPr>
                      <w:rFonts w:hAnsiTheme="minorEastAsia" w:eastAsiaTheme="minorEastAsia"/>
                      <w:kern w:val="0"/>
                      <w:szCs w:val="21"/>
                    </w:rPr>
                  </w:pPr>
                </w:p>
              </w:tc>
              <w:tc>
                <w:tcPr>
                  <w:tcW w:w="993" w:type="dxa"/>
                  <w:tcBorders>
                    <w:left w:val="single" w:color="auto" w:sz="4" w:space="0"/>
                  </w:tcBorders>
                  <w:vAlign w:val="center"/>
                </w:tcPr>
                <w:p w14:paraId="54FA8FD7">
                  <w:pPr>
                    <w:pStyle w:val="237"/>
                    <w:jc w:val="center"/>
                    <w:rPr>
                      <w:rFonts w:hAnsiTheme="minorEastAsia" w:eastAsiaTheme="minorEastAsia"/>
                      <w:kern w:val="0"/>
                      <w:szCs w:val="21"/>
                    </w:rPr>
                  </w:pPr>
                  <w:r>
                    <w:rPr>
                      <w:rFonts w:hint="eastAsia" w:hAnsiTheme="minorEastAsia" w:eastAsiaTheme="minorEastAsia"/>
                      <w:kern w:val="0"/>
                      <w:szCs w:val="21"/>
                    </w:rPr>
                    <w:t>第二次</w:t>
                  </w:r>
                </w:p>
              </w:tc>
              <w:tc>
                <w:tcPr>
                  <w:tcW w:w="1275" w:type="dxa"/>
                  <w:tcBorders>
                    <w:right w:val="nil"/>
                  </w:tcBorders>
                  <w:vAlign w:val="center"/>
                </w:tcPr>
                <w:p w14:paraId="0BF52FC1">
                  <w:pPr>
                    <w:pStyle w:val="237"/>
                    <w:jc w:val="center"/>
                  </w:pPr>
                  <w:r>
                    <w:rPr>
                      <w:rFonts w:hint="eastAsia"/>
                    </w:rPr>
                    <w:t>1.15</w:t>
                  </w:r>
                </w:p>
              </w:tc>
              <w:tc>
                <w:tcPr>
                  <w:tcW w:w="1134" w:type="dxa"/>
                  <w:tcBorders>
                    <w:right w:val="nil"/>
                  </w:tcBorders>
                  <w:vAlign w:val="center"/>
                </w:tcPr>
                <w:p w14:paraId="08AE2D49">
                  <w:pPr>
                    <w:pStyle w:val="237"/>
                    <w:jc w:val="center"/>
                  </w:pPr>
                  <w:r>
                    <w:rPr>
                      <w:rFonts w:hint="eastAsia"/>
                    </w:rPr>
                    <w:t>&lt;1.5</w:t>
                  </w:r>
                  <w:r>
                    <w:t>×</w:t>
                  </w:r>
                  <w:r>
                    <w:rPr>
                      <w:rFonts w:hint="eastAsia"/>
                    </w:rPr>
                    <w:t>10</w:t>
                  </w:r>
                  <w:r>
                    <w:rPr>
                      <w:rFonts w:hint="eastAsia"/>
                      <w:vertAlign w:val="superscript"/>
                    </w:rPr>
                    <w:t>-3</w:t>
                  </w:r>
                </w:p>
              </w:tc>
              <w:tc>
                <w:tcPr>
                  <w:tcW w:w="1560" w:type="dxa"/>
                  <w:tcBorders>
                    <w:right w:val="single" w:color="auto" w:sz="4" w:space="0"/>
                  </w:tcBorders>
                  <w:vAlign w:val="center"/>
                </w:tcPr>
                <w:p w14:paraId="433DAFF6">
                  <w:pPr>
                    <w:pStyle w:val="237"/>
                    <w:jc w:val="center"/>
                  </w:pPr>
                  <w:r>
                    <w:rPr>
                      <w:rFonts w:hint="eastAsia"/>
                    </w:rPr>
                    <w:t>8.33</w:t>
                  </w:r>
                  <w:r>
                    <w:t>×</w:t>
                  </w:r>
                  <w:r>
                    <w:rPr>
                      <w:rFonts w:hint="eastAsia"/>
                    </w:rPr>
                    <w:t>10</w:t>
                  </w:r>
                  <w:r>
                    <w:rPr>
                      <w:rFonts w:hint="eastAsia"/>
                      <w:vertAlign w:val="superscript"/>
                    </w:rPr>
                    <w:t>-2</w:t>
                  </w:r>
                </w:p>
              </w:tc>
              <w:tc>
                <w:tcPr>
                  <w:tcW w:w="1175" w:type="dxa"/>
                  <w:tcBorders>
                    <w:right w:val="single" w:color="auto" w:sz="4" w:space="0"/>
                  </w:tcBorders>
                  <w:vAlign w:val="center"/>
                </w:tcPr>
                <w:p w14:paraId="26E4ADAE">
                  <w:pPr>
                    <w:pStyle w:val="237"/>
                    <w:jc w:val="center"/>
                  </w:pPr>
                  <w:r>
                    <w:rPr>
                      <w:rFonts w:hint="eastAsia" w:ascii="宋体" w:hAnsi="宋体"/>
                      <w:bCs/>
                      <w:szCs w:val="21"/>
                    </w:rPr>
                    <w:t>＜</w:t>
                  </w:r>
                  <w:r>
                    <w:rPr>
                      <w:rFonts w:hint="eastAsia" w:hAnsi="宋体"/>
                      <w:bCs/>
                      <w:szCs w:val="21"/>
                    </w:rPr>
                    <w:t>10</w:t>
                  </w:r>
                </w:p>
              </w:tc>
            </w:tr>
            <w:tr w14:paraId="79CA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5D501621">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23585A50">
                  <w:pPr>
                    <w:pStyle w:val="237"/>
                    <w:jc w:val="center"/>
                    <w:rPr>
                      <w:rFonts w:hAnsiTheme="minorEastAsia" w:eastAsiaTheme="minorEastAsia"/>
                      <w:kern w:val="0"/>
                      <w:szCs w:val="21"/>
                    </w:rPr>
                  </w:pPr>
                </w:p>
              </w:tc>
              <w:tc>
                <w:tcPr>
                  <w:tcW w:w="993" w:type="dxa"/>
                  <w:tcBorders>
                    <w:left w:val="single" w:color="auto" w:sz="4" w:space="0"/>
                  </w:tcBorders>
                  <w:vAlign w:val="center"/>
                </w:tcPr>
                <w:p w14:paraId="7970ECE8">
                  <w:pPr>
                    <w:pStyle w:val="237"/>
                    <w:jc w:val="center"/>
                    <w:rPr>
                      <w:rFonts w:hAnsiTheme="minorEastAsia" w:eastAsiaTheme="minorEastAsia"/>
                      <w:kern w:val="0"/>
                      <w:szCs w:val="21"/>
                    </w:rPr>
                  </w:pPr>
                  <w:r>
                    <w:rPr>
                      <w:rFonts w:hint="eastAsia" w:hAnsiTheme="minorEastAsia" w:eastAsiaTheme="minorEastAsia"/>
                      <w:kern w:val="0"/>
                      <w:szCs w:val="21"/>
                    </w:rPr>
                    <w:t>第三次</w:t>
                  </w:r>
                </w:p>
              </w:tc>
              <w:tc>
                <w:tcPr>
                  <w:tcW w:w="1275" w:type="dxa"/>
                  <w:tcBorders>
                    <w:right w:val="nil"/>
                  </w:tcBorders>
                  <w:vAlign w:val="center"/>
                </w:tcPr>
                <w:p w14:paraId="01C6F6CD">
                  <w:pPr>
                    <w:pStyle w:val="237"/>
                    <w:jc w:val="center"/>
                  </w:pPr>
                  <w:r>
                    <w:rPr>
                      <w:rFonts w:hint="eastAsia"/>
                    </w:rPr>
                    <w:t>1.09</w:t>
                  </w:r>
                </w:p>
              </w:tc>
              <w:tc>
                <w:tcPr>
                  <w:tcW w:w="1134" w:type="dxa"/>
                  <w:tcBorders>
                    <w:right w:val="nil"/>
                  </w:tcBorders>
                  <w:vAlign w:val="center"/>
                </w:tcPr>
                <w:p w14:paraId="4552B44A">
                  <w:pPr>
                    <w:pStyle w:val="237"/>
                    <w:jc w:val="center"/>
                  </w:pPr>
                  <w:r>
                    <w:rPr>
                      <w:rFonts w:hint="eastAsia"/>
                    </w:rPr>
                    <w:t>&lt;1.5</w:t>
                  </w:r>
                  <w:r>
                    <w:t>×</w:t>
                  </w:r>
                  <w:r>
                    <w:rPr>
                      <w:rFonts w:hint="eastAsia"/>
                    </w:rPr>
                    <w:t>10</w:t>
                  </w:r>
                  <w:r>
                    <w:rPr>
                      <w:rFonts w:hint="eastAsia"/>
                      <w:vertAlign w:val="superscript"/>
                    </w:rPr>
                    <w:t>-3</w:t>
                  </w:r>
                </w:p>
              </w:tc>
              <w:tc>
                <w:tcPr>
                  <w:tcW w:w="1560" w:type="dxa"/>
                  <w:tcBorders>
                    <w:right w:val="single" w:color="auto" w:sz="4" w:space="0"/>
                  </w:tcBorders>
                  <w:vAlign w:val="center"/>
                </w:tcPr>
                <w:p w14:paraId="26FA9623">
                  <w:pPr>
                    <w:pStyle w:val="237"/>
                    <w:jc w:val="center"/>
                  </w:pPr>
                  <w:r>
                    <w:rPr>
                      <w:rFonts w:hint="eastAsia"/>
                    </w:rPr>
                    <w:t>3.33</w:t>
                  </w:r>
                  <w:r>
                    <w:t>×</w:t>
                  </w:r>
                  <w:r>
                    <w:rPr>
                      <w:rFonts w:hint="eastAsia"/>
                    </w:rPr>
                    <w:t>10</w:t>
                  </w:r>
                  <w:r>
                    <w:rPr>
                      <w:rFonts w:hint="eastAsia"/>
                      <w:vertAlign w:val="superscript"/>
                    </w:rPr>
                    <w:t>-2</w:t>
                  </w:r>
                </w:p>
              </w:tc>
              <w:tc>
                <w:tcPr>
                  <w:tcW w:w="1175" w:type="dxa"/>
                  <w:tcBorders>
                    <w:right w:val="single" w:color="auto" w:sz="4" w:space="0"/>
                  </w:tcBorders>
                  <w:vAlign w:val="center"/>
                </w:tcPr>
                <w:p w14:paraId="4363A178">
                  <w:pPr>
                    <w:pStyle w:val="237"/>
                    <w:jc w:val="center"/>
                  </w:pPr>
                  <w:r>
                    <w:rPr>
                      <w:rFonts w:hint="eastAsia" w:ascii="宋体" w:hAnsi="宋体"/>
                      <w:bCs/>
                      <w:szCs w:val="21"/>
                    </w:rPr>
                    <w:t>＜</w:t>
                  </w:r>
                  <w:r>
                    <w:rPr>
                      <w:rFonts w:hint="eastAsia" w:hAnsi="宋体"/>
                      <w:bCs/>
                      <w:szCs w:val="21"/>
                    </w:rPr>
                    <w:t>10</w:t>
                  </w:r>
                </w:p>
              </w:tc>
            </w:tr>
            <w:tr w14:paraId="1713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120D75A0">
                  <w:pPr>
                    <w:pStyle w:val="237"/>
                    <w:jc w:val="center"/>
                    <w:rPr>
                      <w:rFonts w:hAnsiTheme="minorEastAsia" w:eastAsiaTheme="minorEastAsia"/>
                      <w:kern w:val="0"/>
                      <w:szCs w:val="21"/>
                    </w:rPr>
                  </w:pPr>
                </w:p>
              </w:tc>
              <w:tc>
                <w:tcPr>
                  <w:tcW w:w="1559" w:type="dxa"/>
                  <w:vMerge w:val="restart"/>
                  <w:tcBorders>
                    <w:right w:val="single" w:color="auto" w:sz="4" w:space="0"/>
                  </w:tcBorders>
                  <w:vAlign w:val="center"/>
                </w:tcPr>
                <w:p w14:paraId="765220E7">
                  <w:pPr>
                    <w:pStyle w:val="237"/>
                    <w:jc w:val="center"/>
                    <w:rPr>
                      <w:rFonts w:hAnsiTheme="minorEastAsia" w:eastAsiaTheme="minorEastAsia"/>
                      <w:kern w:val="0"/>
                      <w:szCs w:val="21"/>
                    </w:rPr>
                  </w:pPr>
                  <w:r>
                    <w:rPr>
                      <w:rFonts w:hint="eastAsia" w:hAnsiTheme="minorEastAsia" w:eastAsiaTheme="minorEastAsia"/>
                      <w:kern w:val="0"/>
                      <w:szCs w:val="21"/>
                    </w:rPr>
                    <w:t>厂界下风向2#点位</w:t>
                  </w:r>
                </w:p>
              </w:tc>
              <w:tc>
                <w:tcPr>
                  <w:tcW w:w="993" w:type="dxa"/>
                  <w:tcBorders>
                    <w:left w:val="single" w:color="auto" w:sz="4" w:space="0"/>
                    <w:right w:val="single" w:color="auto" w:sz="4" w:space="0"/>
                  </w:tcBorders>
                  <w:vAlign w:val="center"/>
                </w:tcPr>
                <w:p w14:paraId="521FBF23">
                  <w:pPr>
                    <w:pStyle w:val="237"/>
                    <w:jc w:val="center"/>
                    <w:rPr>
                      <w:rFonts w:hAnsiTheme="minorEastAsia" w:eastAsiaTheme="minorEastAsia"/>
                      <w:kern w:val="0"/>
                      <w:szCs w:val="21"/>
                    </w:rPr>
                  </w:pPr>
                  <w:r>
                    <w:rPr>
                      <w:rFonts w:hint="eastAsia" w:hAnsiTheme="minorEastAsia" w:eastAsiaTheme="minorEastAsia"/>
                      <w:kern w:val="0"/>
                      <w:szCs w:val="21"/>
                    </w:rPr>
                    <w:t>第一次</w:t>
                  </w:r>
                </w:p>
              </w:tc>
              <w:tc>
                <w:tcPr>
                  <w:tcW w:w="1275" w:type="dxa"/>
                  <w:tcBorders>
                    <w:left w:val="single" w:color="auto" w:sz="4" w:space="0"/>
                    <w:right w:val="single" w:color="auto" w:sz="4" w:space="0"/>
                  </w:tcBorders>
                  <w:vAlign w:val="center"/>
                </w:tcPr>
                <w:p w14:paraId="6A71FB4A">
                  <w:pPr>
                    <w:pStyle w:val="237"/>
                    <w:jc w:val="center"/>
                  </w:pPr>
                  <w:r>
                    <w:rPr>
                      <w:rFonts w:hint="eastAsia"/>
                    </w:rPr>
                    <w:t>1.12</w:t>
                  </w:r>
                </w:p>
              </w:tc>
              <w:tc>
                <w:tcPr>
                  <w:tcW w:w="1134" w:type="dxa"/>
                  <w:tcBorders>
                    <w:left w:val="single" w:color="auto" w:sz="4" w:space="0"/>
                    <w:right w:val="single" w:color="auto" w:sz="4" w:space="0"/>
                  </w:tcBorders>
                  <w:vAlign w:val="center"/>
                </w:tcPr>
                <w:p w14:paraId="2C69E152">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414C1885">
                  <w:pPr>
                    <w:pStyle w:val="237"/>
                    <w:jc w:val="center"/>
                  </w:pPr>
                  <w:r>
                    <w:rPr>
                      <w:rFonts w:hint="eastAsia"/>
                    </w:rPr>
                    <w:t>5.00</w:t>
                  </w:r>
                  <w:r>
                    <w:t>×</w:t>
                  </w:r>
                  <w:r>
                    <w:rPr>
                      <w:rFonts w:hint="eastAsia"/>
                    </w:rPr>
                    <w:t>10</w:t>
                  </w:r>
                  <w:r>
                    <w:rPr>
                      <w:rFonts w:hint="eastAsia"/>
                      <w:vertAlign w:val="superscript"/>
                    </w:rPr>
                    <w:t>-2</w:t>
                  </w:r>
                </w:p>
              </w:tc>
              <w:tc>
                <w:tcPr>
                  <w:tcW w:w="1175" w:type="dxa"/>
                  <w:tcBorders>
                    <w:left w:val="single" w:color="auto" w:sz="4" w:space="0"/>
                    <w:right w:val="single" w:color="auto" w:sz="4" w:space="0"/>
                  </w:tcBorders>
                  <w:vAlign w:val="center"/>
                </w:tcPr>
                <w:p w14:paraId="55331839">
                  <w:pPr>
                    <w:pStyle w:val="237"/>
                    <w:jc w:val="center"/>
                  </w:pPr>
                  <w:r>
                    <w:rPr>
                      <w:rFonts w:hint="eastAsia" w:ascii="宋体" w:hAnsi="宋体"/>
                      <w:bCs/>
                      <w:szCs w:val="21"/>
                    </w:rPr>
                    <w:t>＜</w:t>
                  </w:r>
                  <w:r>
                    <w:rPr>
                      <w:rFonts w:hint="eastAsia" w:hAnsi="宋体"/>
                      <w:bCs/>
                      <w:szCs w:val="21"/>
                    </w:rPr>
                    <w:t>10</w:t>
                  </w:r>
                </w:p>
              </w:tc>
            </w:tr>
            <w:tr w14:paraId="1708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043BCD46">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2619DEC2">
                  <w:pPr>
                    <w:pStyle w:val="237"/>
                    <w:jc w:val="center"/>
                    <w:rPr>
                      <w:rFonts w:hAnsiTheme="minorEastAsia" w:eastAsiaTheme="minorEastAsia"/>
                      <w:kern w:val="0"/>
                      <w:szCs w:val="21"/>
                    </w:rPr>
                  </w:pPr>
                </w:p>
              </w:tc>
              <w:tc>
                <w:tcPr>
                  <w:tcW w:w="993" w:type="dxa"/>
                  <w:tcBorders>
                    <w:left w:val="single" w:color="auto" w:sz="4" w:space="0"/>
                    <w:right w:val="single" w:color="auto" w:sz="4" w:space="0"/>
                  </w:tcBorders>
                  <w:vAlign w:val="center"/>
                </w:tcPr>
                <w:p w14:paraId="50ABFC21">
                  <w:pPr>
                    <w:pStyle w:val="237"/>
                    <w:jc w:val="center"/>
                    <w:rPr>
                      <w:rFonts w:hAnsiTheme="minorEastAsia" w:eastAsiaTheme="minorEastAsia"/>
                      <w:kern w:val="0"/>
                      <w:szCs w:val="21"/>
                    </w:rPr>
                  </w:pPr>
                  <w:r>
                    <w:rPr>
                      <w:rFonts w:hint="eastAsia" w:hAnsiTheme="minorEastAsia" w:eastAsiaTheme="minorEastAsia"/>
                      <w:kern w:val="0"/>
                      <w:szCs w:val="21"/>
                    </w:rPr>
                    <w:t>第二次</w:t>
                  </w:r>
                </w:p>
              </w:tc>
              <w:tc>
                <w:tcPr>
                  <w:tcW w:w="1275" w:type="dxa"/>
                  <w:tcBorders>
                    <w:left w:val="single" w:color="auto" w:sz="4" w:space="0"/>
                    <w:right w:val="single" w:color="auto" w:sz="4" w:space="0"/>
                  </w:tcBorders>
                  <w:vAlign w:val="center"/>
                </w:tcPr>
                <w:p w14:paraId="20A80B26">
                  <w:pPr>
                    <w:pStyle w:val="237"/>
                    <w:jc w:val="center"/>
                  </w:pPr>
                  <w:r>
                    <w:rPr>
                      <w:rFonts w:hint="eastAsia"/>
                    </w:rPr>
                    <w:t>1.07</w:t>
                  </w:r>
                </w:p>
              </w:tc>
              <w:tc>
                <w:tcPr>
                  <w:tcW w:w="1134" w:type="dxa"/>
                  <w:tcBorders>
                    <w:left w:val="single" w:color="auto" w:sz="4" w:space="0"/>
                    <w:right w:val="single" w:color="auto" w:sz="4" w:space="0"/>
                  </w:tcBorders>
                  <w:vAlign w:val="center"/>
                </w:tcPr>
                <w:p w14:paraId="59520ECC">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71ADED5F">
                  <w:pPr>
                    <w:pStyle w:val="237"/>
                    <w:jc w:val="center"/>
                  </w:pPr>
                  <w:r>
                    <w:rPr>
                      <w:rFonts w:hint="eastAsia"/>
                    </w:rPr>
                    <w:t>0.100</w:t>
                  </w:r>
                </w:p>
              </w:tc>
              <w:tc>
                <w:tcPr>
                  <w:tcW w:w="1175" w:type="dxa"/>
                  <w:tcBorders>
                    <w:left w:val="single" w:color="auto" w:sz="4" w:space="0"/>
                    <w:right w:val="single" w:color="auto" w:sz="4" w:space="0"/>
                  </w:tcBorders>
                  <w:vAlign w:val="center"/>
                </w:tcPr>
                <w:p w14:paraId="5E69E3AA">
                  <w:pPr>
                    <w:pStyle w:val="237"/>
                    <w:jc w:val="center"/>
                  </w:pPr>
                  <w:r>
                    <w:rPr>
                      <w:rFonts w:hint="eastAsia" w:ascii="宋体" w:hAnsi="宋体"/>
                      <w:bCs/>
                      <w:szCs w:val="21"/>
                    </w:rPr>
                    <w:t>＜</w:t>
                  </w:r>
                  <w:r>
                    <w:rPr>
                      <w:rFonts w:hint="eastAsia" w:hAnsi="宋体"/>
                      <w:bCs/>
                      <w:szCs w:val="21"/>
                    </w:rPr>
                    <w:t>10</w:t>
                  </w:r>
                </w:p>
              </w:tc>
            </w:tr>
            <w:tr w14:paraId="4B69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508A7A1B">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119D495B">
                  <w:pPr>
                    <w:pStyle w:val="237"/>
                    <w:jc w:val="center"/>
                    <w:rPr>
                      <w:rFonts w:hAnsiTheme="minorEastAsia" w:eastAsiaTheme="minorEastAsia"/>
                      <w:kern w:val="0"/>
                      <w:szCs w:val="21"/>
                    </w:rPr>
                  </w:pPr>
                </w:p>
              </w:tc>
              <w:tc>
                <w:tcPr>
                  <w:tcW w:w="993" w:type="dxa"/>
                  <w:tcBorders>
                    <w:left w:val="single" w:color="auto" w:sz="4" w:space="0"/>
                    <w:right w:val="single" w:color="auto" w:sz="4" w:space="0"/>
                  </w:tcBorders>
                  <w:vAlign w:val="center"/>
                </w:tcPr>
                <w:p w14:paraId="26A0F08F">
                  <w:pPr>
                    <w:pStyle w:val="237"/>
                    <w:jc w:val="center"/>
                    <w:rPr>
                      <w:rFonts w:hAnsiTheme="minorEastAsia" w:eastAsiaTheme="minorEastAsia"/>
                      <w:kern w:val="0"/>
                      <w:szCs w:val="21"/>
                    </w:rPr>
                  </w:pPr>
                  <w:r>
                    <w:rPr>
                      <w:rFonts w:hint="eastAsia" w:hAnsiTheme="minorEastAsia" w:eastAsiaTheme="minorEastAsia"/>
                      <w:kern w:val="0"/>
                      <w:szCs w:val="21"/>
                    </w:rPr>
                    <w:t>第三次</w:t>
                  </w:r>
                </w:p>
              </w:tc>
              <w:tc>
                <w:tcPr>
                  <w:tcW w:w="1275" w:type="dxa"/>
                  <w:tcBorders>
                    <w:left w:val="single" w:color="auto" w:sz="4" w:space="0"/>
                    <w:right w:val="single" w:color="auto" w:sz="4" w:space="0"/>
                  </w:tcBorders>
                  <w:vAlign w:val="center"/>
                </w:tcPr>
                <w:p w14:paraId="7ABB6EDF">
                  <w:pPr>
                    <w:pStyle w:val="237"/>
                    <w:jc w:val="center"/>
                  </w:pPr>
                  <w:r>
                    <w:rPr>
                      <w:rFonts w:hint="eastAsia"/>
                    </w:rPr>
                    <w:t>1.15</w:t>
                  </w:r>
                </w:p>
              </w:tc>
              <w:tc>
                <w:tcPr>
                  <w:tcW w:w="1134" w:type="dxa"/>
                  <w:tcBorders>
                    <w:left w:val="single" w:color="auto" w:sz="4" w:space="0"/>
                    <w:right w:val="single" w:color="auto" w:sz="4" w:space="0"/>
                  </w:tcBorders>
                  <w:vAlign w:val="center"/>
                </w:tcPr>
                <w:p w14:paraId="2AA38B91">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393AFF92">
                  <w:pPr>
                    <w:pStyle w:val="237"/>
                    <w:jc w:val="center"/>
                  </w:pPr>
                  <w:r>
                    <w:rPr>
                      <w:rFonts w:hint="eastAsia"/>
                    </w:rPr>
                    <w:t>0.108</w:t>
                  </w:r>
                </w:p>
              </w:tc>
              <w:tc>
                <w:tcPr>
                  <w:tcW w:w="1175" w:type="dxa"/>
                  <w:tcBorders>
                    <w:left w:val="single" w:color="auto" w:sz="4" w:space="0"/>
                    <w:right w:val="single" w:color="auto" w:sz="4" w:space="0"/>
                  </w:tcBorders>
                  <w:vAlign w:val="center"/>
                </w:tcPr>
                <w:p w14:paraId="756301C9">
                  <w:pPr>
                    <w:pStyle w:val="237"/>
                    <w:jc w:val="center"/>
                  </w:pPr>
                  <w:r>
                    <w:rPr>
                      <w:rFonts w:hint="eastAsia" w:ascii="宋体" w:hAnsi="宋体"/>
                      <w:bCs/>
                      <w:szCs w:val="21"/>
                    </w:rPr>
                    <w:t>＜</w:t>
                  </w:r>
                  <w:r>
                    <w:rPr>
                      <w:rFonts w:hint="eastAsia" w:hAnsi="宋体"/>
                      <w:bCs/>
                      <w:szCs w:val="21"/>
                    </w:rPr>
                    <w:t>10</w:t>
                  </w:r>
                </w:p>
              </w:tc>
            </w:tr>
            <w:tr w14:paraId="218A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4E808D15">
                  <w:pPr>
                    <w:pStyle w:val="237"/>
                    <w:jc w:val="center"/>
                    <w:rPr>
                      <w:rFonts w:hAnsiTheme="minorEastAsia" w:eastAsiaTheme="minorEastAsia"/>
                      <w:kern w:val="0"/>
                      <w:szCs w:val="21"/>
                    </w:rPr>
                  </w:pPr>
                </w:p>
              </w:tc>
              <w:tc>
                <w:tcPr>
                  <w:tcW w:w="1559" w:type="dxa"/>
                  <w:vMerge w:val="restart"/>
                  <w:tcBorders>
                    <w:right w:val="single" w:color="auto" w:sz="4" w:space="0"/>
                  </w:tcBorders>
                  <w:vAlign w:val="center"/>
                </w:tcPr>
                <w:p w14:paraId="4CED0B16">
                  <w:pPr>
                    <w:pStyle w:val="237"/>
                    <w:jc w:val="center"/>
                    <w:rPr>
                      <w:rFonts w:hAnsiTheme="minorEastAsia" w:eastAsiaTheme="minorEastAsia"/>
                      <w:kern w:val="0"/>
                      <w:szCs w:val="21"/>
                    </w:rPr>
                  </w:pPr>
                  <w:r>
                    <w:rPr>
                      <w:rFonts w:hint="eastAsia" w:hAnsiTheme="minorEastAsia" w:eastAsiaTheme="minorEastAsia"/>
                      <w:kern w:val="0"/>
                      <w:szCs w:val="21"/>
                    </w:rPr>
                    <w:t>厂界下风向3#点位</w:t>
                  </w:r>
                </w:p>
              </w:tc>
              <w:tc>
                <w:tcPr>
                  <w:tcW w:w="993" w:type="dxa"/>
                  <w:tcBorders>
                    <w:left w:val="single" w:color="auto" w:sz="4" w:space="0"/>
                    <w:right w:val="single" w:color="auto" w:sz="4" w:space="0"/>
                  </w:tcBorders>
                  <w:vAlign w:val="center"/>
                </w:tcPr>
                <w:p w14:paraId="1F51CB14">
                  <w:pPr>
                    <w:pStyle w:val="237"/>
                    <w:jc w:val="center"/>
                    <w:rPr>
                      <w:rFonts w:hAnsiTheme="minorEastAsia" w:eastAsiaTheme="minorEastAsia"/>
                      <w:kern w:val="0"/>
                      <w:szCs w:val="21"/>
                    </w:rPr>
                  </w:pPr>
                  <w:r>
                    <w:rPr>
                      <w:rFonts w:hint="eastAsia" w:hAnsiTheme="minorEastAsia" w:eastAsiaTheme="minorEastAsia"/>
                      <w:kern w:val="0"/>
                      <w:szCs w:val="21"/>
                    </w:rPr>
                    <w:t>第一次</w:t>
                  </w:r>
                </w:p>
              </w:tc>
              <w:tc>
                <w:tcPr>
                  <w:tcW w:w="1275" w:type="dxa"/>
                  <w:tcBorders>
                    <w:left w:val="single" w:color="auto" w:sz="4" w:space="0"/>
                    <w:right w:val="single" w:color="auto" w:sz="4" w:space="0"/>
                  </w:tcBorders>
                  <w:vAlign w:val="center"/>
                </w:tcPr>
                <w:p w14:paraId="200A7347">
                  <w:pPr>
                    <w:pStyle w:val="237"/>
                    <w:jc w:val="center"/>
                  </w:pPr>
                  <w:r>
                    <w:rPr>
                      <w:rFonts w:hint="eastAsia"/>
                    </w:rPr>
                    <w:t>1.11</w:t>
                  </w:r>
                </w:p>
              </w:tc>
              <w:tc>
                <w:tcPr>
                  <w:tcW w:w="1134" w:type="dxa"/>
                  <w:tcBorders>
                    <w:left w:val="single" w:color="auto" w:sz="4" w:space="0"/>
                    <w:right w:val="single" w:color="auto" w:sz="4" w:space="0"/>
                  </w:tcBorders>
                  <w:vAlign w:val="center"/>
                </w:tcPr>
                <w:p w14:paraId="2823F0AF">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2D3C536C">
                  <w:pPr>
                    <w:pStyle w:val="237"/>
                    <w:jc w:val="center"/>
                  </w:pPr>
                  <w:r>
                    <w:rPr>
                      <w:rFonts w:hint="eastAsia"/>
                    </w:rPr>
                    <w:t>7.50</w:t>
                  </w:r>
                  <w:r>
                    <w:t>×</w:t>
                  </w:r>
                  <w:r>
                    <w:rPr>
                      <w:rFonts w:hint="eastAsia"/>
                    </w:rPr>
                    <w:t>10</w:t>
                  </w:r>
                  <w:r>
                    <w:rPr>
                      <w:rFonts w:hint="eastAsia"/>
                      <w:vertAlign w:val="superscript"/>
                    </w:rPr>
                    <w:t>-2</w:t>
                  </w:r>
                </w:p>
              </w:tc>
              <w:tc>
                <w:tcPr>
                  <w:tcW w:w="1175" w:type="dxa"/>
                  <w:tcBorders>
                    <w:left w:val="single" w:color="auto" w:sz="4" w:space="0"/>
                    <w:right w:val="single" w:color="auto" w:sz="4" w:space="0"/>
                  </w:tcBorders>
                  <w:vAlign w:val="center"/>
                </w:tcPr>
                <w:p w14:paraId="26CBB959">
                  <w:pPr>
                    <w:pStyle w:val="237"/>
                    <w:jc w:val="center"/>
                  </w:pPr>
                  <w:r>
                    <w:rPr>
                      <w:rFonts w:hint="eastAsia" w:ascii="宋体" w:hAnsi="宋体"/>
                      <w:bCs/>
                      <w:szCs w:val="21"/>
                    </w:rPr>
                    <w:t>＜</w:t>
                  </w:r>
                  <w:r>
                    <w:rPr>
                      <w:rFonts w:hint="eastAsia" w:hAnsi="宋体"/>
                      <w:bCs/>
                      <w:szCs w:val="21"/>
                    </w:rPr>
                    <w:t>10</w:t>
                  </w:r>
                </w:p>
              </w:tc>
            </w:tr>
            <w:tr w14:paraId="039C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2A977C1F">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31771973">
                  <w:pPr>
                    <w:pStyle w:val="237"/>
                    <w:jc w:val="center"/>
                    <w:rPr>
                      <w:rFonts w:hAnsiTheme="minorEastAsia" w:eastAsiaTheme="minorEastAsia"/>
                      <w:kern w:val="0"/>
                      <w:szCs w:val="21"/>
                    </w:rPr>
                  </w:pPr>
                </w:p>
              </w:tc>
              <w:tc>
                <w:tcPr>
                  <w:tcW w:w="993" w:type="dxa"/>
                  <w:tcBorders>
                    <w:left w:val="single" w:color="auto" w:sz="4" w:space="0"/>
                    <w:right w:val="single" w:color="auto" w:sz="4" w:space="0"/>
                  </w:tcBorders>
                  <w:vAlign w:val="center"/>
                </w:tcPr>
                <w:p w14:paraId="3EC3CC0B">
                  <w:pPr>
                    <w:pStyle w:val="237"/>
                    <w:jc w:val="center"/>
                    <w:rPr>
                      <w:rFonts w:hAnsiTheme="minorEastAsia" w:eastAsiaTheme="minorEastAsia"/>
                      <w:kern w:val="0"/>
                      <w:szCs w:val="21"/>
                    </w:rPr>
                  </w:pPr>
                  <w:r>
                    <w:rPr>
                      <w:rFonts w:hint="eastAsia" w:hAnsiTheme="minorEastAsia" w:eastAsiaTheme="minorEastAsia"/>
                      <w:kern w:val="0"/>
                      <w:szCs w:val="21"/>
                    </w:rPr>
                    <w:t>第二次</w:t>
                  </w:r>
                </w:p>
              </w:tc>
              <w:tc>
                <w:tcPr>
                  <w:tcW w:w="1275" w:type="dxa"/>
                  <w:tcBorders>
                    <w:left w:val="single" w:color="auto" w:sz="4" w:space="0"/>
                    <w:right w:val="single" w:color="auto" w:sz="4" w:space="0"/>
                  </w:tcBorders>
                  <w:vAlign w:val="center"/>
                </w:tcPr>
                <w:p w14:paraId="65F7740A">
                  <w:pPr>
                    <w:pStyle w:val="237"/>
                    <w:jc w:val="center"/>
                  </w:pPr>
                  <w:r>
                    <w:rPr>
                      <w:rFonts w:hint="eastAsia"/>
                    </w:rPr>
                    <w:t>1.20</w:t>
                  </w:r>
                </w:p>
              </w:tc>
              <w:tc>
                <w:tcPr>
                  <w:tcW w:w="1134" w:type="dxa"/>
                  <w:tcBorders>
                    <w:left w:val="single" w:color="auto" w:sz="4" w:space="0"/>
                    <w:right w:val="single" w:color="auto" w:sz="4" w:space="0"/>
                  </w:tcBorders>
                  <w:vAlign w:val="center"/>
                </w:tcPr>
                <w:p w14:paraId="1D76D8BB">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031FF651">
                  <w:pPr>
                    <w:pStyle w:val="237"/>
                    <w:jc w:val="center"/>
                  </w:pPr>
                  <w:r>
                    <w:rPr>
                      <w:rFonts w:hint="eastAsia"/>
                    </w:rPr>
                    <w:t>0.100</w:t>
                  </w:r>
                </w:p>
              </w:tc>
              <w:tc>
                <w:tcPr>
                  <w:tcW w:w="1175" w:type="dxa"/>
                  <w:tcBorders>
                    <w:left w:val="single" w:color="auto" w:sz="4" w:space="0"/>
                    <w:right w:val="single" w:color="auto" w:sz="4" w:space="0"/>
                  </w:tcBorders>
                  <w:vAlign w:val="center"/>
                </w:tcPr>
                <w:p w14:paraId="5053D66B">
                  <w:pPr>
                    <w:pStyle w:val="237"/>
                    <w:jc w:val="center"/>
                  </w:pPr>
                  <w:r>
                    <w:rPr>
                      <w:rFonts w:hint="eastAsia" w:ascii="宋体" w:hAnsi="宋体"/>
                      <w:bCs/>
                      <w:szCs w:val="21"/>
                    </w:rPr>
                    <w:t>＜</w:t>
                  </w:r>
                  <w:r>
                    <w:rPr>
                      <w:rFonts w:hint="eastAsia" w:hAnsi="宋体"/>
                      <w:bCs/>
                      <w:szCs w:val="21"/>
                    </w:rPr>
                    <w:t>10</w:t>
                  </w:r>
                </w:p>
              </w:tc>
            </w:tr>
            <w:tr w14:paraId="325E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7C32D8F1">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7C6F42EB">
                  <w:pPr>
                    <w:pStyle w:val="237"/>
                    <w:jc w:val="center"/>
                    <w:rPr>
                      <w:rFonts w:hAnsiTheme="minorEastAsia" w:eastAsiaTheme="minorEastAsia"/>
                      <w:kern w:val="0"/>
                      <w:szCs w:val="21"/>
                    </w:rPr>
                  </w:pPr>
                </w:p>
              </w:tc>
              <w:tc>
                <w:tcPr>
                  <w:tcW w:w="993" w:type="dxa"/>
                  <w:tcBorders>
                    <w:left w:val="single" w:color="auto" w:sz="4" w:space="0"/>
                    <w:right w:val="single" w:color="auto" w:sz="4" w:space="0"/>
                  </w:tcBorders>
                  <w:vAlign w:val="center"/>
                </w:tcPr>
                <w:p w14:paraId="28D58363">
                  <w:pPr>
                    <w:pStyle w:val="237"/>
                    <w:jc w:val="center"/>
                    <w:rPr>
                      <w:rFonts w:hAnsiTheme="minorEastAsia" w:eastAsiaTheme="minorEastAsia"/>
                      <w:kern w:val="0"/>
                      <w:szCs w:val="21"/>
                    </w:rPr>
                  </w:pPr>
                  <w:r>
                    <w:rPr>
                      <w:rFonts w:hint="eastAsia" w:hAnsiTheme="minorEastAsia" w:eastAsiaTheme="minorEastAsia"/>
                      <w:kern w:val="0"/>
                      <w:szCs w:val="21"/>
                    </w:rPr>
                    <w:t>第三次</w:t>
                  </w:r>
                </w:p>
              </w:tc>
              <w:tc>
                <w:tcPr>
                  <w:tcW w:w="1275" w:type="dxa"/>
                  <w:tcBorders>
                    <w:left w:val="single" w:color="auto" w:sz="4" w:space="0"/>
                    <w:right w:val="single" w:color="auto" w:sz="4" w:space="0"/>
                  </w:tcBorders>
                  <w:vAlign w:val="center"/>
                </w:tcPr>
                <w:p w14:paraId="59A31771">
                  <w:pPr>
                    <w:pStyle w:val="237"/>
                    <w:jc w:val="center"/>
                  </w:pPr>
                  <w:r>
                    <w:rPr>
                      <w:rFonts w:hint="eastAsia"/>
                    </w:rPr>
                    <w:t>1.12</w:t>
                  </w:r>
                </w:p>
              </w:tc>
              <w:tc>
                <w:tcPr>
                  <w:tcW w:w="1134" w:type="dxa"/>
                  <w:tcBorders>
                    <w:left w:val="single" w:color="auto" w:sz="4" w:space="0"/>
                    <w:right w:val="single" w:color="auto" w:sz="4" w:space="0"/>
                  </w:tcBorders>
                  <w:vAlign w:val="center"/>
                </w:tcPr>
                <w:p w14:paraId="413E589B">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47B8475A">
                  <w:pPr>
                    <w:pStyle w:val="237"/>
                    <w:jc w:val="center"/>
                  </w:pPr>
                  <w:r>
                    <w:rPr>
                      <w:rFonts w:hint="eastAsia"/>
                    </w:rPr>
                    <w:t>7.50</w:t>
                  </w:r>
                  <w:r>
                    <w:t>×</w:t>
                  </w:r>
                  <w:r>
                    <w:rPr>
                      <w:rFonts w:hint="eastAsia"/>
                    </w:rPr>
                    <w:t>10</w:t>
                  </w:r>
                  <w:r>
                    <w:rPr>
                      <w:rFonts w:hint="eastAsia"/>
                      <w:vertAlign w:val="superscript"/>
                    </w:rPr>
                    <w:t>-2</w:t>
                  </w:r>
                </w:p>
              </w:tc>
              <w:tc>
                <w:tcPr>
                  <w:tcW w:w="1175" w:type="dxa"/>
                  <w:tcBorders>
                    <w:left w:val="single" w:color="auto" w:sz="4" w:space="0"/>
                    <w:right w:val="single" w:color="auto" w:sz="4" w:space="0"/>
                  </w:tcBorders>
                  <w:vAlign w:val="center"/>
                </w:tcPr>
                <w:p w14:paraId="2978F983">
                  <w:pPr>
                    <w:pStyle w:val="237"/>
                    <w:jc w:val="center"/>
                  </w:pPr>
                  <w:r>
                    <w:rPr>
                      <w:rFonts w:hint="eastAsia" w:ascii="宋体" w:hAnsi="宋体"/>
                      <w:bCs/>
                      <w:szCs w:val="21"/>
                    </w:rPr>
                    <w:t>＜</w:t>
                  </w:r>
                  <w:r>
                    <w:rPr>
                      <w:rFonts w:hint="eastAsia" w:hAnsi="宋体"/>
                      <w:bCs/>
                      <w:szCs w:val="21"/>
                    </w:rPr>
                    <w:t>10</w:t>
                  </w:r>
                </w:p>
              </w:tc>
            </w:tr>
            <w:tr w14:paraId="4EAA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restart"/>
                  <w:tcBorders>
                    <w:left w:val="single" w:color="auto" w:sz="4" w:space="0"/>
                  </w:tcBorders>
                  <w:vAlign w:val="center"/>
                </w:tcPr>
                <w:p w14:paraId="1B9F5575">
                  <w:pPr>
                    <w:pStyle w:val="237"/>
                    <w:jc w:val="center"/>
                    <w:rPr>
                      <w:rFonts w:hAnsiTheme="minorEastAsia" w:eastAsiaTheme="minorEastAsia"/>
                      <w:kern w:val="0"/>
                      <w:szCs w:val="21"/>
                    </w:rPr>
                  </w:pPr>
                  <w:r>
                    <w:rPr>
                      <w:rFonts w:hint="eastAsia" w:hAnsiTheme="minorEastAsia" w:eastAsiaTheme="minorEastAsia"/>
                      <w:kern w:val="0"/>
                      <w:szCs w:val="21"/>
                    </w:rPr>
                    <w:t>2020.09.03</w:t>
                  </w:r>
                </w:p>
              </w:tc>
              <w:tc>
                <w:tcPr>
                  <w:tcW w:w="1559" w:type="dxa"/>
                  <w:vMerge w:val="restart"/>
                  <w:tcBorders>
                    <w:right w:val="single" w:color="auto" w:sz="4" w:space="0"/>
                  </w:tcBorders>
                  <w:vAlign w:val="center"/>
                </w:tcPr>
                <w:p w14:paraId="5FB3E892">
                  <w:pPr>
                    <w:pStyle w:val="237"/>
                    <w:jc w:val="center"/>
                    <w:rPr>
                      <w:rFonts w:hAnsiTheme="minorEastAsia" w:eastAsiaTheme="minorEastAsia"/>
                      <w:kern w:val="0"/>
                      <w:szCs w:val="21"/>
                    </w:rPr>
                  </w:pPr>
                  <w:r>
                    <w:rPr>
                      <w:rFonts w:hint="eastAsia" w:hAnsiTheme="minorEastAsia" w:eastAsiaTheme="minorEastAsia"/>
                      <w:kern w:val="0"/>
                      <w:szCs w:val="21"/>
                    </w:rPr>
                    <w:t>厂界下风向1#点位</w:t>
                  </w:r>
                </w:p>
              </w:tc>
              <w:tc>
                <w:tcPr>
                  <w:tcW w:w="993" w:type="dxa"/>
                  <w:tcBorders>
                    <w:left w:val="single" w:color="auto" w:sz="4" w:space="0"/>
                  </w:tcBorders>
                  <w:vAlign w:val="center"/>
                </w:tcPr>
                <w:p w14:paraId="2E705F32">
                  <w:pPr>
                    <w:pStyle w:val="237"/>
                    <w:jc w:val="center"/>
                    <w:rPr>
                      <w:rFonts w:hAnsiTheme="minorEastAsia" w:eastAsiaTheme="minorEastAsia"/>
                      <w:kern w:val="0"/>
                      <w:szCs w:val="21"/>
                    </w:rPr>
                  </w:pPr>
                  <w:r>
                    <w:rPr>
                      <w:rFonts w:hint="eastAsia" w:hAnsiTheme="minorEastAsia" w:eastAsiaTheme="minorEastAsia"/>
                      <w:kern w:val="0"/>
                      <w:szCs w:val="21"/>
                    </w:rPr>
                    <w:t>第一次</w:t>
                  </w:r>
                </w:p>
              </w:tc>
              <w:tc>
                <w:tcPr>
                  <w:tcW w:w="1275" w:type="dxa"/>
                  <w:tcBorders>
                    <w:right w:val="nil"/>
                  </w:tcBorders>
                  <w:vAlign w:val="center"/>
                </w:tcPr>
                <w:p w14:paraId="6456AC30">
                  <w:pPr>
                    <w:pStyle w:val="237"/>
                    <w:jc w:val="center"/>
                  </w:pPr>
                  <w:r>
                    <w:rPr>
                      <w:rFonts w:hint="eastAsia"/>
                    </w:rPr>
                    <w:t>1.12</w:t>
                  </w:r>
                </w:p>
              </w:tc>
              <w:tc>
                <w:tcPr>
                  <w:tcW w:w="1134" w:type="dxa"/>
                  <w:tcBorders>
                    <w:right w:val="nil"/>
                  </w:tcBorders>
                  <w:vAlign w:val="center"/>
                </w:tcPr>
                <w:p w14:paraId="1F1E01F8">
                  <w:pPr>
                    <w:pStyle w:val="237"/>
                    <w:jc w:val="center"/>
                  </w:pPr>
                  <w:r>
                    <w:rPr>
                      <w:rFonts w:hint="eastAsia"/>
                    </w:rPr>
                    <w:t>&lt;1.5</w:t>
                  </w:r>
                  <w:r>
                    <w:t>×</w:t>
                  </w:r>
                  <w:r>
                    <w:rPr>
                      <w:rFonts w:hint="eastAsia"/>
                    </w:rPr>
                    <w:t>10</w:t>
                  </w:r>
                  <w:r>
                    <w:rPr>
                      <w:rFonts w:hint="eastAsia"/>
                      <w:vertAlign w:val="superscript"/>
                    </w:rPr>
                    <w:t>-3</w:t>
                  </w:r>
                </w:p>
              </w:tc>
              <w:tc>
                <w:tcPr>
                  <w:tcW w:w="1560" w:type="dxa"/>
                  <w:tcBorders>
                    <w:right w:val="single" w:color="auto" w:sz="4" w:space="0"/>
                  </w:tcBorders>
                  <w:vAlign w:val="center"/>
                </w:tcPr>
                <w:p w14:paraId="53F55C7D">
                  <w:pPr>
                    <w:pStyle w:val="237"/>
                    <w:jc w:val="center"/>
                  </w:pPr>
                  <w:r>
                    <w:rPr>
                      <w:rFonts w:hint="eastAsia"/>
                    </w:rPr>
                    <w:t>0.208</w:t>
                  </w:r>
                </w:p>
              </w:tc>
              <w:tc>
                <w:tcPr>
                  <w:tcW w:w="1175" w:type="dxa"/>
                  <w:tcBorders>
                    <w:right w:val="single" w:color="auto" w:sz="4" w:space="0"/>
                  </w:tcBorders>
                  <w:vAlign w:val="center"/>
                </w:tcPr>
                <w:p w14:paraId="2B04038E">
                  <w:pPr>
                    <w:pStyle w:val="237"/>
                    <w:jc w:val="center"/>
                  </w:pPr>
                  <w:r>
                    <w:rPr>
                      <w:rFonts w:hint="eastAsia" w:ascii="宋体" w:hAnsi="宋体"/>
                      <w:bCs/>
                      <w:szCs w:val="21"/>
                    </w:rPr>
                    <w:t>＜</w:t>
                  </w:r>
                  <w:r>
                    <w:rPr>
                      <w:rFonts w:hint="eastAsia" w:hAnsi="宋体"/>
                      <w:bCs/>
                      <w:szCs w:val="21"/>
                    </w:rPr>
                    <w:t>10</w:t>
                  </w:r>
                </w:p>
              </w:tc>
            </w:tr>
            <w:tr w14:paraId="4987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0FAA9EF3">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0E3EF32C">
                  <w:pPr>
                    <w:pStyle w:val="237"/>
                    <w:jc w:val="center"/>
                    <w:rPr>
                      <w:rFonts w:hAnsiTheme="minorEastAsia" w:eastAsiaTheme="minorEastAsia"/>
                      <w:kern w:val="0"/>
                      <w:szCs w:val="21"/>
                    </w:rPr>
                  </w:pPr>
                </w:p>
              </w:tc>
              <w:tc>
                <w:tcPr>
                  <w:tcW w:w="993" w:type="dxa"/>
                  <w:tcBorders>
                    <w:left w:val="single" w:color="auto" w:sz="4" w:space="0"/>
                  </w:tcBorders>
                  <w:vAlign w:val="center"/>
                </w:tcPr>
                <w:p w14:paraId="298AEF6C">
                  <w:pPr>
                    <w:pStyle w:val="237"/>
                    <w:jc w:val="center"/>
                    <w:rPr>
                      <w:rFonts w:hAnsiTheme="minorEastAsia" w:eastAsiaTheme="minorEastAsia"/>
                      <w:kern w:val="0"/>
                      <w:szCs w:val="21"/>
                    </w:rPr>
                  </w:pPr>
                  <w:r>
                    <w:rPr>
                      <w:rFonts w:hint="eastAsia" w:hAnsiTheme="minorEastAsia" w:eastAsiaTheme="minorEastAsia"/>
                      <w:kern w:val="0"/>
                      <w:szCs w:val="21"/>
                    </w:rPr>
                    <w:t>第二次</w:t>
                  </w:r>
                </w:p>
              </w:tc>
              <w:tc>
                <w:tcPr>
                  <w:tcW w:w="1275" w:type="dxa"/>
                  <w:tcBorders>
                    <w:right w:val="nil"/>
                  </w:tcBorders>
                  <w:vAlign w:val="center"/>
                </w:tcPr>
                <w:p w14:paraId="4D16B383">
                  <w:pPr>
                    <w:pStyle w:val="237"/>
                    <w:jc w:val="center"/>
                  </w:pPr>
                  <w:r>
                    <w:rPr>
                      <w:rFonts w:hint="eastAsia"/>
                    </w:rPr>
                    <w:t>1.15</w:t>
                  </w:r>
                </w:p>
              </w:tc>
              <w:tc>
                <w:tcPr>
                  <w:tcW w:w="1134" w:type="dxa"/>
                  <w:tcBorders>
                    <w:right w:val="nil"/>
                  </w:tcBorders>
                  <w:vAlign w:val="center"/>
                </w:tcPr>
                <w:p w14:paraId="16001715">
                  <w:pPr>
                    <w:pStyle w:val="237"/>
                    <w:jc w:val="center"/>
                  </w:pPr>
                  <w:r>
                    <w:rPr>
                      <w:rFonts w:hint="eastAsia"/>
                    </w:rPr>
                    <w:t>&lt;1.5</w:t>
                  </w:r>
                  <w:r>
                    <w:t>×</w:t>
                  </w:r>
                  <w:r>
                    <w:rPr>
                      <w:rFonts w:hint="eastAsia"/>
                    </w:rPr>
                    <w:t>10</w:t>
                  </w:r>
                  <w:r>
                    <w:rPr>
                      <w:rFonts w:hint="eastAsia"/>
                      <w:vertAlign w:val="superscript"/>
                    </w:rPr>
                    <w:t>-3</w:t>
                  </w:r>
                </w:p>
              </w:tc>
              <w:tc>
                <w:tcPr>
                  <w:tcW w:w="1560" w:type="dxa"/>
                  <w:tcBorders>
                    <w:right w:val="single" w:color="auto" w:sz="4" w:space="0"/>
                  </w:tcBorders>
                  <w:vAlign w:val="center"/>
                </w:tcPr>
                <w:p w14:paraId="7E68393D">
                  <w:pPr>
                    <w:pStyle w:val="237"/>
                    <w:jc w:val="center"/>
                  </w:pPr>
                  <w:r>
                    <w:rPr>
                      <w:rFonts w:hint="eastAsia"/>
                    </w:rPr>
                    <w:t>0.217</w:t>
                  </w:r>
                </w:p>
              </w:tc>
              <w:tc>
                <w:tcPr>
                  <w:tcW w:w="1175" w:type="dxa"/>
                  <w:tcBorders>
                    <w:right w:val="single" w:color="auto" w:sz="4" w:space="0"/>
                  </w:tcBorders>
                  <w:vAlign w:val="center"/>
                </w:tcPr>
                <w:p w14:paraId="5A36D1A3">
                  <w:pPr>
                    <w:pStyle w:val="237"/>
                    <w:jc w:val="center"/>
                  </w:pPr>
                  <w:r>
                    <w:rPr>
                      <w:rFonts w:hint="eastAsia" w:ascii="宋体" w:hAnsi="宋体"/>
                      <w:bCs/>
                      <w:szCs w:val="21"/>
                    </w:rPr>
                    <w:t>＜</w:t>
                  </w:r>
                  <w:r>
                    <w:rPr>
                      <w:rFonts w:hint="eastAsia" w:hAnsi="宋体"/>
                      <w:bCs/>
                      <w:szCs w:val="21"/>
                    </w:rPr>
                    <w:t>10</w:t>
                  </w:r>
                </w:p>
              </w:tc>
            </w:tr>
            <w:tr w14:paraId="5F7D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097E4426">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472B62AD">
                  <w:pPr>
                    <w:pStyle w:val="237"/>
                    <w:jc w:val="center"/>
                    <w:rPr>
                      <w:rFonts w:hAnsiTheme="minorEastAsia" w:eastAsiaTheme="minorEastAsia"/>
                      <w:kern w:val="0"/>
                      <w:szCs w:val="21"/>
                    </w:rPr>
                  </w:pPr>
                </w:p>
              </w:tc>
              <w:tc>
                <w:tcPr>
                  <w:tcW w:w="993" w:type="dxa"/>
                  <w:tcBorders>
                    <w:left w:val="single" w:color="auto" w:sz="4" w:space="0"/>
                  </w:tcBorders>
                  <w:vAlign w:val="center"/>
                </w:tcPr>
                <w:p w14:paraId="12897A86">
                  <w:pPr>
                    <w:pStyle w:val="237"/>
                    <w:jc w:val="center"/>
                    <w:rPr>
                      <w:rFonts w:hAnsiTheme="minorEastAsia" w:eastAsiaTheme="minorEastAsia"/>
                      <w:kern w:val="0"/>
                      <w:szCs w:val="21"/>
                    </w:rPr>
                  </w:pPr>
                  <w:r>
                    <w:rPr>
                      <w:rFonts w:hint="eastAsia" w:hAnsiTheme="minorEastAsia" w:eastAsiaTheme="minorEastAsia"/>
                      <w:kern w:val="0"/>
                      <w:szCs w:val="21"/>
                    </w:rPr>
                    <w:t>第三次</w:t>
                  </w:r>
                </w:p>
              </w:tc>
              <w:tc>
                <w:tcPr>
                  <w:tcW w:w="1275" w:type="dxa"/>
                  <w:tcBorders>
                    <w:right w:val="nil"/>
                  </w:tcBorders>
                  <w:vAlign w:val="center"/>
                </w:tcPr>
                <w:p w14:paraId="4CA2349C">
                  <w:pPr>
                    <w:pStyle w:val="237"/>
                    <w:jc w:val="center"/>
                  </w:pPr>
                  <w:r>
                    <w:rPr>
                      <w:rFonts w:hint="eastAsia"/>
                    </w:rPr>
                    <w:t>1.12</w:t>
                  </w:r>
                </w:p>
              </w:tc>
              <w:tc>
                <w:tcPr>
                  <w:tcW w:w="1134" w:type="dxa"/>
                  <w:tcBorders>
                    <w:right w:val="nil"/>
                  </w:tcBorders>
                  <w:vAlign w:val="center"/>
                </w:tcPr>
                <w:p w14:paraId="1771382F">
                  <w:pPr>
                    <w:pStyle w:val="237"/>
                    <w:jc w:val="center"/>
                  </w:pPr>
                  <w:r>
                    <w:rPr>
                      <w:rFonts w:hint="eastAsia"/>
                    </w:rPr>
                    <w:t>&lt;1.5</w:t>
                  </w:r>
                  <w:r>
                    <w:t>×</w:t>
                  </w:r>
                  <w:r>
                    <w:rPr>
                      <w:rFonts w:hint="eastAsia"/>
                    </w:rPr>
                    <w:t>10</w:t>
                  </w:r>
                  <w:r>
                    <w:rPr>
                      <w:rFonts w:hint="eastAsia"/>
                      <w:vertAlign w:val="superscript"/>
                    </w:rPr>
                    <w:t>-3</w:t>
                  </w:r>
                </w:p>
              </w:tc>
              <w:tc>
                <w:tcPr>
                  <w:tcW w:w="1560" w:type="dxa"/>
                  <w:tcBorders>
                    <w:right w:val="single" w:color="auto" w:sz="4" w:space="0"/>
                  </w:tcBorders>
                  <w:vAlign w:val="center"/>
                </w:tcPr>
                <w:p w14:paraId="73AA3121">
                  <w:pPr>
                    <w:pStyle w:val="237"/>
                    <w:jc w:val="center"/>
                  </w:pPr>
                  <w:r>
                    <w:rPr>
                      <w:rFonts w:hint="eastAsia"/>
                    </w:rPr>
                    <w:t>0.225</w:t>
                  </w:r>
                </w:p>
              </w:tc>
              <w:tc>
                <w:tcPr>
                  <w:tcW w:w="1175" w:type="dxa"/>
                  <w:tcBorders>
                    <w:right w:val="single" w:color="auto" w:sz="4" w:space="0"/>
                  </w:tcBorders>
                  <w:vAlign w:val="center"/>
                </w:tcPr>
                <w:p w14:paraId="06719D4C">
                  <w:pPr>
                    <w:pStyle w:val="237"/>
                    <w:jc w:val="center"/>
                  </w:pPr>
                  <w:r>
                    <w:rPr>
                      <w:rFonts w:hint="eastAsia" w:ascii="宋体" w:hAnsi="宋体"/>
                      <w:bCs/>
                      <w:szCs w:val="21"/>
                    </w:rPr>
                    <w:t>＜</w:t>
                  </w:r>
                  <w:r>
                    <w:rPr>
                      <w:rFonts w:hint="eastAsia" w:hAnsi="宋体"/>
                      <w:bCs/>
                      <w:szCs w:val="21"/>
                    </w:rPr>
                    <w:t>10</w:t>
                  </w:r>
                </w:p>
              </w:tc>
            </w:tr>
            <w:tr w14:paraId="7738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16D794E8">
                  <w:pPr>
                    <w:pStyle w:val="237"/>
                    <w:jc w:val="center"/>
                    <w:rPr>
                      <w:rFonts w:hAnsiTheme="minorEastAsia" w:eastAsiaTheme="minorEastAsia"/>
                      <w:kern w:val="0"/>
                      <w:szCs w:val="21"/>
                    </w:rPr>
                  </w:pPr>
                </w:p>
              </w:tc>
              <w:tc>
                <w:tcPr>
                  <w:tcW w:w="1559" w:type="dxa"/>
                  <w:vMerge w:val="restart"/>
                  <w:tcBorders>
                    <w:right w:val="single" w:color="auto" w:sz="4" w:space="0"/>
                  </w:tcBorders>
                  <w:vAlign w:val="center"/>
                </w:tcPr>
                <w:p w14:paraId="77697DB0">
                  <w:pPr>
                    <w:pStyle w:val="237"/>
                    <w:jc w:val="center"/>
                    <w:rPr>
                      <w:rFonts w:hAnsiTheme="minorEastAsia" w:eastAsiaTheme="minorEastAsia"/>
                      <w:kern w:val="0"/>
                      <w:szCs w:val="21"/>
                    </w:rPr>
                  </w:pPr>
                  <w:r>
                    <w:rPr>
                      <w:rFonts w:hint="eastAsia" w:hAnsiTheme="minorEastAsia" w:eastAsiaTheme="minorEastAsia"/>
                      <w:kern w:val="0"/>
                      <w:szCs w:val="21"/>
                    </w:rPr>
                    <w:t>厂界下风向2#点位</w:t>
                  </w:r>
                </w:p>
              </w:tc>
              <w:tc>
                <w:tcPr>
                  <w:tcW w:w="993" w:type="dxa"/>
                  <w:tcBorders>
                    <w:left w:val="single" w:color="auto" w:sz="4" w:space="0"/>
                    <w:right w:val="single" w:color="auto" w:sz="4" w:space="0"/>
                  </w:tcBorders>
                  <w:vAlign w:val="center"/>
                </w:tcPr>
                <w:p w14:paraId="7F4DB39B">
                  <w:pPr>
                    <w:pStyle w:val="237"/>
                    <w:jc w:val="center"/>
                    <w:rPr>
                      <w:rFonts w:hAnsiTheme="minorEastAsia" w:eastAsiaTheme="minorEastAsia"/>
                      <w:kern w:val="0"/>
                      <w:szCs w:val="21"/>
                    </w:rPr>
                  </w:pPr>
                  <w:r>
                    <w:rPr>
                      <w:rFonts w:hint="eastAsia" w:hAnsiTheme="minorEastAsia" w:eastAsiaTheme="minorEastAsia"/>
                      <w:kern w:val="0"/>
                      <w:szCs w:val="21"/>
                    </w:rPr>
                    <w:t>第一次</w:t>
                  </w:r>
                </w:p>
              </w:tc>
              <w:tc>
                <w:tcPr>
                  <w:tcW w:w="1275" w:type="dxa"/>
                  <w:tcBorders>
                    <w:left w:val="single" w:color="auto" w:sz="4" w:space="0"/>
                    <w:right w:val="single" w:color="auto" w:sz="4" w:space="0"/>
                  </w:tcBorders>
                  <w:vAlign w:val="center"/>
                </w:tcPr>
                <w:p w14:paraId="4373F27F">
                  <w:pPr>
                    <w:pStyle w:val="237"/>
                    <w:jc w:val="center"/>
                  </w:pPr>
                  <w:r>
                    <w:rPr>
                      <w:rFonts w:hint="eastAsia"/>
                    </w:rPr>
                    <w:t>1.18</w:t>
                  </w:r>
                </w:p>
              </w:tc>
              <w:tc>
                <w:tcPr>
                  <w:tcW w:w="1134" w:type="dxa"/>
                  <w:tcBorders>
                    <w:left w:val="single" w:color="auto" w:sz="4" w:space="0"/>
                    <w:right w:val="single" w:color="auto" w:sz="4" w:space="0"/>
                  </w:tcBorders>
                  <w:vAlign w:val="center"/>
                </w:tcPr>
                <w:p w14:paraId="78A8B24F">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07CA1AC8">
                  <w:pPr>
                    <w:pStyle w:val="237"/>
                    <w:jc w:val="center"/>
                  </w:pPr>
                  <w:r>
                    <w:rPr>
                      <w:rFonts w:hint="eastAsia"/>
                    </w:rPr>
                    <w:t>0.200</w:t>
                  </w:r>
                </w:p>
              </w:tc>
              <w:tc>
                <w:tcPr>
                  <w:tcW w:w="1175" w:type="dxa"/>
                  <w:tcBorders>
                    <w:left w:val="single" w:color="auto" w:sz="4" w:space="0"/>
                    <w:right w:val="single" w:color="auto" w:sz="4" w:space="0"/>
                  </w:tcBorders>
                  <w:vAlign w:val="center"/>
                </w:tcPr>
                <w:p w14:paraId="73A72ABE">
                  <w:pPr>
                    <w:pStyle w:val="237"/>
                    <w:jc w:val="center"/>
                  </w:pPr>
                  <w:r>
                    <w:rPr>
                      <w:rFonts w:hint="eastAsia" w:ascii="宋体" w:hAnsi="宋体"/>
                      <w:bCs/>
                      <w:szCs w:val="21"/>
                    </w:rPr>
                    <w:t>＜</w:t>
                  </w:r>
                  <w:r>
                    <w:rPr>
                      <w:rFonts w:hint="eastAsia" w:hAnsi="宋体"/>
                      <w:bCs/>
                      <w:szCs w:val="21"/>
                    </w:rPr>
                    <w:t>10</w:t>
                  </w:r>
                </w:p>
              </w:tc>
            </w:tr>
            <w:tr w14:paraId="10CD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39EA18E2">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17A3A37A">
                  <w:pPr>
                    <w:pStyle w:val="237"/>
                    <w:jc w:val="center"/>
                    <w:rPr>
                      <w:rFonts w:hAnsiTheme="minorEastAsia" w:eastAsiaTheme="minorEastAsia"/>
                      <w:kern w:val="0"/>
                      <w:szCs w:val="21"/>
                    </w:rPr>
                  </w:pPr>
                </w:p>
              </w:tc>
              <w:tc>
                <w:tcPr>
                  <w:tcW w:w="993" w:type="dxa"/>
                  <w:tcBorders>
                    <w:left w:val="single" w:color="auto" w:sz="4" w:space="0"/>
                    <w:right w:val="single" w:color="auto" w:sz="4" w:space="0"/>
                  </w:tcBorders>
                  <w:vAlign w:val="center"/>
                </w:tcPr>
                <w:p w14:paraId="115315DD">
                  <w:pPr>
                    <w:pStyle w:val="237"/>
                    <w:jc w:val="center"/>
                    <w:rPr>
                      <w:rFonts w:hAnsiTheme="minorEastAsia" w:eastAsiaTheme="minorEastAsia"/>
                      <w:kern w:val="0"/>
                      <w:szCs w:val="21"/>
                    </w:rPr>
                  </w:pPr>
                  <w:r>
                    <w:rPr>
                      <w:rFonts w:hint="eastAsia" w:hAnsiTheme="minorEastAsia" w:eastAsiaTheme="minorEastAsia"/>
                      <w:kern w:val="0"/>
                      <w:szCs w:val="21"/>
                    </w:rPr>
                    <w:t>第二次</w:t>
                  </w:r>
                </w:p>
              </w:tc>
              <w:tc>
                <w:tcPr>
                  <w:tcW w:w="1275" w:type="dxa"/>
                  <w:tcBorders>
                    <w:left w:val="single" w:color="auto" w:sz="4" w:space="0"/>
                    <w:right w:val="single" w:color="auto" w:sz="4" w:space="0"/>
                  </w:tcBorders>
                  <w:vAlign w:val="center"/>
                </w:tcPr>
                <w:p w14:paraId="75242368">
                  <w:pPr>
                    <w:pStyle w:val="237"/>
                    <w:jc w:val="center"/>
                  </w:pPr>
                  <w:r>
                    <w:rPr>
                      <w:rFonts w:hint="eastAsia"/>
                    </w:rPr>
                    <w:t>1.13</w:t>
                  </w:r>
                </w:p>
              </w:tc>
              <w:tc>
                <w:tcPr>
                  <w:tcW w:w="1134" w:type="dxa"/>
                  <w:tcBorders>
                    <w:left w:val="single" w:color="auto" w:sz="4" w:space="0"/>
                    <w:right w:val="single" w:color="auto" w:sz="4" w:space="0"/>
                  </w:tcBorders>
                  <w:vAlign w:val="center"/>
                </w:tcPr>
                <w:p w14:paraId="30ABD6FD">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3DECE6BD">
                  <w:pPr>
                    <w:pStyle w:val="237"/>
                    <w:jc w:val="center"/>
                  </w:pPr>
                  <w:r>
                    <w:rPr>
                      <w:rFonts w:hint="eastAsia"/>
                    </w:rPr>
                    <w:t>0.208</w:t>
                  </w:r>
                </w:p>
              </w:tc>
              <w:tc>
                <w:tcPr>
                  <w:tcW w:w="1175" w:type="dxa"/>
                  <w:tcBorders>
                    <w:left w:val="single" w:color="auto" w:sz="4" w:space="0"/>
                    <w:right w:val="single" w:color="auto" w:sz="4" w:space="0"/>
                  </w:tcBorders>
                  <w:vAlign w:val="center"/>
                </w:tcPr>
                <w:p w14:paraId="7873FC61">
                  <w:pPr>
                    <w:pStyle w:val="237"/>
                    <w:jc w:val="center"/>
                  </w:pPr>
                  <w:r>
                    <w:rPr>
                      <w:rFonts w:hint="eastAsia" w:ascii="宋体" w:hAnsi="宋体"/>
                      <w:bCs/>
                      <w:szCs w:val="21"/>
                    </w:rPr>
                    <w:t>＜</w:t>
                  </w:r>
                  <w:r>
                    <w:rPr>
                      <w:rFonts w:hint="eastAsia" w:hAnsi="宋体"/>
                      <w:bCs/>
                      <w:szCs w:val="21"/>
                    </w:rPr>
                    <w:t>10</w:t>
                  </w:r>
                </w:p>
              </w:tc>
            </w:tr>
            <w:tr w14:paraId="6F65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234740EE">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47CB4628">
                  <w:pPr>
                    <w:pStyle w:val="237"/>
                    <w:jc w:val="center"/>
                    <w:rPr>
                      <w:rFonts w:hAnsiTheme="minorEastAsia" w:eastAsiaTheme="minorEastAsia"/>
                      <w:kern w:val="0"/>
                      <w:szCs w:val="21"/>
                    </w:rPr>
                  </w:pPr>
                </w:p>
              </w:tc>
              <w:tc>
                <w:tcPr>
                  <w:tcW w:w="993" w:type="dxa"/>
                  <w:tcBorders>
                    <w:left w:val="single" w:color="auto" w:sz="4" w:space="0"/>
                    <w:right w:val="single" w:color="auto" w:sz="4" w:space="0"/>
                  </w:tcBorders>
                  <w:vAlign w:val="center"/>
                </w:tcPr>
                <w:p w14:paraId="263306AD">
                  <w:pPr>
                    <w:pStyle w:val="237"/>
                    <w:jc w:val="center"/>
                    <w:rPr>
                      <w:rFonts w:hAnsiTheme="minorEastAsia" w:eastAsiaTheme="minorEastAsia"/>
                      <w:kern w:val="0"/>
                      <w:szCs w:val="21"/>
                    </w:rPr>
                  </w:pPr>
                  <w:r>
                    <w:rPr>
                      <w:rFonts w:hint="eastAsia" w:hAnsiTheme="minorEastAsia" w:eastAsiaTheme="minorEastAsia"/>
                      <w:kern w:val="0"/>
                      <w:szCs w:val="21"/>
                    </w:rPr>
                    <w:t>第三次</w:t>
                  </w:r>
                </w:p>
              </w:tc>
              <w:tc>
                <w:tcPr>
                  <w:tcW w:w="1275" w:type="dxa"/>
                  <w:tcBorders>
                    <w:left w:val="single" w:color="auto" w:sz="4" w:space="0"/>
                    <w:right w:val="single" w:color="auto" w:sz="4" w:space="0"/>
                  </w:tcBorders>
                  <w:vAlign w:val="center"/>
                </w:tcPr>
                <w:p w14:paraId="01E20AB2">
                  <w:pPr>
                    <w:pStyle w:val="237"/>
                    <w:jc w:val="center"/>
                  </w:pPr>
                  <w:r>
                    <w:rPr>
                      <w:rFonts w:hint="eastAsia"/>
                    </w:rPr>
                    <w:t>1.12</w:t>
                  </w:r>
                </w:p>
              </w:tc>
              <w:tc>
                <w:tcPr>
                  <w:tcW w:w="1134" w:type="dxa"/>
                  <w:tcBorders>
                    <w:left w:val="single" w:color="auto" w:sz="4" w:space="0"/>
                    <w:right w:val="single" w:color="auto" w:sz="4" w:space="0"/>
                  </w:tcBorders>
                  <w:vAlign w:val="center"/>
                </w:tcPr>
                <w:p w14:paraId="6ACA30EA">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5FADBBEA">
                  <w:pPr>
                    <w:pStyle w:val="237"/>
                    <w:jc w:val="center"/>
                  </w:pPr>
                  <w:r>
                    <w:rPr>
                      <w:rFonts w:hint="eastAsia"/>
                    </w:rPr>
                    <w:t>0.233</w:t>
                  </w:r>
                </w:p>
              </w:tc>
              <w:tc>
                <w:tcPr>
                  <w:tcW w:w="1175" w:type="dxa"/>
                  <w:tcBorders>
                    <w:left w:val="single" w:color="auto" w:sz="4" w:space="0"/>
                    <w:right w:val="single" w:color="auto" w:sz="4" w:space="0"/>
                  </w:tcBorders>
                  <w:vAlign w:val="center"/>
                </w:tcPr>
                <w:p w14:paraId="4B77725A">
                  <w:pPr>
                    <w:pStyle w:val="237"/>
                    <w:jc w:val="center"/>
                  </w:pPr>
                  <w:r>
                    <w:rPr>
                      <w:rFonts w:hint="eastAsia" w:ascii="宋体" w:hAnsi="宋体"/>
                      <w:bCs/>
                      <w:szCs w:val="21"/>
                    </w:rPr>
                    <w:t>＜</w:t>
                  </w:r>
                  <w:r>
                    <w:rPr>
                      <w:rFonts w:hint="eastAsia" w:hAnsi="宋体"/>
                      <w:bCs/>
                      <w:szCs w:val="21"/>
                    </w:rPr>
                    <w:t>10</w:t>
                  </w:r>
                </w:p>
              </w:tc>
            </w:tr>
            <w:tr w14:paraId="4097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47C64406">
                  <w:pPr>
                    <w:pStyle w:val="237"/>
                    <w:jc w:val="center"/>
                    <w:rPr>
                      <w:rFonts w:hAnsiTheme="minorEastAsia" w:eastAsiaTheme="minorEastAsia"/>
                      <w:kern w:val="0"/>
                      <w:szCs w:val="21"/>
                    </w:rPr>
                  </w:pPr>
                </w:p>
              </w:tc>
              <w:tc>
                <w:tcPr>
                  <w:tcW w:w="1559" w:type="dxa"/>
                  <w:vMerge w:val="restart"/>
                  <w:tcBorders>
                    <w:right w:val="single" w:color="auto" w:sz="4" w:space="0"/>
                  </w:tcBorders>
                  <w:vAlign w:val="center"/>
                </w:tcPr>
                <w:p w14:paraId="1CFC39B6">
                  <w:pPr>
                    <w:pStyle w:val="237"/>
                    <w:jc w:val="center"/>
                    <w:rPr>
                      <w:rFonts w:hAnsiTheme="minorEastAsia" w:eastAsiaTheme="minorEastAsia"/>
                      <w:kern w:val="0"/>
                      <w:szCs w:val="21"/>
                    </w:rPr>
                  </w:pPr>
                  <w:r>
                    <w:rPr>
                      <w:rFonts w:hint="eastAsia" w:hAnsiTheme="minorEastAsia" w:eastAsiaTheme="minorEastAsia"/>
                      <w:kern w:val="0"/>
                      <w:szCs w:val="21"/>
                    </w:rPr>
                    <w:t>厂界下风向3#点位</w:t>
                  </w:r>
                </w:p>
              </w:tc>
              <w:tc>
                <w:tcPr>
                  <w:tcW w:w="993" w:type="dxa"/>
                  <w:tcBorders>
                    <w:left w:val="single" w:color="auto" w:sz="4" w:space="0"/>
                    <w:right w:val="single" w:color="auto" w:sz="4" w:space="0"/>
                  </w:tcBorders>
                  <w:vAlign w:val="center"/>
                </w:tcPr>
                <w:p w14:paraId="077B14B2">
                  <w:pPr>
                    <w:pStyle w:val="237"/>
                    <w:jc w:val="center"/>
                    <w:rPr>
                      <w:rFonts w:hAnsiTheme="minorEastAsia" w:eastAsiaTheme="minorEastAsia"/>
                      <w:kern w:val="0"/>
                      <w:szCs w:val="21"/>
                    </w:rPr>
                  </w:pPr>
                  <w:r>
                    <w:rPr>
                      <w:rFonts w:hint="eastAsia" w:hAnsiTheme="minorEastAsia" w:eastAsiaTheme="minorEastAsia"/>
                      <w:kern w:val="0"/>
                      <w:szCs w:val="21"/>
                    </w:rPr>
                    <w:t>第一次</w:t>
                  </w:r>
                </w:p>
              </w:tc>
              <w:tc>
                <w:tcPr>
                  <w:tcW w:w="1275" w:type="dxa"/>
                  <w:tcBorders>
                    <w:left w:val="single" w:color="auto" w:sz="4" w:space="0"/>
                    <w:right w:val="single" w:color="auto" w:sz="4" w:space="0"/>
                  </w:tcBorders>
                  <w:vAlign w:val="center"/>
                </w:tcPr>
                <w:p w14:paraId="7FBD49C0">
                  <w:pPr>
                    <w:pStyle w:val="237"/>
                    <w:jc w:val="center"/>
                  </w:pPr>
                  <w:r>
                    <w:rPr>
                      <w:rFonts w:hint="eastAsia"/>
                    </w:rPr>
                    <w:t>1.15</w:t>
                  </w:r>
                </w:p>
              </w:tc>
              <w:tc>
                <w:tcPr>
                  <w:tcW w:w="1134" w:type="dxa"/>
                  <w:tcBorders>
                    <w:left w:val="single" w:color="auto" w:sz="4" w:space="0"/>
                    <w:right w:val="single" w:color="auto" w:sz="4" w:space="0"/>
                  </w:tcBorders>
                  <w:vAlign w:val="center"/>
                </w:tcPr>
                <w:p w14:paraId="65110EA3">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7BB29975">
                  <w:pPr>
                    <w:pStyle w:val="237"/>
                    <w:jc w:val="center"/>
                  </w:pPr>
                  <w:r>
                    <w:rPr>
                      <w:rFonts w:hint="eastAsia"/>
                    </w:rPr>
                    <w:t>0.242</w:t>
                  </w:r>
                </w:p>
              </w:tc>
              <w:tc>
                <w:tcPr>
                  <w:tcW w:w="1175" w:type="dxa"/>
                  <w:tcBorders>
                    <w:left w:val="single" w:color="auto" w:sz="4" w:space="0"/>
                    <w:right w:val="single" w:color="auto" w:sz="4" w:space="0"/>
                  </w:tcBorders>
                  <w:vAlign w:val="center"/>
                </w:tcPr>
                <w:p w14:paraId="3FB1BB58">
                  <w:pPr>
                    <w:pStyle w:val="237"/>
                    <w:jc w:val="center"/>
                  </w:pPr>
                  <w:r>
                    <w:rPr>
                      <w:rFonts w:hint="eastAsia" w:ascii="宋体" w:hAnsi="宋体"/>
                      <w:bCs/>
                      <w:szCs w:val="21"/>
                    </w:rPr>
                    <w:t>＜</w:t>
                  </w:r>
                  <w:r>
                    <w:rPr>
                      <w:rFonts w:hint="eastAsia" w:hAnsi="宋体"/>
                      <w:bCs/>
                      <w:szCs w:val="21"/>
                    </w:rPr>
                    <w:t>10</w:t>
                  </w:r>
                </w:p>
              </w:tc>
            </w:tr>
            <w:tr w14:paraId="0963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01D06815">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71EF8935">
                  <w:pPr>
                    <w:pStyle w:val="237"/>
                    <w:jc w:val="center"/>
                    <w:rPr>
                      <w:rFonts w:hAnsiTheme="minorEastAsia" w:eastAsiaTheme="minorEastAsia"/>
                      <w:kern w:val="0"/>
                      <w:szCs w:val="21"/>
                    </w:rPr>
                  </w:pPr>
                </w:p>
              </w:tc>
              <w:tc>
                <w:tcPr>
                  <w:tcW w:w="993" w:type="dxa"/>
                  <w:tcBorders>
                    <w:left w:val="single" w:color="auto" w:sz="4" w:space="0"/>
                    <w:right w:val="single" w:color="auto" w:sz="4" w:space="0"/>
                  </w:tcBorders>
                  <w:vAlign w:val="center"/>
                </w:tcPr>
                <w:p w14:paraId="50BA98C5">
                  <w:pPr>
                    <w:pStyle w:val="237"/>
                    <w:jc w:val="center"/>
                    <w:rPr>
                      <w:rFonts w:hAnsiTheme="minorEastAsia" w:eastAsiaTheme="minorEastAsia"/>
                      <w:kern w:val="0"/>
                      <w:szCs w:val="21"/>
                    </w:rPr>
                  </w:pPr>
                  <w:r>
                    <w:rPr>
                      <w:rFonts w:hint="eastAsia" w:hAnsiTheme="minorEastAsia" w:eastAsiaTheme="minorEastAsia"/>
                      <w:kern w:val="0"/>
                      <w:szCs w:val="21"/>
                    </w:rPr>
                    <w:t>第二次</w:t>
                  </w:r>
                </w:p>
              </w:tc>
              <w:tc>
                <w:tcPr>
                  <w:tcW w:w="1275" w:type="dxa"/>
                  <w:tcBorders>
                    <w:left w:val="single" w:color="auto" w:sz="4" w:space="0"/>
                    <w:right w:val="single" w:color="auto" w:sz="4" w:space="0"/>
                  </w:tcBorders>
                  <w:vAlign w:val="center"/>
                </w:tcPr>
                <w:p w14:paraId="52354EE7">
                  <w:pPr>
                    <w:pStyle w:val="237"/>
                    <w:jc w:val="center"/>
                  </w:pPr>
                  <w:r>
                    <w:rPr>
                      <w:rFonts w:hint="eastAsia"/>
                    </w:rPr>
                    <w:t>1.16</w:t>
                  </w:r>
                </w:p>
              </w:tc>
              <w:tc>
                <w:tcPr>
                  <w:tcW w:w="1134" w:type="dxa"/>
                  <w:tcBorders>
                    <w:left w:val="single" w:color="auto" w:sz="4" w:space="0"/>
                    <w:right w:val="single" w:color="auto" w:sz="4" w:space="0"/>
                  </w:tcBorders>
                  <w:vAlign w:val="center"/>
                </w:tcPr>
                <w:p w14:paraId="63AFEE8C">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5CDB6BC4">
                  <w:pPr>
                    <w:pStyle w:val="237"/>
                    <w:jc w:val="center"/>
                  </w:pPr>
                  <w:r>
                    <w:rPr>
                      <w:rFonts w:hint="eastAsia"/>
                    </w:rPr>
                    <w:t>0.200</w:t>
                  </w:r>
                </w:p>
              </w:tc>
              <w:tc>
                <w:tcPr>
                  <w:tcW w:w="1175" w:type="dxa"/>
                  <w:tcBorders>
                    <w:left w:val="single" w:color="auto" w:sz="4" w:space="0"/>
                    <w:right w:val="single" w:color="auto" w:sz="4" w:space="0"/>
                  </w:tcBorders>
                  <w:vAlign w:val="center"/>
                </w:tcPr>
                <w:p w14:paraId="77AED770">
                  <w:pPr>
                    <w:pStyle w:val="237"/>
                    <w:jc w:val="center"/>
                  </w:pPr>
                  <w:r>
                    <w:rPr>
                      <w:rFonts w:hint="eastAsia" w:ascii="宋体" w:hAnsi="宋体"/>
                      <w:bCs/>
                      <w:szCs w:val="21"/>
                    </w:rPr>
                    <w:t>＜</w:t>
                  </w:r>
                  <w:r>
                    <w:rPr>
                      <w:rFonts w:hint="eastAsia" w:hAnsi="宋体"/>
                      <w:bCs/>
                      <w:szCs w:val="21"/>
                    </w:rPr>
                    <w:t>10</w:t>
                  </w:r>
                </w:p>
              </w:tc>
            </w:tr>
            <w:tr w14:paraId="0319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9" w:type="dxa"/>
                  <w:vMerge w:val="continue"/>
                  <w:tcBorders>
                    <w:left w:val="single" w:color="auto" w:sz="4" w:space="0"/>
                  </w:tcBorders>
                  <w:vAlign w:val="center"/>
                </w:tcPr>
                <w:p w14:paraId="4EAF49DD">
                  <w:pPr>
                    <w:pStyle w:val="237"/>
                    <w:jc w:val="center"/>
                    <w:rPr>
                      <w:rFonts w:hAnsiTheme="minorEastAsia" w:eastAsiaTheme="minorEastAsia"/>
                      <w:kern w:val="0"/>
                      <w:szCs w:val="21"/>
                    </w:rPr>
                  </w:pPr>
                </w:p>
              </w:tc>
              <w:tc>
                <w:tcPr>
                  <w:tcW w:w="1559" w:type="dxa"/>
                  <w:vMerge w:val="continue"/>
                  <w:tcBorders>
                    <w:right w:val="single" w:color="auto" w:sz="4" w:space="0"/>
                  </w:tcBorders>
                  <w:vAlign w:val="center"/>
                </w:tcPr>
                <w:p w14:paraId="264BC44F">
                  <w:pPr>
                    <w:pStyle w:val="237"/>
                    <w:jc w:val="center"/>
                    <w:rPr>
                      <w:rFonts w:hAnsiTheme="minorEastAsia" w:eastAsiaTheme="minorEastAsia"/>
                      <w:kern w:val="0"/>
                      <w:szCs w:val="21"/>
                    </w:rPr>
                  </w:pPr>
                </w:p>
              </w:tc>
              <w:tc>
                <w:tcPr>
                  <w:tcW w:w="993" w:type="dxa"/>
                  <w:tcBorders>
                    <w:left w:val="single" w:color="auto" w:sz="4" w:space="0"/>
                    <w:right w:val="single" w:color="auto" w:sz="4" w:space="0"/>
                  </w:tcBorders>
                  <w:vAlign w:val="center"/>
                </w:tcPr>
                <w:p w14:paraId="24405148">
                  <w:pPr>
                    <w:pStyle w:val="237"/>
                    <w:jc w:val="center"/>
                    <w:rPr>
                      <w:rFonts w:hAnsiTheme="minorEastAsia" w:eastAsiaTheme="minorEastAsia"/>
                      <w:kern w:val="0"/>
                      <w:szCs w:val="21"/>
                    </w:rPr>
                  </w:pPr>
                  <w:r>
                    <w:rPr>
                      <w:rFonts w:hint="eastAsia" w:hAnsiTheme="minorEastAsia" w:eastAsiaTheme="minorEastAsia"/>
                      <w:kern w:val="0"/>
                      <w:szCs w:val="21"/>
                    </w:rPr>
                    <w:t>第三次</w:t>
                  </w:r>
                </w:p>
              </w:tc>
              <w:tc>
                <w:tcPr>
                  <w:tcW w:w="1275" w:type="dxa"/>
                  <w:tcBorders>
                    <w:left w:val="single" w:color="auto" w:sz="4" w:space="0"/>
                    <w:right w:val="single" w:color="auto" w:sz="4" w:space="0"/>
                  </w:tcBorders>
                  <w:vAlign w:val="center"/>
                </w:tcPr>
                <w:p w14:paraId="54A38368">
                  <w:pPr>
                    <w:pStyle w:val="237"/>
                    <w:jc w:val="center"/>
                  </w:pPr>
                  <w:r>
                    <w:rPr>
                      <w:rFonts w:hint="eastAsia"/>
                    </w:rPr>
                    <w:t>1.15</w:t>
                  </w:r>
                </w:p>
              </w:tc>
              <w:tc>
                <w:tcPr>
                  <w:tcW w:w="1134" w:type="dxa"/>
                  <w:tcBorders>
                    <w:left w:val="single" w:color="auto" w:sz="4" w:space="0"/>
                    <w:right w:val="single" w:color="auto" w:sz="4" w:space="0"/>
                  </w:tcBorders>
                  <w:vAlign w:val="center"/>
                </w:tcPr>
                <w:p w14:paraId="22FC4B49">
                  <w:pPr>
                    <w:pStyle w:val="237"/>
                    <w:jc w:val="center"/>
                  </w:pPr>
                  <w:r>
                    <w:rPr>
                      <w:rFonts w:hint="eastAsia"/>
                    </w:rPr>
                    <w:t>&lt;1.5</w:t>
                  </w:r>
                  <w:r>
                    <w:t>×</w:t>
                  </w:r>
                  <w:r>
                    <w:rPr>
                      <w:rFonts w:hint="eastAsia"/>
                    </w:rPr>
                    <w:t>10</w:t>
                  </w:r>
                  <w:r>
                    <w:rPr>
                      <w:rFonts w:hint="eastAsia"/>
                      <w:vertAlign w:val="superscript"/>
                    </w:rPr>
                    <w:t>-3</w:t>
                  </w:r>
                </w:p>
              </w:tc>
              <w:tc>
                <w:tcPr>
                  <w:tcW w:w="1560" w:type="dxa"/>
                  <w:tcBorders>
                    <w:left w:val="single" w:color="auto" w:sz="4" w:space="0"/>
                    <w:right w:val="single" w:color="auto" w:sz="4" w:space="0"/>
                  </w:tcBorders>
                  <w:vAlign w:val="center"/>
                </w:tcPr>
                <w:p w14:paraId="2CFE5A27">
                  <w:pPr>
                    <w:pStyle w:val="237"/>
                    <w:jc w:val="center"/>
                  </w:pPr>
                  <w:r>
                    <w:rPr>
                      <w:rFonts w:hint="eastAsia"/>
                    </w:rPr>
                    <w:t>0.192</w:t>
                  </w:r>
                </w:p>
              </w:tc>
              <w:tc>
                <w:tcPr>
                  <w:tcW w:w="1175" w:type="dxa"/>
                  <w:tcBorders>
                    <w:left w:val="single" w:color="auto" w:sz="4" w:space="0"/>
                    <w:right w:val="single" w:color="auto" w:sz="4" w:space="0"/>
                  </w:tcBorders>
                  <w:vAlign w:val="center"/>
                </w:tcPr>
                <w:p w14:paraId="43F538A9">
                  <w:pPr>
                    <w:pStyle w:val="237"/>
                    <w:jc w:val="center"/>
                  </w:pPr>
                  <w:r>
                    <w:rPr>
                      <w:rFonts w:hint="eastAsia" w:ascii="宋体" w:hAnsi="宋体"/>
                      <w:bCs/>
                      <w:szCs w:val="21"/>
                    </w:rPr>
                    <w:t>＜</w:t>
                  </w:r>
                  <w:r>
                    <w:rPr>
                      <w:rFonts w:hint="eastAsia" w:hAnsi="宋体"/>
                      <w:bCs/>
                      <w:szCs w:val="21"/>
                    </w:rPr>
                    <w:t>10</w:t>
                  </w:r>
                </w:p>
              </w:tc>
            </w:tr>
            <w:tr w14:paraId="253B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361" w:type="dxa"/>
                  <w:gridSpan w:val="3"/>
                  <w:tcBorders>
                    <w:left w:val="single" w:color="auto" w:sz="4" w:space="0"/>
                  </w:tcBorders>
                  <w:vAlign w:val="center"/>
                </w:tcPr>
                <w:p w14:paraId="77664D68">
                  <w:pPr>
                    <w:pStyle w:val="237"/>
                    <w:jc w:val="center"/>
                    <w:rPr>
                      <w:rFonts w:hAnsiTheme="minorEastAsia" w:eastAsiaTheme="minorEastAsia"/>
                      <w:kern w:val="0"/>
                      <w:szCs w:val="21"/>
                    </w:rPr>
                  </w:pPr>
                  <w:r>
                    <w:rPr>
                      <w:rFonts w:hAnsiTheme="minorEastAsia" w:eastAsiaTheme="minorEastAsia"/>
                      <w:kern w:val="0"/>
                      <w:szCs w:val="21"/>
                    </w:rPr>
                    <w:t>周界外浓度最高</w:t>
                  </w:r>
                  <w:r>
                    <w:rPr>
                      <w:rFonts w:hint="eastAsia" w:hAnsiTheme="minorEastAsia" w:eastAsiaTheme="minorEastAsia"/>
                      <w:kern w:val="0"/>
                      <w:szCs w:val="21"/>
                    </w:rPr>
                    <w:t>值</w:t>
                  </w:r>
                </w:p>
              </w:tc>
              <w:tc>
                <w:tcPr>
                  <w:tcW w:w="1275" w:type="dxa"/>
                  <w:tcBorders>
                    <w:right w:val="nil"/>
                  </w:tcBorders>
                  <w:vAlign w:val="center"/>
                </w:tcPr>
                <w:p w14:paraId="2DF3760F">
                  <w:pPr>
                    <w:pStyle w:val="237"/>
                    <w:jc w:val="center"/>
                    <w:rPr>
                      <w:rFonts w:hAnsiTheme="minorEastAsia" w:eastAsiaTheme="minorEastAsia"/>
                      <w:kern w:val="0"/>
                      <w:szCs w:val="21"/>
                    </w:rPr>
                  </w:pPr>
                  <w:r>
                    <w:rPr>
                      <w:rFonts w:hint="eastAsia" w:hAnsiTheme="minorEastAsia" w:eastAsiaTheme="minorEastAsia"/>
                      <w:kern w:val="0"/>
                      <w:szCs w:val="21"/>
                    </w:rPr>
                    <w:t>1.20</w:t>
                  </w:r>
                </w:p>
              </w:tc>
              <w:tc>
                <w:tcPr>
                  <w:tcW w:w="1134" w:type="dxa"/>
                  <w:tcBorders>
                    <w:right w:val="nil"/>
                  </w:tcBorders>
                  <w:vAlign w:val="center"/>
                </w:tcPr>
                <w:p w14:paraId="032ADB91">
                  <w:pPr>
                    <w:pStyle w:val="237"/>
                    <w:jc w:val="center"/>
                    <w:rPr>
                      <w:rFonts w:hAnsiTheme="minorEastAsia" w:eastAsiaTheme="minorEastAsia"/>
                      <w:kern w:val="0"/>
                      <w:szCs w:val="21"/>
                    </w:rPr>
                  </w:pPr>
                  <w:r>
                    <w:rPr>
                      <w:rFonts w:hint="eastAsia"/>
                    </w:rPr>
                    <w:t>&lt;1.5</w:t>
                  </w:r>
                  <w:r>
                    <w:t>×</w:t>
                  </w:r>
                  <w:r>
                    <w:rPr>
                      <w:rFonts w:hint="eastAsia"/>
                    </w:rPr>
                    <w:t>10</w:t>
                  </w:r>
                  <w:r>
                    <w:rPr>
                      <w:rFonts w:hint="eastAsia"/>
                      <w:vertAlign w:val="superscript"/>
                    </w:rPr>
                    <w:t>-3</w:t>
                  </w:r>
                </w:p>
              </w:tc>
              <w:tc>
                <w:tcPr>
                  <w:tcW w:w="1560" w:type="dxa"/>
                  <w:tcBorders>
                    <w:right w:val="single" w:color="auto" w:sz="4" w:space="0"/>
                  </w:tcBorders>
                  <w:vAlign w:val="center"/>
                </w:tcPr>
                <w:p w14:paraId="16D30B54">
                  <w:pPr>
                    <w:pStyle w:val="237"/>
                    <w:jc w:val="center"/>
                    <w:rPr>
                      <w:rFonts w:hAnsiTheme="minorEastAsia" w:eastAsiaTheme="minorEastAsia"/>
                      <w:kern w:val="0"/>
                      <w:szCs w:val="21"/>
                    </w:rPr>
                  </w:pPr>
                  <w:r>
                    <w:rPr>
                      <w:rFonts w:hint="eastAsia"/>
                    </w:rPr>
                    <w:t>0.242</w:t>
                  </w:r>
                </w:p>
              </w:tc>
              <w:tc>
                <w:tcPr>
                  <w:tcW w:w="1175" w:type="dxa"/>
                  <w:tcBorders>
                    <w:right w:val="single" w:color="auto" w:sz="4" w:space="0"/>
                  </w:tcBorders>
                  <w:vAlign w:val="center"/>
                </w:tcPr>
                <w:p w14:paraId="04052782">
                  <w:pPr>
                    <w:pStyle w:val="237"/>
                    <w:jc w:val="center"/>
                    <w:rPr>
                      <w:rFonts w:hAnsiTheme="minorEastAsia" w:eastAsiaTheme="minorEastAsia"/>
                      <w:kern w:val="0"/>
                      <w:szCs w:val="21"/>
                    </w:rPr>
                  </w:pPr>
                  <w:r>
                    <w:rPr>
                      <w:rFonts w:hint="eastAsia" w:ascii="宋体" w:hAnsi="宋体"/>
                      <w:bCs/>
                      <w:szCs w:val="21"/>
                    </w:rPr>
                    <w:t>＜</w:t>
                  </w:r>
                  <w:r>
                    <w:rPr>
                      <w:rFonts w:hint="eastAsia" w:hAnsi="宋体"/>
                      <w:bCs/>
                      <w:szCs w:val="21"/>
                    </w:rPr>
                    <w:t>10</w:t>
                  </w:r>
                </w:p>
              </w:tc>
            </w:tr>
          </w:tbl>
          <w:p w14:paraId="601AEB8A">
            <w:pPr>
              <w:spacing w:line="440" w:lineRule="exact"/>
              <w:ind w:firstLine="420"/>
              <w:jc w:val="left"/>
              <w:rPr>
                <w:rFonts w:hint="eastAsia" w:eastAsiaTheme="minorEastAsia"/>
                <w:color w:val="auto"/>
                <w:sz w:val="24"/>
                <w:szCs w:val="32"/>
                <w:lang w:eastAsia="zh-CN"/>
              </w:rPr>
            </w:pPr>
            <w:r>
              <w:rPr>
                <w:rFonts w:hint="eastAsia"/>
                <w:color w:val="auto"/>
                <w:sz w:val="24"/>
                <w:szCs w:val="32"/>
              </w:rPr>
              <w:t xml:space="preserve"> 监测结果显示：现有</w:t>
            </w:r>
            <w:r>
              <w:rPr>
                <w:color w:val="auto"/>
                <w:sz w:val="24"/>
              </w:rPr>
              <w:t>项目</w:t>
            </w:r>
            <w:r>
              <w:rPr>
                <w:rFonts w:hint="eastAsia"/>
                <w:color w:val="auto"/>
                <w:sz w:val="24"/>
              </w:rPr>
              <w:t>厂界</w:t>
            </w:r>
            <w:r>
              <w:rPr>
                <w:rFonts w:hint="eastAsia"/>
                <w:color w:val="auto"/>
                <w:sz w:val="24"/>
                <w:lang w:eastAsia="zh-CN"/>
              </w:rPr>
              <w:t>总悬浮颗粒物</w:t>
            </w:r>
            <w:r>
              <w:rPr>
                <w:rFonts w:hint="eastAsia"/>
                <w:color w:val="auto"/>
                <w:sz w:val="24"/>
              </w:rPr>
              <w:t>无组织</w:t>
            </w:r>
            <w:r>
              <w:rPr>
                <w:rFonts w:hint="eastAsia"/>
                <w:color w:val="auto"/>
                <w:sz w:val="24"/>
                <w:lang w:eastAsia="zh-CN"/>
              </w:rPr>
              <w:t>监测值</w:t>
            </w:r>
            <w:r>
              <w:rPr>
                <w:rFonts w:hint="eastAsia"/>
                <w:color w:val="auto"/>
                <w:sz w:val="24"/>
              </w:rPr>
              <w:t>符合</w:t>
            </w:r>
            <w:r>
              <w:rPr>
                <w:color w:val="auto"/>
                <w:sz w:val="24"/>
              </w:rPr>
              <w:t>《大气污染物综合排放标准》（GB16297-1996）中规定的“新污染源、二级标准”</w:t>
            </w:r>
            <w:r>
              <w:rPr>
                <w:rFonts w:hint="eastAsia"/>
                <w:color w:val="auto"/>
                <w:sz w:val="24"/>
                <w:lang w:eastAsia="zh-CN"/>
              </w:rPr>
              <w:t>，</w:t>
            </w:r>
            <w:r>
              <w:rPr>
                <w:rStyle w:val="271"/>
                <w:rFonts w:hint="eastAsia" w:ascii="Times New Roman" w:cs="Times New Roman" w:hAnsiTheme="minorEastAsia" w:eastAsiaTheme="minorEastAsia"/>
                <w:color w:val="auto"/>
                <w:sz w:val="24"/>
                <w:szCs w:val="24"/>
              </w:rPr>
              <w:t>非甲烷总烃、苯乙烯</w:t>
            </w:r>
            <w:r>
              <w:rPr>
                <w:rStyle w:val="271"/>
                <w:rFonts w:ascii="Times New Roman" w:cs="Times New Roman" w:hAnsiTheme="minorEastAsia" w:eastAsiaTheme="minorEastAsia"/>
                <w:color w:val="auto"/>
                <w:sz w:val="24"/>
                <w:szCs w:val="24"/>
              </w:rPr>
              <w:t>监测值</w:t>
            </w:r>
            <w:r>
              <w:rPr>
                <w:rStyle w:val="271"/>
                <w:rFonts w:hint="eastAsia" w:ascii="Times New Roman" w:cs="Times New Roman" w:hAnsiTheme="minorEastAsia" w:eastAsiaTheme="minorEastAsia"/>
                <w:color w:val="auto"/>
                <w:sz w:val="24"/>
                <w:szCs w:val="24"/>
                <w:lang w:eastAsia="zh-CN"/>
              </w:rPr>
              <w:t>符合</w:t>
            </w:r>
            <w:r>
              <w:rPr>
                <w:rFonts w:ascii="Times New Roman" w:hAnsiTheme="minorEastAsia" w:eastAsiaTheme="minorEastAsia"/>
                <w:sz w:val="24"/>
                <w:szCs w:val="24"/>
              </w:rPr>
              <w:t>《合成树脂工业污染物排放标准》（GB31572-2015）</w:t>
            </w:r>
            <w:r>
              <w:rPr>
                <w:rStyle w:val="271"/>
                <w:rFonts w:ascii="Times New Roman" w:cs="Times New Roman" w:hAnsiTheme="minorEastAsia" w:eastAsiaTheme="minorEastAsia"/>
                <w:bCs/>
                <w:color w:val="auto"/>
                <w:sz w:val="24"/>
                <w:szCs w:val="24"/>
              </w:rPr>
              <w:t>的限值标准</w:t>
            </w:r>
            <w:r>
              <w:rPr>
                <w:rStyle w:val="271"/>
                <w:rFonts w:hint="eastAsia" w:ascii="Times New Roman" w:cs="Times New Roman" w:hAnsiTheme="minorEastAsia" w:eastAsiaTheme="minorEastAsia"/>
                <w:bCs/>
                <w:color w:val="auto"/>
                <w:sz w:val="24"/>
                <w:szCs w:val="24"/>
                <w:lang w:eastAsia="zh-CN"/>
              </w:rPr>
              <w:t>，</w:t>
            </w:r>
            <w:r>
              <w:rPr>
                <w:rStyle w:val="271"/>
                <w:rFonts w:hint="eastAsia" w:ascii="Times New Roman" w:cs="Times New Roman" w:hAnsiTheme="minorEastAsia" w:eastAsiaTheme="minorEastAsia"/>
                <w:color w:val="auto"/>
                <w:sz w:val="24"/>
                <w:szCs w:val="24"/>
              </w:rPr>
              <w:t>臭气浓度监测值符合</w:t>
            </w:r>
            <w:r>
              <w:rPr>
                <w:rStyle w:val="271"/>
                <w:rFonts w:ascii="Times New Roman" w:cs="Times New Roman" w:hAnsiTheme="minorEastAsia" w:eastAsiaTheme="minorEastAsia"/>
                <w:color w:val="auto"/>
                <w:sz w:val="24"/>
                <w:szCs w:val="24"/>
              </w:rPr>
              <w:t>《恶臭污染物排放标准》（GB14554-93）的二级标准</w:t>
            </w:r>
            <w:r>
              <w:rPr>
                <w:rStyle w:val="271"/>
                <w:rFonts w:hint="eastAsia" w:ascii="Times New Roman" w:cs="Times New Roman" w:hAnsiTheme="minorEastAsia" w:eastAsiaTheme="minorEastAsia"/>
                <w:color w:val="auto"/>
                <w:sz w:val="24"/>
                <w:szCs w:val="24"/>
                <w:lang w:eastAsia="zh-CN"/>
              </w:rPr>
              <w:t>。</w:t>
            </w:r>
          </w:p>
          <w:p w14:paraId="6E92C931">
            <w:pPr>
              <w:spacing w:line="440" w:lineRule="exact"/>
              <w:jc w:val="center"/>
              <w:rPr>
                <w:rFonts w:hint="eastAsia" w:ascii="Times New Roman" w:hAnsi="Times New Roman" w:eastAsia="宋体" w:cs="Times New Roman"/>
                <w:b/>
                <w:color w:val="auto"/>
                <w:szCs w:val="21"/>
              </w:rPr>
            </w:pPr>
            <w:r>
              <w:rPr>
                <w:rFonts w:hint="eastAsia" w:ascii="Times New Roman" w:hAnsi="Times New Roman" w:eastAsia="宋体" w:cs="Times New Roman"/>
                <w:b/>
                <w:color w:val="auto"/>
                <w:szCs w:val="21"/>
              </w:rPr>
              <w:t>表</w:t>
            </w:r>
            <w:r>
              <w:rPr>
                <w:rFonts w:hint="eastAsia" w:ascii="Times New Roman" w:hAnsi="Times New Roman" w:eastAsia="宋体" w:cs="Times New Roman"/>
                <w:b/>
                <w:color w:val="auto"/>
                <w:szCs w:val="21"/>
                <w:lang w:val="en-US" w:eastAsia="zh-CN"/>
              </w:rPr>
              <w:t>2</w:t>
            </w:r>
            <w:r>
              <w:rPr>
                <w:rFonts w:hint="eastAsia" w:ascii="Times New Roman" w:hAnsi="Times New Roman" w:eastAsia="宋体" w:cs="Times New Roman"/>
                <w:b/>
                <w:color w:val="auto"/>
                <w:szCs w:val="21"/>
              </w:rPr>
              <w:t>-</w:t>
            </w:r>
            <w:r>
              <w:rPr>
                <w:rFonts w:hint="eastAsia" w:ascii="Times New Roman" w:hAnsi="Times New Roman" w:eastAsia="宋体" w:cs="Times New Roman"/>
                <w:b/>
                <w:color w:val="auto"/>
                <w:szCs w:val="21"/>
                <w:lang w:val="en-US" w:eastAsia="zh-CN"/>
              </w:rPr>
              <w:t>13</w:t>
            </w:r>
            <w:r>
              <w:rPr>
                <w:rFonts w:hint="eastAsia" w:ascii="Times New Roman" w:hAnsi="Times New Roman" w:eastAsia="宋体" w:cs="Times New Roman"/>
                <w:b/>
                <w:color w:val="auto"/>
                <w:szCs w:val="21"/>
              </w:rPr>
              <w:t xml:space="preserve">  有组织废气检测结果</w:t>
            </w:r>
          </w:p>
          <w:p w14:paraId="6BC2781E">
            <w:pPr>
              <w:rPr>
                <w:rFonts w:hAnsi="宋体"/>
                <w:color w:val="auto"/>
                <w:sz w:val="24"/>
              </w:rPr>
            </w:pPr>
          </w:p>
          <w:tbl>
            <w:tblPr>
              <w:tblStyle w:val="3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596"/>
              <w:gridCol w:w="1438"/>
              <w:gridCol w:w="1759"/>
              <w:gridCol w:w="1439"/>
              <w:gridCol w:w="1397"/>
            </w:tblGrid>
            <w:tr w14:paraId="62EB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restart"/>
                  <w:vAlign w:val="center"/>
                </w:tcPr>
                <w:p w14:paraId="43B10AD0">
                  <w:pPr>
                    <w:pStyle w:val="237"/>
                    <w:jc w:val="center"/>
                    <w:rPr>
                      <w:rFonts w:eastAsiaTheme="minorEastAsia"/>
                      <w:b/>
                      <w:szCs w:val="21"/>
                    </w:rPr>
                  </w:pPr>
                  <w:r>
                    <w:rPr>
                      <w:rFonts w:hAnsiTheme="minorEastAsia" w:eastAsiaTheme="minorEastAsia"/>
                      <w:b/>
                      <w:szCs w:val="21"/>
                    </w:rPr>
                    <w:t>采样时间</w:t>
                  </w:r>
                </w:p>
              </w:tc>
              <w:tc>
                <w:tcPr>
                  <w:tcW w:w="1596" w:type="dxa"/>
                  <w:vMerge w:val="restart"/>
                  <w:vAlign w:val="center"/>
                </w:tcPr>
                <w:p w14:paraId="3EFB7E03">
                  <w:pPr>
                    <w:pStyle w:val="237"/>
                    <w:jc w:val="center"/>
                    <w:rPr>
                      <w:rFonts w:eastAsiaTheme="minorEastAsia"/>
                      <w:b/>
                      <w:szCs w:val="21"/>
                    </w:rPr>
                  </w:pPr>
                  <w:r>
                    <w:rPr>
                      <w:rFonts w:hAnsiTheme="minorEastAsia" w:eastAsiaTheme="minorEastAsia"/>
                      <w:b/>
                      <w:szCs w:val="21"/>
                    </w:rPr>
                    <w:t>检测项目</w:t>
                  </w:r>
                </w:p>
              </w:tc>
              <w:tc>
                <w:tcPr>
                  <w:tcW w:w="1438" w:type="dxa"/>
                  <w:vMerge w:val="restart"/>
                  <w:vAlign w:val="center"/>
                </w:tcPr>
                <w:p w14:paraId="273F9490">
                  <w:pPr>
                    <w:pStyle w:val="237"/>
                    <w:jc w:val="center"/>
                    <w:rPr>
                      <w:rFonts w:eastAsiaTheme="minorEastAsia"/>
                      <w:b/>
                      <w:szCs w:val="21"/>
                    </w:rPr>
                  </w:pPr>
                  <w:r>
                    <w:rPr>
                      <w:rFonts w:hAnsiTheme="minorEastAsia" w:eastAsiaTheme="minorEastAsia"/>
                      <w:b/>
                      <w:szCs w:val="21"/>
                    </w:rPr>
                    <w:t>采样点位</w:t>
                  </w:r>
                </w:p>
              </w:tc>
              <w:tc>
                <w:tcPr>
                  <w:tcW w:w="4595" w:type="dxa"/>
                  <w:gridSpan w:val="3"/>
                  <w:vAlign w:val="center"/>
                </w:tcPr>
                <w:p w14:paraId="4813CC08">
                  <w:pPr>
                    <w:pStyle w:val="237"/>
                    <w:jc w:val="center"/>
                    <w:rPr>
                      <w:rFonts w:eastAsiaTheme="minorEastAsia"/>
                      <w:b/>
                      <w:szCs w:val="21"/>
                    </w:rPr>
                  </w:pPr>
                  <w:r>
                    <w:rPr>
                      <w:rFonts w:hAnsiTheme="minorEastAsia" w:eastAsiaTheme="minorEastAsia"/>
                      <w:b/>
                      <w:szCs w:val="21"/>
                    </w:rPr>
                    <w:t>检测结果</w:t>
                  </w:r>
                </w:p>
              </w:tc>
            </w:tr>
            <w:tr w14:paraId="2024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002B16A8">
                  <w:pPr>
                    <w:pStyle w:val="237"/>
                    <w:jc w:val="center"/>
                    <w:rPr>
                      <w:rFonts w:eastAsiaTheme="minorEastAsia"/>
                      <w:b/>
                      <w:szCs w:val="21"/>
                    </w:rPr>
                  </w:pPr>
                </w:p>
              </w:tc>
              <w:tc>
                <w:tcPr>
                  <w:tcW w:w="1596" w:type="dxa"/>
                  <w:vMerge w:val="continue"/>
                  <w:vAlign w:val="center"/>
                </w:tcPr>
                <w:p w14:paraId="757DD4E0">
                  <w:pPr>
                    <w:pStyle w:val="237"/>
                    <w:jc w:val="center"/>
                    <w:rPr>
                      <w:rFonts w:eastAsiaTheme="minorEastAsia"/>
                      <w:b/>
                      <w:szCs w:val="21"/>
                    </w:rPr>
                  </w:pPr>
                </w:p>
              </w:tc>
              <w:tc>
                <w:tcPr>
                  <w:tcW w:w="1438" w:type="dxa"/>
                  <w:vMerge w:val="continue"/>
                  <w:vAlign w:val="center"/>
                </w:tcPr>
                <w:p w14:paraId="3F1457F8">
                  <w:pPr>
                    <w:pStyle w:val="237"/>
                    <w:jc w:val="center"/>
                    <w:rPr>
                      <w:rFonts w:eastAsiaTheme="minorEastAsia"/>
                      <w:b/>
                      <w:szCs w:val="21"/>
                    </w:rPr>
                  </w:pPr>
                </w:p>
              </w:tc>
              <w:tc>
                <w:tcPr>
                  <w:tcW w:w="1759" w:type="dxa"/>
                  <w:vAlign w:val="center"/>
                </w:tcPr>
                <w:p w14:paraId="4F916ABA">
                  <w:pPr>
                    <w:pStyle w:val="237"/>
                    <w:jc w:val="center"/>
                    <w:rPr>
                      <w:rFonts w:eastAsiaTheme="minorEastAsia"/>
                      <w:b/>
                      <w:szCs w:val="21"/>
                    </w:rPr>
                  </w:pPr>
                  <w:r>
                    <w:rPr>
                      <w:rFonts w:hAnsiTheme="minorEastAsia" w:eastAsiaTheme="minorEastAsia"/>
                      <w:b/>
                      <w:szCs w:val="21"/>
                    </w:rPr>
                    <w:t>烟气参数</w:t>
                  </w:r>
                  <w:r>
                    <w:rPr>
                      <w:rFonts w:eastAsiaTheme="minorEastAsia"/>
                      <w:b/>
                      <w:szCs w:val="21"/>
                    </w:rPr>
                    <w:t xml:space="preserve">  </w:t>
                  </w:r>
                </w:p>
              </w:tc>
              <w:tc>
                <w:tcPr>
                  <w:tcW w:w="1439" w:type="dxa"/>
                  <w:vMerge w:val="restart"/>
                  <w:vAlign w:val="center"/>
                </w:tcPr>
                <w:p w14:paraId="69AB09DD">
                  <w:pPr>
                    <w:pStyle w:val="237"/>
                    <w:jc w:val="center"/>
                    <w:rPr>
                      <w:rFonts w:eastAsiaTheme="minorEastAsia"/>
                      <w:b/>
                      <w:szCs w:val="21"/>
                    </w:rPr>
                  </w:pPr>
                  <w:r>
                    <w:rPr>
                      <w:rFonts w:hAnsiTheme="minorEastAsia" w:eastAsiaTheme="minorEastAsia"/>
                      <w:b/>
                      <w:szCs w:val="21"/>
                    </w:rPr>
                    <w:t>排放浓度（</w:t>
                  </w:r>
                  <w:r>
                    <w:rPr>
                      <w:rFonts w:eastAsiaTheme="minorEastAsia"/>
                      <w:b/>
                      <w:szCs w:val="21"/>
                    </w:rPr>
                    <w:t>mg/m</w:t>
                  </w:r>
                  <w:r>
                    <w:rPr>
                      <w:rFonts w:eastAsiaTheme="minorEastAsia"/>
                      <w:b/>
                      <w:szCs w:val="21"/>
                      <w:vertAlign w:val="superscript"/>
                    </w:rPr>
                    <w:t>3</w:t>
                  </w:r>
                  <w:r>
                    <w:rPr>
                      <w:rFonts w:hAnsiTheme="minorEastAsia" w:eastAsiaTheme="minorEastAsia"/>
                      <w:b/>
                      <w:szCs w:val="21"/>
                    </w:rPr>
                    <w:t>）</w:t>
                  </w:r>
                </w:p>
              </w:tc>
              <w:tc>
                <w:tcPr>
                  <w:tcW w:w="1397" w:type="dxa"/>
                  <w:vMerge w:val="restart"/>
                  <w:vAlign w:val="center"/>
                </w:tcPr>
                <w:p w14:paraId="6B7B3979">
                  <w:pPr>
                    <w:pStyle w:val="237"/>
                    <w:jc w:val="center"/>
                    <w:rPr>
                      <w:rFonts w:eastAsiaTheme="minorEastAsia"/>
                      <w:b/>
                      <w:szCs w:val="21"/>
                    </w:rPr>
                  </w:pPr>
                  <w:r>
                    <w:rPr>
                      <w:rFonts w:hAnsiTheme="minorEastAsia" w:eastAsiaTheme="minorEastAsia"/>
                      <w:b/>
                      <w:szCs w:val="21"/>
                    </w:rPr>
                    <w:t>排放速率</w:t>
                  </w:r>
                </w:p>
                <w:p w14:paraId="7EFDCCD3">
                  <w:pPr>
                    <w:pStyle w:val="237"/>
                    <w:jc w:val="center"/>
                    <w:rPr>
                      <w:rFonts w:eastAsiaTheme="minorEastAsia"/>
                      <w:b/>
                      <w:szCs w:val="21"/>
                    </w:rPr>
                  </w:pPr>
                  <w:r>
                    <w:rPr>
                      <w:rFonts w:hAnsiTheme="minorEastAsia" w:eastAsiaTheme="minorEastAsia"/>
                      <w:b/>
                      <w:szCs w:val="21"/>
                    </w:rPr>
                    <w:t>（</w:t>
                  </w:r>
                  <w:r>
                    <w:rPr>
                      <w:rFonts w:eastAsiaTheme="minorEastAsia"/>
                      <w:b/>
                      <w:szCs w:val="21"/>
                    </w:rPr>
                    <w:t>kg/h</w:t>
                  </w:r>
                  <w:r>
                    <w:rPr>
                      <w:rFonts w:hAnsiTheme="minorEastAsia" w:eastAsiaTheme="minorEastAsia"/>
                      <w:b/>
                      <w:szCs w:val="21"/>
                    </w:rPr>
                    <w:t>）</w:t>
                  </w:r>
                </w:p>
              </w:tc>
            </w:tr>
            <w:tr w14:paraId="0ACE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50E2C57F">
                  <w:pPr>
                    <w:pStyle w:val="237"/>
                    <w:jc w:val="center"/>
                    <w:rPr>
                      <w:rFonts w:eastAsiaTheme="minorEastAsia"/>
                      <w:b/>
                      <w:szCs w:val="21"/>
                    </w:rPr>
                  </w:pPr>
                </w:p>
              </w:tc>
              <w:tc>
                <w:tcPr>
                  <w:tcW w:w="1596" w:type="dxa"/>
                  <w:vMerge w:val="continue"/>
                  <w:vAlign w:val="center"/>
                </w:tcPr>
                <w:p w14:paraId="065348A0">
                  <w:pPr>
                    <w:pStyle w:val="237"/>
                    <w:jc w:val="center"/>
                    <w:rPr>
                      <w:rFonts w:eastAsiaTheme="minorEastAsia"/>
                      <w:b/>
                      <w:szCs w:val="21"/>
                    </w:rPr>
                  </w:pPr>
                </w:p>
              </w:tc>
              <w:tc>
                <w:tcPr>
                  <w:tcW w:w="1438" w:type="dxa"/>
                  <w:vMerge w:val="continue"/>
                  <w:vAlign w:val="center"/>
                </w:tcPr>
                <w:p w14:paraId="04AB0A1D">
                  <w:pPr>
                    <w:pStyle w:val="237"/>
                    <w:jc w:val="center"/>
                    <w:rPr>
                      <w:rFonts w:eastAsiaTheme="minorEastAsia"/>
                      <w:b/>
                      <w:szCs w:val="21"/>
                    </w:rPr>
                  </w:pPr>
                </w:p>
              </w:tc>
              <w:tc>
                <w:tcPr>
                  <w:tcW w:w="1759" w:type="dxa"/>
                  <w:vAlign w:val="center"/>
                </w:tcPr>
                <w:p w14:paraId="5A606328">
                  <w:pPr>
                    <w:pStyle w:val="237"/>
                    <w:jc w:val="center"/>
                    <w:rPr>
                      <w:rFonts w:eastAsiaTheme="minorEastAsia"/>
                      <w:b/>
                      <w:szCs w:val="21"/>
                    </w:rPr>
                  </w:pPr>
                  <w:r>
                    <w:rPr>
                      <w:rFonts w:hAnsiTheme="minorEastAsia" w:eastAsiaTheme="minorEastAsia"/>
                      <w:b/>
                      <w:szCs w:val="21"/>
                    </w:rPr>
                    <w:t>标态干烟气量（</w:t>
                  </w:r>
                  <w:r>
                    <w:rPr>
                      <w:rFonts w:eastAsiaTheme="minorEastAsia"/>
                      <w:b/>
                      <w:szCs w:val="21"/>
                    </w:rPr>
                    <w:t>Nm</w:t>
                  </w:r>
                  <w:r>
                    <w:rPr>
                      <w:rFonts w:eastAsiaTheme="minorEastAsia"/>
                      <w:b/>
                      <w:szCs w:val="21"/>
                      <w:vertAlign w:val="superscript"/>
                    </w:rPr>
                    <w:t>3</w:t>
                  </w:r>
                  <w:r>
                    <w:rPr>
                      <w:rFonts w:eastAsiaTheme="minorEastAsia"/>
                      <w:b/>
                      <w:szCs w:val="21"/>
                    </w:rPr>
                    <w:t>/h)</w:t>
                  </w:r>
                </w:p>
              </w:tc>
              <w:tc>
                <w:tcPr>
                  <w:tcW w:w="1439" w:type="dxa"/>
                  <w:vMerge w:val="continue"/>
                  <w:vAlign w:val="center"/>
                </w:tcPr>
                <w:p w14:paraId="3D3622BC">
                  <w:pPr>
                    <w:pStyle w:val="237"/>
                    <w:jc w:val="center"/>
                    <w:rPr>
                      <w:rFonts w:eastAsiaTheme="minorEastAsia"/>
                      <w:b/>
                      <w:szCs w:val="21"/>
                    </w:rPr>
                  </w:pPr>
                </w:p>
              </w:tc>
              <w:tc>
                <w:tcPr>
                  <w:tcW w:w="1397" w:type="dxa"/>
                  <w:vMerge w:val="continue"/>
                  <w:vAlign w:val="center"/>
                </w:tcPr>
                <w:p w14:paraId="01B69BAE">
                  <w:pPr>
                    <w:pStyle w:val="237"/>
                    <w:jc w:val="center"/>
                    <w:rPr>
                      <w:rFonts w:eastAsiaTheme="minorEastAsia"/>
                      <w:b/>
                      <w:szCs w:val="21"/>
                    </w:rPr>
                  </w:pPr>
                </w:p>
              </w:tc>
            </w:tr>
            <w:tr w14:paraId="7DB2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restart"/>
                  <w:vAlign w:val="center"/>
                </w:tcPr>
                <w:p w14:paraId="627BB062">
                  <w:pPr>
                    <w:pStyle w:val="237"/>
                    <w:jc w:val="center"/>
                    <w:rPr>
                      <w:rFonts w:eastAsiaTheme="minorEastAsia"/>
                      <w:b/>
                      <w:szCs w:val="21"/>
                    </w:rPr>
                  </w:pPr>
                  <w:r>
                    <w:rPr>
                      <w:rFonts w:eastAsiaTheme="minorEastAsia"/>
                      <w:szCs w:val="21"/>
                    </w:rPr>
                    <w:t>20</w:t>
                  </w:r>
                  <w:r>
                    <w:rPr>
                      <w:rFonts w:hint="eastAsia" w:eastAsiaTheme="minorEastAsia"/>
                      <w:szCs w:val="21"/>
                    </w:rPr>
                    <w:t>20</w:t>
                  </w:r>
                  <w:r>
                    <w:rPr>
                      <w:rFonts w:eastAsiaTheme="minorEastAsia"/>
                      <w:szCs w:val="21"/>
                    </w:rPr>
                    <w:t>.</w:t>
                  </w:r>
                  <w:r>
                    <w:rPr>
                      <w:rFonts w:hint="eastAsia" w:eastAsiaTheme="minorEastAsia"/>
                      <w:szCs w:val="21"/>
                    </w:rPr>
                    <w:t>09</w:t>
                  </w:r>
                  <w:r>
                    <w:rPr>
                      <w:rFonts w:eastAsiaTheme="minorEastAsia"/>
                      <w:szCs w:val="21"/>
                    </w:rPr>
                    <w:t>.</w:t>
                  </w:r>
                  <w:r>
                    <w:rPr>
                      <w:rFonts w:hint="eastAsia" w:eastAsiaTheme="minorEastAsia"/>
                      <w:szCs w:val="21"/>
                    </w:rPr>
                    <w:t>02</w:t>
                  </w:r>
                </w:p>
              </w:tc>
              <w:tc>
                <w:tcPr>
                  <w:tcW w:w="1596" w:type="dxa"/>
                  <w:vMerge w:val="restart"/>
                  <w:vAlign w:val="center"/>
                </w:tcPr>
                <w:p w14:paraId="589B851D">
                  <w:pPr>
                    <w:pStyle w:val="237"/>
                    <w:jc w:val="center"/>
                    <w:rPr>
                      <w:rFonts w:eastAsiaTheme="minorEastAsia"/>
                      <w:szCs w:val="21"/>
                    </w:rPr>
                  </w:pPr>
                  <w:r>
                    <w:rPr>
                      <w:rFonts w:hint="eastAsia" w:eastAsiaTheme="minorEastAsia"/>
                      <w:szCs w:val="21"/>
                    </w:rPr>
                    <w:t>烟（粉）尘</w:t>
                  </w:r>
                </w:p>
              </w:tc>
              <w:tc>
                <w:tcPr>
                  <w:tcW w:w="1438" w:type="dxa"/>
                  <w:vMerge w:val="restart"/>
                  <w:vAlign w:val="center"/>
                </w:tcPr>
                <w:p w14:paraId="2C02C9C0">
                  <w:pPr>
                    <w:pStyle w:val="237"/>
                    <w:jc w:val="center"/>
                    <w:rPr>
                      <w:rFonts w:eastAsiaTheme="minorEastAsia"/>
                      <w:b/>
                      <w:szCs w:val="21"/>
                    </w:rPr>
                  </w:pPr>
                  <w:r>
                    <w:rPr>
                      <w:rFonts w:hint="eastAsia"/>
                    </w:rPr>
                    <w:t>滤芯除尘装置出口1#</w:t>
                  </w:r>
                </w:p>
              </w:tc>
              <w:tc>
                <w:tcPr>
                  <w:tcW w:w="1759" w:type="dxa"/>
                  <w:vAlign w:val="center"/>
                </w:tcPr>
                <w:p w14:paraId="456BAE34">
                  <w:pPr>
                    <w:pStyle w:val="237"/>
                    <w:jc w:val="center"/>
                  </w:pPr>
                  <w:r>
                    <w:rPr>
                      <w:rFonts w:hint="eastAsia"/>
                    </w:rPr>
                    <w:t>1717</w:t>
                  </w:r>
                </w:p>
              </w:tc>
              <w:tc>
                <w:tcPr>
                  <w:tcW w:w="1439" w:type="dxa"/>
                  <w:vAlign w:val="center"/>
                </w:tcPr>
                <w:p w14:paraId="1D813FAE">
                  <w:pPr>
                    <w:pStyle w:val="237"/>
                    <w:jc w:val="center"/>
                  </w:pPr>
                  <w:r>
                    <w:rPr>
                      <w:rFonts w:hint="eastAsia"/>
                    </w:rPr>
                    <w:t>&lt;20</w:t>
                  </w:r>
                </w:p>
              </w:tc>
              <w:tc>
                <w:tcPr>
                  <w:tcW w:w="1397" w:type="dxa"/>
                  <w:vAlign w:val="center"/>
                </w:tcPr>
                <w:p w14:paraId="3FAB6B31">
                  <w:pPr>
                    <w:pStyle w:val="237"/>
                    <w:jc w:val="center"/>
                  </w:pPr>
                  <w:r>
                    <w:rPr>
                      <w:rFonts w:hint="eastAsia"/>
                    </w:rPr>
                    <w:t>1.74</w:t>
                  </w:r>
                  <w:r>
                    <w:t>×</w:t>
                  </w:r>
                  <w:r>
                    <w:rPr>
                      <w:rFonts w:hint="eastAsia"/>
                    </w:rPr>
                    <w:t>10</w:t>
                  </w:r>
                  <w:r>
                    <w:rPr>
                      <w:rFonts w:hint="eastAsia"/>
                      <w:vertAlign w:val="superscript"/>
                    </w:rPr>
                    <w:t>-2</w:t>
                  </w:r>
                </w:p>
              </w:tc>
            </w:tr>
            <w:tr w14:paraId="53D6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377BCA4B">
                  <w:pPr>
                    <w:pStyle w:val="237"/>
                    <w:jc w:val="center"/>
                    <w:rPr>
                      <w:rFonts w:eastAsiaTheme="minorEastAsia"/>
                      <w:b/>
                      <w:szCs w:val="21"/>
                    </w:rPr>
                  </w:pPr>
                </w:p>
              </w:tc>
              <w:tc>
                <w:tcPr>
                  <w:tcW w:w="1596" w:type="dxa"/>
                  <w:vMerge w:val="continue"/>
                  <w:vAlign w:val="center"/>
                </w:tcPr>
                <w:p w14:paraId="0F461B86">
                  <w:pPr>
                    <w:pStyle w:val="237"/>
                    <w:jc w:val="center"/>
                    <w:rPr>
                      <w:rFonts w:eastAsiaTheme="minorEastAsia"/>
                      <w:b/>
                      <w:szCs w:val="21"/>
                    </w:rPr>
                  </w:pPr>
                </w:p>
              </w:tc>
              <w:tc>
                <w:tcPr>
                  <w:tcW w:w="1438" w:type="dxa"/>
                  <w:vMerge w:val="continue"/>
                  <w:vAlign w:val="center"/>
                </w:tcPr>
                <w:p w14:paraId="400A5A2B">
                  <w:pPr>
                    <w:pStyle w:val="237"/>
                    <w:jc w:val="center"/>
                    <w:rPr>
                      <w:rFonts w:eastAsiaTheme="minorEastAsia"/>
                      <w:b/>
                      <w:szCs w:val="21"/>
                    </w:rPr>
                  </w:pPr>
                </w:p>
              </w:tc>
              <w:tc>
                <w:tcPr>
                  <w:tcW w:w="1759" w:type="dxa"/>
                  <w:vAlign w:val="center"/>
                </w:tcPr>
                <w:p w14:paraId="4828D357">
                  <w:pPr>
                    <w:pStyle w:val="237"/>
                    <w:jc w:val="center"/>
                  </w:pPr>
                  <w:r>
                    <w:rPr>
                      <w:rFonts w:hint="eastAsia"/>
                    </w:rPr>
                    <w:t>1754</w:t>
                  </w:r>
                </w:p>
              </w:tc>
              <w:tc>
                <w:tcPr>
                  <w:tcW w:w="1439" w:type="dxa"/>
                  <w:vAlign w:val="center"/>
                </w:tcPr>
                <w:p w14:paraId="20FE27F3">
                  <w:pPr>
                    <w:pStyle w:val="237"/>
                    <w:jc w:val="center"/>
                  </w:pPr>
                  <w:r>
                    <w:rPr>
                      <w:rFonts w:hint="eastAsia"/>
                    </w:rPr>
                    <w:t>&lt;20</w:t>
                  </w:r>
                </w:p>
              </w:tc>
              <w:tc>
                <w:tcPr>
                  <w:tcW w:w="1397" w:type="dxa"/>
                  <w:vAlign w:val="center"/>
                </w:tcPr>
                <w:p w14:paraId="55F94209">
                  <w:pPr>
                    <w:pStyle w:val="237"/>
                    <w:jc w:val="center"/>
                  </w:pPr>
                  <w:r>
                    <w:rPr>
                      <w:rFonts w:hint="eastAsia"/>
                    </w:rPr>
                    <w:t>1.74</w:t>
                  </w:r>
                  <w:r>
                    <w:t>×</w:t>
                  </w:r>
                  <w:r>
                    <w:rPr>
                      <w:rFonts w:hint="eastAsia"/>
                    </w:rPr>
                    <w:t>10</w:t>
                  </w:r>
                  <w:r>
                    <w:rPr>
                      <w:rFonts w:hint="eastAsia"/>
                      <w:vertAlign w:val="superscript"/>
                    </w:rPr>
                    <w:t>-2</w:t>
                  </w:r>
                </w:p>
              </w:tc>
            </w:tr>
            <w:tr w14:paraId="6DCD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422A396C">
                  <w:pPr>
                    <w:pStyle w:val="237"/>
                    <w:jc w:val="center"/>
                    <w:rPr>
                      <w:rFonts w:eastAsiaTheme="minorEastAsia"/>
                      <w:b/>
                      <w:szCs w:val="21"/>
                    </w:rPr>
                  </w:pPr>
                </w:p>
              </w:tc>
              <w:tc>
                <w:tcPr>
                  <w:tcW w:w="1596" w:type="dxa"/>
                  <w:vMerge w:val="continue"/>
                  <w:vAlign w:val="center"/>
                </w:tcPr>
                <w:p w14:paraId="5625A616">
                  <w:pPr>
                    <w:pStyle w:val="237"/>
                    <w:jc w:val="center"/>
                    <w:rPr>
                      <w:rFonts w:eastAsiaTheme="minorEastAsia"/>
                      <w:b/>
                      <w:szCs w:val="21"/>
                    </w:rPr>
                  </w:pPr>
                </w:p>
              </w:tc>
              <w:tc>
                <w:tcPr>
                  <w:tcW w:w="1438" w:type="dxa"/>
                  <w:vMerge w:val="continue"/>
                  <w:vAlign w:val="center"/>
                </w:tcPr>
                <w:p w14:paraId="6C1379B9">
                  <w:pPr>
                    <w:pStyle w:val="237"/>
                    <w:jc w:val="center"/>
                    <w:rPr>
                      <w:rFonts w:eastAsiaTheme="minorEastAsia"/>
                      <w:b/>
                      <w:szCs w:val="21"/>
                    </w:rPr>
                  </w:pPr>
                </w:p>
              </w:tc>
              <w:tc>
                <w:tcPr>
                  <w:tcW w:w="1759" w:type="dxa"/>
                  <w:vAlign w:val="center"/>
                </w:tcPr>
                <w:p w14:paraId="297BEACA">
                  <w:pPr>
                    <w:pStyle w:val="237"/>
                    <w:jc w:val="center"/>
                  </w:pPr>
                  <w:r>
                    <w:rPr>
                      <w:rFonts w:hint="eastAsia"/>
                    </w:rPr>
                    <w:t>1772</w:t>
                  </w:r>
                </w:p>
              </w:tc>
              <w:tc>
                <w:tcPr>
                  <w:tcW w:w="1439" w:type="dxa"/>
                  <w:vAlign w:val="center"/>
                </w:tcPr>
                <w:p w14:paraId="64DED127">
                  <w:pPr>
                    <w:pStyle w:val="237"/>
                    <w:jc w:val="center"/>
                  </w:pPr>
                  <w:r>
                    <w:rPr>
                      <w:rFonts w:hint="eastAsia"/>
                    </w:rPr>
                    <w:t>&lt;20</w:t>
                  </w:r>
                </w:p>
              </w:tc>
              <w:tc>
                <w:tcPr>
                  <w:tcW w:w="1397" w:type="dxa"/>
                  <w:vAlign w:val="center"/>
                </w:tcPr>
                <w:p w14:paraId="5EACB0A4">
                  <w:pPr>
                    <w:pStyle w:val="237"/>
                    <w:jc w:val="center"/>
                  </w:pPr>
                  <w:r>
                    <w:rPr>
                      <w:rFonts w:hint="eastAsia"/>
                    </w:rPr>
                    <w:t>1.74</w:t>
                  </w:r>
                  <w:r>
                    <w:t>×</w:t>
                  </w:r>
                  <w:r>
                    <w:rPr>
                      <w:rFonts w:hint="eastAsia"/>
                    </w:rPr>
                    <w:t>10</w:t>
                  </w:r>
                  <w:r>
                    <w:rPr>
                      <w:rFonts w:hint="eastAsia"/>
                      <w:vertAlign w:val="superscript"/>
                    </w:rPr>
                    <w:t>-2</w:t>
                  </w:r>
                </w:p>
              </w:tc>
            </w:tr>
            <w:tr w14:paraId="08B0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649A992E">
                  <w:pPr>
                    <w:pStyle w:val="237"/>
                    <w:jc w:val="center"/>
                    <w:rPr>
                      <w:rFonts w:eastAsiaTheme="minorEastAsia"/>
                      <w:szCs w:val="21"/>
                    </w:rPr>
                  </w:pPr>
                </w:p>
              </w:tc>
              <w:tc>
                <w:tcPr>
                  <w:tcW w:w="1596" w:type="dxa"/>
                  <w:vMerge w:val="restart"/>
                  <w:vAlign w:val="center"/>
                </w:tcPr>
                <w:p w14:paraId="59B0E508">
                  <w:pPr>
                    <w:pStyle w:val="237"/>
                    <w:jc w:val="center"/>
                    <w:rPr>
                      <w:rFonts w:eastAsiaTheme="minorEastAsia"/>
                      <w:spacing w:val="-2"/>
                      <w:szCs w:val="21"/>
                    </w:rPr>
                  </w:pPr>
                  <w:r>
                    <w:rPr>
                      <w:rFonts w:hint="eastAsia" w:hAnsiTheme="minorEastAsia" w:eastAsiaTheme="minorEastAsia"/>
                      <w:spacing w:val="-2"/>
                      <w:szCs w:val="21"/>
                    </w:rPr>
                    <w:t>非甲烷总烃</w:t>
                  </w:r>
                </w:p>
              </w:tc>
              <w:tc>
                <w:tcPr>
                  <w:tcW w:w="1438" w:type="dxa"/>
                  <w:vMerge w:val="restart"/>
                  <w:vAlign w:val="center"/>
                </w:tcPr>
                <w:p w14:paraId="4108EFC1">
                  <w:pPr>
                    <w:pStyle w:val="237"/>
                    <w:jc w:val="center"/>
                    <w:rPr>
                      <w:rFonts w:eastAsiaTheme="minorEastAsia"/>
                      <w:szCs w:val="21"/>
                    </w:rPr>
                  </w:pPr>
                  <w:r>
                    <w:rPr>
                      <w:rFonts w:hint="eastAsia" w:hAnsiTheme="minorEastAsia" w:eastAsiaTheme="minorEastAsia"/>
                      <w:spacing w:val="-2"/>
                      <w:szCs w:val="21"/>
                    </w:rPr>
                    <w:t>注塑废气处理装置进口</w:t>
                  </w:r>
                  <w:r>
                    <w:rPr>
                      <w:rFonts w:hint="eastAsia" w:eastAsiaTheme="minorEastAsia"/>
                      <w:spacing w:val="-2"/>
                      <w:szCs w:val="21"/>
                    </w:rPr>
                    <w:t>2</w:t>
                  </w:r>
                  <w:r>
                    <w:rPr>
                      <w:rFonts w:eastAsiaTheme="minorEastAsia"/>
                      <w:spacing w:val="-2"/>
                      <w:szCs w:val="21"/>
                    </w:rPr>
                    <w:t>#</w:t>
                  </w:r>
                </w:p>
              </w:tc>
              <w:tc>
                <w:tcPr>
                  <w:tcW w:w="1759" w:type="dxa"/>
                  <w:vAlign w:val="center"/>
                </w:tcPr>
                <w:p w14:paraId="3B812F4B">
                  <w:pPr>
                    <w:pStyle w:val="237"/>
                    <w:jc w:val="center"/>
                  </w:pPr>
                  <w:r>
                    <w:rPr>
                      <w:rFonts w:hint="eastAsia"/>
                    </w:rPr>
                    <w:t>14934</w:t>
                  </w:r>
                </w:p>
              </w:tc>
              <w:tc>
                <w:tcPr>
                  <w:tcW w:w="1439" w:type="dxa"/>
                  <w:vAlign w:val="center"/>
                </w:tcPr>
                <w:p w14:paraId="78679690">
                  <w:pPr>
                    <w:pStyle w:val="237"/>
                    <w:jc w:val="center"/>
                  </w:pPr>
                  <w:r>
                    <w:rPr>
                      <w:rFonts w:hint="eastAsia"/>
                    </w:rPr>
                    <w:t>8.86</w:t>
                  </w:r>
                </w:p>
              </w:tc>
              <w:tc>
                <w:tcPr>
                  <w:tcW w:w="1397" w:type="dxa"/>
                  <w:vAlign w:val="center"/>
                </w:tcPr>
                <w:p w14:paraId="1B4F307C">
                  <w:pPr>
                    <w:pStyle w:val="237"/>
                    <w:jc w:val="center"/>
                  </w:pPr>
                  <w:r>
                    <w:rPr>
                      <w:rFonts w:hint="eastAsia"/>
                    </w:rPr>
                    <w:t>0.132</w:t>
                  </w:r>
                </w:p>
              </w:tc>
            </w:tr>
            <w:tr w14:paraId="5828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3D02F895">
                  <w:pPr>
                    <w:pStyle w:val="237"/>
                    <w:jc w:val="center"/>
                    <w:rPr>
                      <w:rFonts w:eastAsiaTheme="minorEastAsia"/>
                      <w:szCs w:val="21"/>
                    </w:rPr>
                  </w:pPr>
                </w:p>
              </w:tc>
              <w:tc>
                <w:tcPr>
                  <w:tcW w:w="1596" w:type="dxa"/>
                  <w:vMerge w:val="continue"/>
                  <w:vAlign w:val="center"/>
                </w:tcPr>
                <w:p w14:paraId="71DB251A">
                  <w:pPr>
                    <w:pStyle w:val="237"/>
                    <w:jc w:val="center"/>
                    <w:rPr>
                      <w:rFonts w:eastAsiaTheme="minorEastAsia"/>
                      <w:szCs w:val="21"/>
                    </w:rPr>
                  </w:pPr>
                </w:p>
              </w:tc>
              <w:tc>
                <w:tcPr>
                  <w:tcW w:w="1438" w:type="dxa"/>
                  <w:vMerge w:val="continue"/>
                  <w:vAlign w:val="center"/>
                </w:tcPr>
                <w:p w14:paraId="5CBC5744">
                  <w:pPr>
                    <w:pStyle w:val="237"/>
                    <w:jc w:val="center"/>
                    <w:rPr>
                      <w:rFonts w:eastAsiaTheme="minorEastAsia"/>
                      <w:szCs w:val="21"/>
                    </w:rPr>
                  </w:pPr>
                </w:p>
              </w:tc>
              <w:tc>
                <w:tcPr>
                  <w:tcW w:w="1759" w:type="dxa"/>
                  <w:vAlign w:val="center"/>
                </w:tcPr>
                <w:p w14:paraId="40F57075">
                  <w:pPr>
                    <w:pStyle w:val="237"/>
                    <w:jc w:val="center"/>
                  </w:pPr>
                  <w:r>
                    <w:rPr>
                      <w:rFonts w:hint="eastAsia"/>
                    </w:rPr>
                    <w:t>15107</w:t>
                  </w:r>
                </w:p>
              </w:tc>
              <w:tc>
                <w:tcPr>
                  <w:tcW w:w="1439" w:type="dxa"/>
                  <w:vAlign w:val="center"/>
                </w:tcPr>
                <w:p w14:paraId="27487886">
                  <w:pPr>
                    <w:pStyle w:val="237"/>
                    <w:jc w:val="center"/>
                  </w:pPr>
                  <w:r>
                    <w:rPr>
                      <w:rFonts w:hint="eastAsia"/>
                    </w:rPr>
                    <w:t>8.25</w:t>
                  </w:r>
                </w:p>
              </w:tc>
              <w:tc>
                <w:tcPr>
                  <w:tcW w:w="1397" w:type="dxa"/>
                  <w:vAlign w:val="center"/>
                </w:tcPr>
                <w:p w14:paraId="184B9AF4">
                  <w:pPr>
                    <w:pStyle w:val="237"/>
                    <w:jc w:val="center"/>
                  </w:pPr>
                  <w:r>
                    <w:rPr>
                      <w:rFonts w:hint="eastAsia"/>
                    </w:rPr>
                    <w:t>0.125</w:t>
                  </w:r>
                </w:p>
              </w:tc>
            </w:tr>
            <w:tr w14:paraId="3578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7D8177D3">
                  <w:pPr>
                    <w:pStyle w:val="237"/>
                    <w:jc w:val="center"/>
                    <w:rPr>
                      <w:rFonts w:eastAsiaTheme="minorEastAsia"/>
                      <w:szCs w:val="21"/>
                    </w:rPr>
                  </w:pPr>
                </w:p>
              </w:tc>
              <w:tc>
                <w:tcPr>
                  <w:tcW w:w="1596" w:type="dxa"/>
                  <w:vMerge w:val="continue"/>
                  <w:vAlign w:val="center"/>
                </w:tcPr>
                <w:p w14:paraId="2433125E">
                  <w:pPr>
                    <w:pStyle w:val="237"/>
                    <w:jc w:val="center"/>
                    <w:rPr>
                      <w:rFonts w:eastAsiaTheme="minorEastAsia"/>
                      <w:szCs w:val="21"/>
                    </w:rPr>
                  </w:pPr>
                </w:p>
              </w:tc>
              <w:tc>
                <w:tcPr>
                  <w:tcW w:w="1438" w:type="dxa"/>
                  <w:vMerge w:val="continue"/>
                  <w:vAlign w:val="center"/>
                </w:tcPr>
                <w:p w14:paraId="2BA60495">
                  <w:pPr>
                    <w:pStyle w:val="237"/>
                    <w:jc w:val="center"/>
                    <w:rPr>
                      <w:rFonts w:eastAsiaTheme="minorEastAsia"/>
                      <w:szCs w:val="21"/>
                    </w:rPr>
                  </w:pPr>
                </w:p>
              </w:tc>
              <w:tc>
                <w:tcPr>
                  <w:tcW w:w="1759" w:type="dxa"/>
                  <w:vAlign w:val="center"/>
                </w:tcPr>
                <w:p w14:paraId="52379142">
                  <w:pPr>
                    <w:pStyle w:val="237"/>
                    <w:jc w:val="center"/>
                  </w:pPr>
                  <w:r>
                    <w:rPr>
                      <w:rFonts w:hint="eastAsia"/>
                    </w:rPr>
                    <w:t>15082</w:t>
                  </w:r>
                </w:p>
              </w:tc>
              <w:tc>
                <w:tcPr>
                  <w:tcW w:w="1439" w:type="dxa"/>
                  <w:vAlign w:val="center"/>
                </w:tcPr>
                <w:p w14:paraId="1E2C64E0">
                  <w:pPr>
                    <w:pStyle w:val="237"/>
                    <w:jc w:val="center"/>
                  </w:pPr>
                  <w:r>
                    <w:rPr>
                      <w:rFonts w:hint="eastAsia"/>
                    </w:rPr>
                    <w:t>8.17</w:t>
                  </w:r>
                </w:p>
              </w:tc>
              <w:tc>
                <w:tcPr>
                  <w:tcW w:w="1397" w:type="dxa"/>
                  <w:vAlign w:val="center"/>
                </w:tcPr>
                <w:p w14:paraId="086AA113">
                  <w:pPr>
                    <w:pStyle w:val="237"/>
                    <w:jc w:val="center"/>
                  </w:pPr>
                  <w:r>
                    <w:rPr>
                      <w:rFonts w:hint="eastAsia"/>
                    </w:rPr>
                    <w:t>0.123</w:t>
                  </w:r>
                </w:p>
              </w:tc>
            </w:tr>
            <w:tr w14:paraId="1EFF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7FF25FC4">
                  <w:pPr>
                    <w:pStyle w:val="237"/>
                    <w:jc w:val="center"/>
                    <w:rPr>
                      <w:rFonts w:eastAsiaTheme="minorEastAsia"/>
                      <w:szCs w:val="21"/>
                    </w:rPr>
                  </w:pPr>
                </w:p>
              </w:tc>
              <w:tc>
                <w:tcPr>
                  <w:tcW w:w="1596" w:type="dxa"/>
                  <w:vMerge w:val="restart"/>
                  <w:vAlign w:val="center"/>
                </w:tcPr>
                <w:p w14:paraId="5845DA97">
                  <w:pPr>
                    <w:pStyle w:val="237"/>
                    <w:jc w:val="center"/>
                    <w:rPr>
                      <w:rFonts w:eastAsiaTheme="minorEastAsia"/>
                      <w:szCs w:val="21"/>
                    </w:rPr>
                  </w:pPr>
                  <w:r>
                    <w:rPr>
                      <w:rFonts w:hint="eastAsia" w:eastAsiaTheme="minorEastAsia"/>
                      <w:szCs w:val="21"/>
                    </w:rPr>
                    <w:t>苯乙烯</w:t>
                  </w:r>
                </w:p>
              </w:tc>
              <w:tc>
                <w:tcPr>
                  <w:tcW w:w="1438" w:type="dxa"/>
                  <w:vMerge w:val="continue"/>
                  <w:vAlign w:val="center"/>
                </w:tcPr>
                <w:p w14:paraId="6F8CACDE">
                  <w:pPr>
                    <w:pStyle w:val="237"/>
                    <w:jc w:val="center"/>
                    <w:rPr>
                      <w:rFonts w:eastAsiaTheme="minorEastAsia"/>
                      <w:szCs w:val="21"/>
                    </w:rPr>
                  </w:pPr>
                </w:p>
              </w:tc>
              <w:tc>
                <w:tcPr>
                  <w:tcW w:w="1759" w:type="dxa"/>
                  <w:vAlign w:val="center"/>
                </w:tcPr>
                <w:p w14:paraId="015A2469">
                  <w:pPr>
                    <w:pStyle w:val="237"/>
                    <w:jc w:val="center"/>
                  </w:pPr>
                  <w:r>
                    <w:rPr>
                      <w:rFonts w:hint="eastAsia"/>
                    </w:rPr>
                    <w:t>14934</w:t>
                  </w:r>
                </w:p>
              </w:tc>
              <w:tc>
                <w:tcPr>
                  <w:tcW w:w="1439" w:type="dxa"/>
                  <w:vAlign w:val="center"/>
                </w:tcPr>
                <w:p w14:paraId="146FE685">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1EC29F06">
                  <w:pPr>
                    <w:pStyle w:val="237"/>
                    <w:jc w:val="center"/>
                  </w:pPr>
                  <w:r>
                    <w:rPr>
                      <w:rFonts w:hint="eastAsia"/>
                    </w:rPr>
                    <w:t>/</w:t>
                  </w:r>
                </w:p>
              </w:tc>
            </w:tr>
            <w:tr w14:paraId="5FE3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1A05F15B">
                  <w:pPr>
                    <w:pStyle w:val="237"/>
                    <w:jc w:val="center"/>
                    <w:rPr>
                      <w:rFonts w:eastAsiaTheme="minorEastAsia"/>
                      <w:szCs w:val="21"/>
                    </w:rPr>
                  </w:pPr>
                </w:p>
              </w:tc>
              <w:tc>
                <w:tcPr>
                  <w:tcW w:w="1596" w:type="dxa"/>
                  <w:vMerge w:val="continue"/>
                  <w:vAlign w:val="center"/>
                </w:tcPr>
                <w:p w14:paraId="3EE0FB78">
                  <w:pPr>
                    <w:pStyle w:val="237"/>
                    <w:jc w:val="center"/>
                    <w:rPr>
                      <w:rFonts w:eastAsiaTheme="minorEastAsia"/>
                      <w:szCs w:val="21"/>
                    </w:rPr>
                  </w:pPr>
                </w:p>
              </w:tc>
              <w:tc>
                <w:tcPr>
                  <w:tcW w:w="1438" w:type="dxa"/>
                  <w:vMerge w:val="continue"/>
                  <w:vAlign w:val="center"/>
                </w:tcPr>
                <w:p w14:paraId="208E1F48">
                  <w:pPr>
                    <w:pStyle w:val="237"/>
                    <w:jc w:val="center"/>
                    <w:rPr>
                      <w:rFonts w:eastAsiaTheme="minorEastAsia"/>
                      <w:szCs w:val="21"/>
                    </w:rPr>
                  </w:pPr>
                </w:p>
              </w:tc>
              <w:tc>
                <w:tcPr>
                  <w:tcW w:w="1759" w:type="dxa"/>
                  <w:vAlign w:val="center"/>
                </w:tcPr>
                <w:p w14:paraId="404614DF">
                  <w:pPr>
                    <w:pStyle w:val="237"/>
                    <w:jc w:val="center"/>
                  </w:pPr>
                  <w:r>
                    <w:rPr>
                      <w:rFonts w:hint="eastAsia"/>
                    </w:rPr>
                    <w:t>15107</w:t>
                  </w:r>
                </w:p>
              </w:tc>
              <w:tc>
                <w:tcPr>
                  <w:tcW w:w="1439" w:type="dxa"/>
                  <w:vAlign w:val="center"/>
                </w:tcPr>
                <w:p w14:paraId="78F13C2C">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1C223EAB">
                  <w:pPr>
                    <w:pStyle w:val="237"/>
                    <w:jc w:val="center"/>
                  </w:pPr>
                  <w:r>
                    <w:rPr>
                      <w:rFonts w:hint="eastAsia"/>
                    </w:rPr>
                    <w:t>/</w:t>
                  </w:r>
                </w:p>
              </w:tc>
            </w:tr>
            <w:tr w14:paraId="0797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53CE38B5">
                  <w:pPr>
                    <w:pStyle w:val="237"/>
                    <w:jc w:val="center"/>
                    <w:rPr>
                      <w:rFonts w:eastAsiaTheme="minorEastAsia"/>
                      <w:szCs w:val="21"/>
                    </w:rPr>
                  </w:pPr>
                </w:p>
              </w:tc>
              <w:tc>
                <w:tcPr>
                  <w:tcW w:w="1596" w:type="dxa"/>
                  <w:vMerge w:val="continue"/>
                  <w:vAlign w:val="center"/>
                </w:tcPr>
                <w:p w14:paraId="70277A5A">
                  <w:pPr>
                    <w:pStyle w:val="237"/>
                    <w:jc w:val="center"/>
                    <w:rPr>
                      <w:rFonts w:eastAsiaTheme="minorEastAsia"/>
                      <w:szCs w:val="21"/>
                    </w:rPr>
                  </w:pPr>
                </w:p>
              </w:tc>
              <w:tc>
                <w:tcPr>
                  <w:tcW w:w="1438" w:type="dxa"/>
                  <w:vMerge w:val="continue"/>
                  <w:vAlign w:val="center"/>
                </w:tcPr>
                <w:p w14:paraId="61AAF006">
                  <w:pPr>
                    <w:pStyle w:val="237"/>
                    <w:jc w:val="center"/>
                    <w:rPr>
                      <w:rFonts w:eastAsiaTheme="minorEastAsia"/>
                      <w:szCs w:val="21"/>
                    </w:rPr>
                  </w:pPr>
                </w:p>
              </w:tc>
              <w:tc>
                <w:tcPr>
                  <w:tcW w:w="1759" w:type="dxa"/>
                  <w:vAlign w:val="center"/>
                </w:tcPr>
                <w:p w14:paraId="6DF2506B">
                  <w:pPr>
                    <w:pStyle w:val="237"/>
                    <w:jc w:val="center"/>
                  </w:pPr>
                  <w:r>
                    <w:rPr>
                      <w:rFonts w:hint="eastAsia"/>
                    </w:rPr>
                    <w:t>15082</w:t>
                  </w:r>
                </w:p>
              </w:tc>
              <w:tc>
                <w:tcPr>
                  <w:tcW w:w="1439" w:type="dxa"/>
                  <w:vAlign w:val="center"/>
                </w:tcPr>
                <w:p w14:paraId="04FA3735">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5EB4D4C6">
                  <w:pPr>
                    <w:pStyle w:val="237"/>
                    <w:jc w:val="center"/>
                  </w:pPr>
                  <w:r>
                    <w:rPr>
                      <w:rFonts w:hint="eastAsia"/>
                    </w:rPr>
                    <w:t>/</w:t>
                  </w:r>
                </w:p>
              </w:tc>
            </w:tr>
            <w:tr w14:paraId="6500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4ABABFF2">
                  <w:pPr>
                    <w:pStyle w:val="237"/>
                    <w:jc w:val="center"/>
                    <w:rPr>
                      <w:rFonts w:eastAsiaTheme="minorEastAsia"/>
                      <w:szCs w:val="21"/>
                    </w:rPr>
                  </w:pPr>
                </w:p>
              </w:tc>
              <w:tc>
                <w:tcPr>
                  <w:tcW w:w="1596" w:type="dxa"/>
                  <w:vMerge w:val="restart"/>
                  <w:vAlign w:val="center"/>
                </w:tcPr>
                <w:p w14:paraId="581CF6B8">
                  <w:pPr>
                    <w:pStyle w:val="237"/>
                    <w:jc w:val="center"/>
                    <w:rPr>
                      <w:rFonts w:eastAsiaTheme="minorEastAsia"/>
                      <w:szCs w:val="21"/>
                    </w:rPr>
                  </w:pPr>
                  <w:r>
                    <w:rPr>
                      <w:rFonts w:hint="eastAsia" w:hAnsiTheme="minorEastAsia" w:eastAsiaTheme="minorEastAsia"/>
                      <w:spacing w:val="-2"/>
                      <w:szCs w:val="21"/>
                    </w:rPr>
                    <w:t>非甲烷总烃</w:t>
                  </w:r>
                </w:p>
              </w:tc>
              <w:tc>
                <w:tcPr>
                  <w:tcW w:w="1438" w:type="dxa"/>
                  <w:vMerge w:val="restart"/>
                  <w:vAlign w:val="center"/>
                </w:tcPr>
                <w:p w14:paraId="731BF33C">
                  <w:pPr>
                    <w:pStyle w:val="237"/>
                    <w:jc w:val="center"/>
                    <w:rPr>
                      <w:rFonts w:eastAsiaTheme="minorEastAsia"/>
                      <w:szCs w:val="21"/>
                    </w:rPr>
                  </w:pPr>
                  <w:r>
                    <w:rPr>
                      <w:rFonts w:hint="eastAsia" w:hAnsiTheme="minorEastAsia" w:eastAsiaTheme="minorEastAsia"/>
                      <w:spacing w:val="-2"/>
                      <w:szCs w:val="21"/>
                    </w:rPr>
                    <w:t>注塑废气处理装置出口</w:t>
                  </w:r>
                  <w:r>
                    <w:rPr>
                      <w:rFonts w:hint="eastAsia" w:eastAsiaTheme="minorEastAsia"/>
                      <w:spacing w:val="-2"/>
                      <w:szCs w:val="21"/>
                    </w:rPr>
                    <w:t>3</w:t>
                  </w:r>
                  <w:r>
                    <w:rPr>
                      <w:rFonts w:eastAsiaTheme="minorEastAsia"/>
                      <w:spacing w:val="-2"/>
                      <w:szCs w:val="21"/>
                    </w:rPr>
                    <w:t>#</w:t>
                  </w:r>
                </w:p>
              </w:tc>
              <w:tc>
                <w:tcPr>
                  <w:tcW w:w="1759" w:type="dxa"/>
                  <w:vAlign w:val="center"/>
                </w:tcPr>
                <w:p w14:paraId="6E88616F">
                  <w:pPr>
                    <w:pStyle w:val="237"/>
                    <w:jc w:val="center"/>
                  </w:pPr>
                  <w:r>
                    <w:rPr>
                      <w:rFonts w:hint="eastAsia"/>
                    </w:rPr>
                    <w:t>14549</w:t>
                  </w:r>
                </w:p>
              </w:tc>
              <w:tc>
                <w:tcPr>
                  <w:tcW w:w="1439" w:type="dxa"/>
                  <w:vAlign w:val="center"/>
                </w:tcPr>
                <w:p w14:paraId="4C6EE82C">
                  <w:pPr>
                    <w:pStyle w:val="237"/>
                    <w:jc w:val="center"/>
                  </w:pPr>
                  <w:r>
                    <w:rPr>
                      <w:rFonts w:hint="eastAsia"/>
                    </w:rPr>
                    <w:t>1.60</w:t>
                  </w:r>
                </w:p>
              </w:tc>
              <w:tc>
                <w:tcPr>
                  <w:tcW w:w="1397" w:type="dxa"/>
                  <w:vAlign w:val="center"/>
                </w:tcPr>
                <w:p w14:paraId="55089F0D">
                  <w:pPr>
                    <w:pStyle w:val="237"/>
                    <w:jc w:val="center"/>
                  </w:pPr>
                  <w:r>
                    <w:rPr>
                      <w:rFonts w:hint="eastAsia"/>
                    </w:rPr>
                    <w:t>2.33</w:t>
                  </w:r>
                  <w:r>
                    <w:t>×</w:t>
                  </w:r>
                  <w:r>
                    <w:rPr>
                      <w:rFonts w:hint="eastAsia"/>
                    </w:rPr>
                    <w:t>10</w:t>
                  </w:r>
                  <w:r>
                    <w:rPr>
                      <w:rFonts w:hint="eastAsia"/>
                      <w:vertAlign w:val="superscript"/>
                    </w:rPr>
                    <w:t>-2</w:t>
                  </w:r>
                </w:p>
              </w:tc>
            </w:tr>
            <w:tr w14:paraId="2DFC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75089273">
                  <w:pPr>
                    <w:pStyle w:val="237"/>
                    <w:jc w:val="center"/>
                    <w:rPr>
                      <w:rFonts w:eastAsiaTheme="minorEastAsia"/>
                      <w:szCs w:val="21"/>
                    </w:rPr>
                  </w:pPr>
                </w:p>
              </w:tc>
              <w:tc>
                <w:tcPr>
                  <w:tcW w:w="1596" w:type="dxa"/>
                  <w:vMerge w:val="continue"/>
                  <w:vAlign w:val="center"/>
                </w:tcPr>
                <w:p w14:paraId="3F841009">
                  <w:pPr>
                    <w:pStyle w:val="237"/>
                    <w:jc w:val="center"/>
                    <w:rPr>
                      <w:rFonts w:eastAsiaTheme="minorEastAsia"/>
                      <w:szCs w:val="21"/>
                    </w:rPr>
                  </w:pPr>
                </w:p>
              </w:tc>
              <w:tc>
                <w:tcPr>
                  <w:tcW w:w="1438" w:type="dxa"/>
                  <w:vMerge w:val="continue"/>
                  <w:vAlign w:val="center"/>
                </w:tcPr>
                <w:p w14:paraId="0E0254FF">
                  <w:pPr>
                    <w:pStyle w:val="237"/>
                    <w:jc w:val="center"/>
                    <w:rPr>
                      <w:rFonts w:eastAsiaTheme="minorEastAsia"/>
                      <w:szCs w:val="21"/>
                    </w:rPr>
                  </w:pPr>
                </w:p>
              </w:tc>
              <w:tc>
                <w:tcPr>
                  <w:tcW w:w="1759" w:type="dxa"/>
                  <w:vAlign w:val="center"/>
                </w:tcPr>
                <w:p w14:paraId="0D337528">
                  <w:pPr>
                    <w:pStyle w:val="237"/>
                    <w:jc w:val="center"/>
                  </w:pPr>
                  <w:r>
                    <w:rPr>
                      <w:rFonts w:hint="eastAsia"/>
                    </w:rPr>
                    <w:t>14152</w:t>
                  </w:r>
                </w:p>
              </w:tc>
              <w:tc>
                <w:tcPr>
                  <w:tcW w:w="1439" w:type="dxa"/>
                  <w:vAlign w:val="center"/>
                </w:tcPr>
                <w:p w14:paraId="72200FA6">
                  <w:pPr>
                    <w:pStyle w:val="237"/>
                    <w:jc w:val="center"/>
                  </w:pPr>
                  <w:r>
                    <w:rPr>
                      <w:rFonts w:hint="eastAsia"/>
                    </w:rPr>
                    <w:t>1.58</w:t>
                  </w:r>
                </w:p>
              </w:tc>
              <w:tc>
                <w:tcPr>
                  <w:tcW w:w="1397" w:type="dxa"/>
                  <w:vAlign w:val="center"/>
                </w:tcPr>
                <w:p w14:paraId="315A6929">
                  <w:pPr>
                    <w:pStyle w:val="237"/>
                    <w:jc w:val="center"/>
                  </w:pPr>
                  <w:r>
                    <w:rPr>
                      <w:rFonts w:hint="eastAsia"/>
                    </w:rPr>
                    <w:t>2.24</w:t>
                  </w:r>
                  <w:r>
                    <w:t>×</w:t>
                  </w:r>
                  <w:r>
                    <w:rPr>
                      <w:rFonts w:hint="eastAsia"/>
                    </w:rPr>
                    <w:t>10</w:t>
                  </w:r>
                  <w:r>
                    <w:rPr>
                      <w:rFonts w:hint="eastAsia"/>
                      <w:vertAlign w:val="superscript"/>
                    </w:rPr>
                    <w:t>-2</w:t>
                  </w:r>
                </w:p>
              </w:tc>
            </w:tr>
            <w:tr w14:paraId="3113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4BF44B3C">
                  <w:pPr>
                    <w:pStyle w:val="237"/>
                    <w:jc w:val="center"/>
                    <w:rPr>
                      <w:rFonts w:eastAsiaTheme="minorEastAsia"/>
                      <w:szCs w:val="21"/>
                    </w:rPr>
                  </w:pPr>
                </w:p>
              </w:tc>
              <w:tc>
                <w:tcPr>
                  <w:tcW w:w="1596" w:type="dxa"/>
                  <w:vMerge w:val="continue"/>
                  <w:vAlign w:val="center"/>
                </w:tcPr>
                <w:p w14:paraId="075040A9">
                  <w:pPr>
                    <w:pStyle w:val="237"/>
                    <w:jc w:val="center"/>
                    <w:rPr>
                      <w:rFonts w:eastAsiaTheme="minorEastAsia"/>
                      <w:szCs w:val="21"/>
                    </w:rPr>
                  </w:pPr>
                </w:p>
              </w:tc>
              <w:tc>
                <w:tcPr>
                  <w:tcW w:w="1438" w:type="dxa"/>
                  <w:vMerge w:val="continue"/>
                  <w:vAlign w:val="center"/>
                </w:tcPr>
                <w:p w14:paraId="553DAE61">
                  <w:pPr>
                    <w:pStyle w:val="237"/>
                    <w:jc w:val="center"/>
                    <w:rPr>
                      <w:rFonts w:eastAsiaTheme="minorEastAsia"/>
                      <w:szCs w:val="21"/>
                    </w:rPr>
                  </w:pPr>
                </w:p>
              </w:tc>
              <w:tc>
                <w:tcPr>
                  <w:tcW w:w="1759" w:type="dxa"/>
                  <w:vAlign w:val="center"/>
                </w:tcPr>
                <w:p w14:paraId="4BD86CB3">
                  <w:pPr>
                    <w:pStyle w:val="237"/>
                    <w:jc w:val="center"/>
                  </w:pPr>
                  <w:r>
                    <w:rPr>
                      <w:rFonts w:hint="eastAsia"/>
                    </w:rPr>
                    <w:t>14221</w:t>
                  </w:r>
                </w:p>
              </w:tc>
              <w:tc>
                <w:tcPr>
                  <w:tcW w:w="1439" w:type="dxa"/>
                  <w:vAlign w:val="center"/>
                </w:tcPr>
                <w:p w14:paraId="386E07C7">
                  <w:pPr>
                    <w:pStyle w:val="237"/>
                    <w:jc w:val="center"/>
                  </w:pPr>
                  <w:r>
                    <w:rPr>
                      <w:rFonts w:hint="eastAsia"/>
                    </w:rPr>
                    <w:t>1.55</w:t>
                  </w:r>
                </w:p>
              </w:tc>
              <w:tc>
                <w:tcPr>
                  <w:tcW w:w="1397" w:type="dxa"/>
                  <w:vAlign w:val="center"/>
                </w:tcPr>
                <w:p w14:paraId="4004A4EA">
                  <w:pPr>
                    <w:pStyle w:val="237"/>
                    <w:jc w:val="center"/>
                  </w:pPr>
                  <w:r>
                    <w:rPr>
                      <w:rFonts w:hint="eastAsia"/>
                    </w:rPr>
                    <w:t>2.20</w:t>
                  </w:r>
                  <w:r>
                    <w:t>×</w:t>
                  </w:r>
                  <w:r>
                    <w:rPr>
                      <w:rFonts w:hint="eastAsia"/>
                    </w:rPr>
                    <w:t>10</w:t>
                  </w:r>
                  <w:r>
                    <w:rPr>
                      <w:rFonts w:hint="eastAsia"/>
                      <w:vertAlign w:val="superscript"/>
                    </w:rPr>
                    <w:t>-2</w:t>
                  </w:r>
                </w:p>
              </w:tc>
            </w:tr>
            <w:tr w14:paraId="45F3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55E5158F">
                  <w:pPr>
                    <w:pStyle w:val="237"/>
                    <w:jc w:val="center"/>
                    <w:rPr>
                      <w:rFonts w:eastAsiaTheme="minorEastAsia"/>
                      <w:szCs w:val="21"/>
                    </w:rPr>
                  </w:pPr>
                </w:p>
              </w:tc>
              <w:tc>
                <w:tcPr>
                  <w:tcW w:w="1596" w:type="dxa"/>
                  <w:vMerge w:val="restart"/>
                  <w:vAlign w:val="center"/>
                </w:tcPr>
                <w:p w14:paraId="6C37798B">
                  <w:pPr>
                    <w:pStyle w:val="237"/>
                    <w:jc w:val="center"/>
                    <w:rPr>
                      <w:rFonts w:eastAsiaTheme="minorEastAsia"/>
                      <w:szCs w:val="21"/>
                    </w:rPr>
                  </w:pPr>
                  <w:r>
                    <w:rPr>
                      <w:rFonts w:hint="eastAsia" w:eastAsiaTheme="minorEastAsia"/>
                      <w:szCs w:val="21"/>
                    </w:rPr>
                    <w:t>苯乙烯</w:t>
                  </w:r>
                </w:p>
              </w:tc>
              <w:tc>
                <w:tcPr>
                  <w:tcW w:w="1438" w:type="dxa"/>
                  <w:vMerge w:val="continue"/>
                  <w:vAlign w:val="center"/>
                </w:tcPr>
                <w:p w14:paraId="0BDFD826">
                  <w:pPr>
                    <w:pStyle w:val="237"/>
                    <w:jc w:val="center"/>
                    <w:rPr>
                      <w:rFonts w:eastAsiaTheme="minorEastAsia"/>
                      <w:szCs w:val="21"/>
                    </w:rPr>
                  </w:pPr>
                </w:p>
              </w:tc>
              <w:tc>
                <w:tcPr>
                  <w:tcW w:w="1759" w:type="dxa"/>
                  <w:vAlign w:val="center"/>
                </w:tcPr>
                <w:p w14:paraId="32B5C21A">
                  <w:pPr>
                    <w:pStyle w:val="237"/>
                    <w:jc w:val="center"/>
                  </w:pPr>
                  <w:r>
                    <w:rPr>
                      <w:rFonts w:hint="eastAsia"/>
                    </w:rPr>
                    <w:t>14549</w:t>
                  </w:r>
                </w:p>
              </w:tc>
              <w:tc>
                <w:tcPr>
                  <w:tcW w:w="1439" w:type="dxa"/>
                  <w:vAlign w:val="center"/>
                </w:tcPr>
                <w:p w14:paraId="36DFC3F2">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5AA11605">
                  <w:pPr>
                    <w:pStyle w:val="237"/>
                    <w:jc w:val="center"/>
                  </w:pPr>
                  <w:r>
                    <w:rPr>
                      <w:rFonts w:hint="eastAsia"/>
                    </w:rPr>
                    <w:t>1.07</w:t>
                  </w:r>
                  <w:r>
                    <w:t>×</w:t>
                  </w:r>
                  <w:r>
                    <w:rPr>
                      <w:rFonts w:hint="eastAsia"/>
                    </w:rPr>
                    <w:t>10</w:t>
                  </w:r>
                  <w:r>
                    <w:rPr>
                      <w:rFonts w:hint="eastAsia"/>
                      <w:vertAlign w:val="superscript"/>
                    </w:rPr>
                    <w:t>-5</w:t>
                  </w:r>
                </w:p>
              </w:tc>
            </w:tr>
            <w:tr w14:paraId="7215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614486AD">
                  <w:pPr>
                    <w:pStyle w:val="237"/>
                    <w:jc w:val="center"/>
                    <w:rPr>
                      <w:rFonts w:eastAsiaTheme="minorEastAsia"/>
                      <w:szCs w:val="21"/>
                    </w:rPr>
                  </w:pPr>
                </w:p>
              </w:tc>
              <w:tc>
                <w:tcPr>
                  <w:tcW w:w="1596" w:type="dxa"/>
                  <w:vMerge w:val="continue"/>
                  <w:vAlign w:val="center"/>
                </w:tcPr>
                <w:p w14:paraId="175C4116">
                  <w:pPr>
                    <w:pStyle w:val="237"/>
                    <w:jc w:val="center"/>
                    <w:rPr>
                      <w:rFonts w:eastAsiaTheme="minorEastAsia"/>
                      <w:szCs w:val="21"/>
                    </w:rPr>
                  </w:pPr>
                </w:p>
              </w:tc>
              <w:tc>
                <w:tcPr>
                  <w:tcW w:w="1438" w:type="dxa"/>
                  <w:vMerge w:val="continue"/>
                  <w:vAlign w:val="center"/>
                </w:tcPr>
                <w:p w14:paraId="371971A3">
                  <w:pPr>
                    <w:pStyle w:val="237"/>
                    <w:jc w:val="center"/>
                    <w:rPr>
                      <w:rFonts w:eastAsiaTheme="minorEastAsia"/>
                      <w:szCs w:val="21"/>
                    </w:rPr>
                  </w:pPr>
                </w:p>
              </w:tc>
              <w:tc>
                <w:tcPr>
                  <w:tcW w:w="1759" w:type="dxa"/>
                  <w:vAlign w:val="center"/>
                </w:tcPr>
                <w:p w14:paraId="26E4C6E4">
                  <w:pPr>
                    <w:pStyle w:val="237"/>
                    <w:jc w:val="center"/>
                  </w:pPr>
                  <w:r>
                    <w:rPr>
                      <w:rFonts w:hint="eastAsia"/>
                    </w:rPr>
                    <w:t>14152</w:t>
                  </w:r>
                </w:p>
              </w:tc>
              <w:tc>
                <w:tcPr>
                  <w:tcW w:w="1439" w:type="dxa"/>
                  <w:vAlign w:val="center"/>
                </w:tcPr>
                <w:p w14:paraId="212BD663">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2DB97B35">
                  <w:pPr>
                    <w:pStyle w:val="237"/>
                    <w:jc w:val="center"/>
                  </w:pPr>
                  <w:r>
                    <w:rPr>
                      <w:rFonts w:hint="eastAsia"/>
                    </w:rPr>
                    <w:t>1.07</w:t>
                  </w:r>
                  <w:r>
                    <w:t>×</w:t>
                  </w:r>
                  <w:r>
                    <w:rPr>
                      <w:rFonts w:hint="eastAsia"/>
                    </w:rPr>
                    <w:t>10</w:t>
                  </w:r>
                  <w:r>
                    <w:rPr>
                      <w:rFonts w:hint="eastAsia"/>
                      <w:vertAlign w:val="superscript"/>
                    </w:rPr>
                    <w:t>-5</w:t>
                  </w:r>
                </w:p>
              </w:tc>
            </w:tr>
            <w:tr w14:paraId="66F0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33209DB8">
                  <w:pPr>
                    <w:pStyle w:val="237"/>
                    <w:jc w:val="center"/>
                    <w:rPr>
                      <w:rFonts w:eastAsiaTheme="minorEastAsia"/>
                      <w:szCs w:val="21"/>
                    </w:rPr>
                  </w:pPr>
                </w:p>
              </w:tc>
              <w:tc>
                <w:tcPr>
                  <w:tcW w:w="1596" w:type="dxa"/>
                  <w:vMerge w:val="continue"/>
                  <w:vAlign w:val="center"/>
                </w:tcPr>
                <w:p w14:paraId="5D6A3004">
                  <w:pPr>
                    <w:pStyle w:val="237"/>
                    <w:jc w:val="center"/>
                    <w:rPr>
                      <w:rFonts w:eastAsiaTheme="minorEastAsia"/>
                      <w:szCs w:val="21"/>
                    </w:rPr>
                  </w:pPr>
                </w:p>
              </w:tc>
              <w:tc>
                <w:tcPr>
                  <w:tcW w:w="1438" w:type="dxa"/>
                  <w:vMerge w:val="continue"/>
                  <w:vAlign w:val="center"/>
                </w:tcPr>
                <w:p w14:paraId="6782151A">
                  <w:pPr>
                    <w:pStyle w:val="237"/>
                    <w:jc w:val="center"/>
                    <w:rPr>
                      <w:rFonts w:eastAsiaTheme="minorEastAsia"/>
                      <w:szCs w:val="21"/>
                    </w:rPr>
                  </w:pPr>
                </w:p>
              </w:tc>
              <w:tc>
                <w:tcPr>
                  <w:tcW w:w="1759" w:type="dxa"/>
                  <w:vAlign w:val="center"/>
                </w:tcPr>
                <w:p w14:paraId="3E81105F">
                  <w:pPr>
                    <w:pStyle w:val="237"/>
                    <w:jc w:val="center"/>
                  </w:pPr>
                  <w:r>
                    <w:rPr>
                      <w:rFonts w:hint="eastAsia"/>
                    </w:rPr>
                    <w:t>14221</w:t>
                  </w:r>
                </w:p>
              </w:tc>
              <w:tc>
                <w:tcPr>
                  <w:tcW w:w="1439" w:type="dxa"/>
                  <w:vAlign w:val="center"/>
                </w:tcPr>
                <w:p w14:paraId="623C72A5">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3A75413C">
                  <w:pPr>
                    <w:pStyle w:val="237"/>
                    <w:jc w:val="center"/>
                  </w:pPr>
                  <w:r>
                    <w:rPr>
                      <w:rFonts w:hint="eastAsia"/>
                    </w:rPr>
                    <w:t>1.07</w:t>
                  </w:r>
                  <w:r>
                    <w:t>×</w:t>
                  </w:r>
                  <w:r>
                    <w:rPr>
                      <w:rFonts w:hint="eastAsia"/>
                    </w:rPr>
                    <w:t>10</w:t>
                  </w:r>
                  <w:r>
                    <w:rPr>
                      <w:rFonts w:hint="eastAsia"/>
                      <w:vertAlign w:val="superscript"/>
                    </w:rPr>
                    <w:t>-5</w:t>
                  </w:r>
                </w:p>
              </w:tc>
            </w:tr>
            <w:tr w14:paraId="232B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188F695F">
                  <w:pPr>
                    <w:pStyle w:val="237"/>
                    <w:jc w:val="center"/>
                    <w:rPr>
                      <w:rFonts w:eastAsiaTheme="minorEastAsia"/>
                      <w:szCs w:val="21"/>
                    </w:rPr>
                  </w:pPr>
                </w:p>
              </w:tc>
              <w:tc>
                <w:tcPr>
                  <w:tcW w:w="1596" w:type="dxa"/>
                  <w:vMerge w:val="restart"/>
                  <w:vAlign w:val="center"/>
                </w:tcPr>
                <w:p w14:paraId="0FF13116">
                  <w:pPr>
                    <w:pStyle w:val="237"/>
                    <w:jc w:val="center"/>
                    <w:rPr>
                      <w:rFonts w:eastAsiaTheme="minorEastAsia"/>
                      <w:szCs w:val="21"/>
                    </w:rPr>
                  </w:pPr>
                  <w:r>
                    <w:rPr>
                      <w:rFonts w:hint="eastAsia" w:eastAsiaTheme="minorEastAsia"/>
                      <w:szCs w:val="21"/>
                    </w:rPr>
                    <w:t>臭气浓度</w:t>
                  </w:r>
                </w:p>
              </w:tc>
              <w:tc>
                <w:tcPr>
                  <w:tcW w:w="1438" w:type="dxa"/>
                  <w:vMerge w:val="continue"/>
                  <w:vAlign w:val="center"/>
                </w:tcPr>
                <w:p w14:paraId="2423726A">
                  <w:pPr>
                    <w:pStyle w:val="237"/>
                    <w:jc w:val="center"/>
                    <w:rPr>
                      <w:rFonts w:eastAsiaTheme="minorEastAsia"/>
                      <w:szCs w:val="21"/>
                    </w:rPr>
                  </w:pPr>
                </w:p>
              </w:tc>
              <w:tc>
                <w:tcPr>
                  <w:tcW w:w="1759" w:type="dxa"/>
                  <w:vMerge w:val="restart"/>
                  <w:vAlign w:val="center"/>
                </w:tcPr>
                <w:p w14:paraId="4AEC79EE">
                  <w:pPr>
                    <w:pStyle w:val="237"/>
                    <w:jc w:val="center"/>
                  </w:pPr>
                  <w:r>
                    <w:rPr>
                      <w:rFonts w:hint="eastAsia" w:cs="楷体"/>
                      <w:szCs w:val="21"/>
                    </w:rPr>
                    <w:t>1.27</w:t>
                  </w:r>
                  <w:r>
                    <w:rPr>
                      <w:rFonts w:hint="eastAsia"/>
                      <w:szCs w:val="21"/>
                    </w:rPr>
                    <w:t>×</w:t>
                  </w:r>
                  <w:r>
                    <w:rPr>
                      <w:rFonts w:hint="eastAsia" w:cs="楷体"/>
                      <w:szCs w:val="21"/>
                    </w:rPr>
                    <w:t>10</w:t>
                  </w:r>
                  <w:r>
                    <w:rPr>
                      <w:rFonts w:hint="eastAsia" w:cs="楷体"/>
                      <w:szCs w:val="21"/>
                      <w:vertAlign w:val="superscript"/>
                    </w:rPr>
                    <w:t>4</w:t>
                  </w:r>
                </w:p>
              </w:tc>
              <w:tc>
                <w:tcPr>
                  <w:tcW w:w="1439" w:type="dxa"/>
                  <w:vAlign w:val="center"/>
                </w:tcPr>
                <w:p w14:paraId="3E54E860">
                  <w:pPr>
                    <w:pStyle w:val="237"/>
                    <w:jc w:val="center"/>
                  </w:pPr>
                  <w:r>
                    <w:rPr>
                      <w:rFonts w:hint="eastAsia"/>
                    </w:rPr>
                    <w:t>549</w:t>
                  </w:r>
                </w:p>
              </w:tc>
              <w:tc>
                <w:tcPr>
                  <w:tcW w:w="1397" w:type="dxa"/>
                  <w:vAlign w:val="center"/>
                </w:tcPr>
                <w:p w14:paraId="4FA1F804">
                  <w:pPr>
                    <w:pStyle w:val="237"/>
                    <w:jc w:val="center"/>
                  </w:pPr>
                  <w:r>
                    <w:rPr>
                      <w:rFonts w:hint="eastAsia"/>
                    </w:rPr>
                    <w:t>/</w:t>
                  </w:r>
                </w:p>
              </w:tc>
            </w:tr>
            <w:tr w14:paraId="2E97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7FDD86B2">
                  <w:pPr>
                    <w:pStyle w:val="237"/>
                    <w:jc w:val="center"/>
                    <w:rPr>
                      <w:rFonts w:eastAsiaTheme="minorEastAsia"/>
                      <w:szCs w:val="21"/>
                    </w:rPr>
                  </w:pPr>
                </w:p>
              </w:tc>
              <w:tc>
                <w:tcPr>
                  <w:tcW w:w="1596" w:type="dxa"/>
                  <w:vMerge w:val="continue"/>
                  <w:vAlign w:val="center"/>
                </w:tcPr>
                <w:p w14:paraId="0D47F383">
                  <w:pPr>
                    <w:pStyle w:val="237"/>
                    <w:jc w:val="center"/>
                    <w:rPr>
                      <w:rFonts w:eastAsiaTheme="minorEastAsia"/>
                      <w:szCs w:val="21"/>
                    </w:rPr>
                  </w:pPr>
                </w:p>
              </w:tc>
              <w:tc>
                <w:tcPr>
                  <w:tcW w:w="1438" w:type="dxa"/>
                  <w:vMerge w:val="continue"/>
                  <w:vAlign w:val="center"/>
                </w:tcPr>
                <w:p w14:paraId="1FED1307">
                  <w:pPr>
                    <w:pStyle w:val="237"/>
                    <w:jc w:val="center"/>
                    <w:rPr>
                      <w:rFonts w:eastAsiaTheme="minorEastAsia"/>
                      <w:szCs w:val="21"/>
                    </w:rPr>
                  </w:pPr>
                </w:p>
              </w:tc>
              <w:tc>
                <w:tcPr>
                  <w:tcW w:w="1759" w:type="dxa"/>
                  <w:vMerge w:val="continue"/>
                  <w:vAlign w:val="center"/>
                </w:tcPr>
                <w:p w14:paraId="0DC13A34">
                  <w:pPr>
                    <w:pStyle w:val="237"/>
                    <w:jc w:val="center"/>
                  </w:pPr>
                </w:p>
              </w:tc>
              <w:tc>
                <w:tcPr>
                  <w:tcW w:w="1439" w:type="dxa"/>
                  <w:vAlign w:val="center"/>
                </w:tcPr>
                <w:p w14:paraId="52C010DA">
                  <w:pPr>
                    <w:pStyle w:val="237"/>
                    <w:jc w:val="center"/>
                  </w:pPr>
                  <w:r>
                    <w:rPr>
                      <w:rFonts w:hint="eastAsia"/>
                    </w:rPr>
                    <w:t>549</w:t>
                  </w:r>
                </w:p>
              </w:tc>
              <w:tc>
                <w:tcPr>
                  <w:tcW w:w="1397" w:type="dxa"/>
                  <w:vAlign w:val="center"/>
                </w:tcPr>
                <w:p w14:paraId="2D14FF69">
                  <w:pPr>
                    <w:pStyle w:val="237"/>
                    <w:jc w:val="center"/>
                  </w:pPr>
                  <w:r>
                    <w:rPr>
                      <w:rFonts w:hint="eastAsia"/>
                    </w:rPr>
                    <w:t>/</w:t>
                  </w:r>
                </w:p>
              </w:tc>
            </w:tr>
            <w:tr w14:paraId="7E5F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61E26F3E">
                  <w:pPr>
                    <w:pStyle w:val="237"/>
                    <w:jc w:val="center"/>
                    <w:rPr>
                      <w:rFonts w:eastAsiaTheme="minorEastAsia"/>
                      <w:szCs w:val="21"/>
                    </w:rPr>
                  </w:pPr>
                </w:p>
              </w:tc>
              <w:tc>
                <w:tcPr>
                  <w:tcW w:w="1596" w:type="dxa"/>
                  <w:vMerge w:val="continue"/>
                  <w:vAlign w:val="center"/>
                </w:tcPr>
                <w:p w14:paraId="3FEB5B9F">
                  <w:pPr>
                    <w:pStyle w:val="237"/>
                    <w:jc w:val="center"/>
                    <w:rPr>
                      <w:rFonts w:eastAsiaTheme="minorEastAsia"/>
                      <w:szCs w:val="21"/>
                    </w:rPr>
                  </w:pPr>
                </w:p>
              </w:tc>
              <w:tc>
                <w:tcPr>
                  <w:tcW w:w="1438" w:type="dxa"/>
                  <w:vMerge w:val="continue"/>
                  <w:vAlign w:val="center"/>
                </w:tcPr>
                <w:p w14:paraId="375F84D3">
                  <w:pPr>
                    <w:pStyle w:val="237"/>
                    <w:jc w:val="center"/>
                    <w:rPr>
                      <w:rFonts w:eastAsiaTheme="minorEastAsia"/>
                      <w:szCs w:val="21"/>
                    </w:rPr>
                  </w:pPr>
                </w:p>
              </w:tc>
              <w:tc>
                <w:tcPr>
                  <w:tcW w:w="1759" w:type="dxa"/>
                  <w:vMerge w:val="continue"/>
                  <w:vAlign w:val="center"/>
                </w:tcPr>
                <w:p w14:paraId="25F06E26">
                  <w:pPr>
                    <w:pStyle w:val="237"/>
                    <w:jc w:val="center"/>
                  </w:pPr>
                </w:p>
              </w:tc>
              <w:tc>
                <w:tcPr>
                  <w:tcW w:w="1439" w:type="dxa"/>
                  <w:vAlign w:val="center"/>
                </w:tcPr>
                <w:p w14:paraId="6693CC25">
                  <w:pPr>
                    <w:pStyle w:val="237"/>
                    <w:jc w:val="center"/>
                  </w:pPr>
                  <w:r>
                    <w:rPr>
                      <w:rFonts w:hint="eastAsia"/>
                    </w:rPr>
                    <w:t>416</w:t>
                  </w:r>
                </w:p>
              </w:tc>
              <w:tc>
                <w:tcPr>
                  <w:tcW w:w="1397" w:type="dxa"/>
                  <w:vAlign w:val="center"/>
                </w:tcPr>
                <w:p w14:paraId="3E025EF9">
                  <w:pPr>
                    <w:pStyle w:val="237"/>
                    <w:jc w:val="center"/>
                  </w:pPr>
                  <w:r>
                    <w:rPr>
                      <w:rFonts w:hint="eastAsia"/>
                    </w:rPr>
                    <w:t>/</w:t>
                  </w:r>
                </w:p>
              </w:tc>
            </w:tr>
            <w:tr w14:paraId="083A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restart"/>
                  <w:vAlign w:val="center"/>
                </w:tcPr>
                <w:p w14:paraId="7269E51C">
                  <w:pPr>
                    <w:pStyle w:val="237"/>
                    <w:jc w:val="center"/>
                    <w:rPr>
                      <w:rFonts w:eastAsiaTheme="minorEastAsia"/>
                      <w:szCs w:val="21"/>
                    </w:rPr>
                  </w:pPr>
                  <w:r>
                    <w:rPr>
                      <w:rFonts w:eastAsiaTheme="minorEastAsia"/>
                      <w:szCs w:val="21"/>
                    </w:rPr>
                    <w:t>20</w:t>
                  </w:r>
                  <w:r>
                    <w:rPr>
                      <w:rFonts w:hint="eastAsia" w:eastAsiaTheme="minorEastAsia"/>
                      <w:szCs w:val="21"/>
                    </w:rPr>
                    <w:t>20</w:t>
                  </w:r>
                  <w:r>
                    <w:rPr>
                      <w:rFonts w:eastAsiaTheme="minorEastAsia"/>
                      <w:szCs w:val="21"/>
                    </w:rPr>
                    <w:t>.</w:t>
                  </w:r>
                  <w:r>
                    <w:rPr>
                      <w:rFonts w:hint="eastAsia" w:eastAsiaTheme="minorEastAsia"/>
                      <w:szCs w:val="21"/>
                    </w:rPr>
                    <w:t>09</w:t>
                  </w:r>
                  <w:r>
                    <w:rPr>
                      <w:rFonts w:eastAsiaTheme="minorEastAsia"/>
                      <w:szCs w:val="21"/>
                    </w:rPr>
                    <w:t>.</w:t>
                  </w:r>
                  <w:r>
                    <w:rPr>
                      <w:rFonts w:hint="eastAsia" w:eastAsiaTheme="minorEastAsia"/>
                      <w:szCs w:val="21"/>
                    </w:rPr>
                    <w:t>03</w:t>
                  </w:r>
                </w:p>
              </w:tc>
              <w:tc>
                <w:tcPr>
                  <w:tcW w:w="1596" w:type="dxa"/>
                  <w:vMerge w:val="restart"/>
                  <w:vAlign w:val="center"/>
                </w:tcPr>
                <w:p w14:paraId="46592363">
                  <w:pPr>
                    <w:pStyle w:val="237"/>
                    <w:jc w:val="center"/>
                    <w:rPr>
                      <w:rFonts w:eastAsiaTheme="minorEastAsia"/>
                      <w:szCs w:val="21"/>
                    </w:rPr>
                  </w:pPr>
                  <w:r>
                    <w:rPr>
                      <w:rFonts w:hint="eastAsia" w:eastAsiaTheme="minorEastAsia"/>
                      <w:szCs w:val="21"/>
                    </w:rPr>
                    <w:t>烟（粉）尘</w:t>
                  </w:r>
                </w:p>
              </w:tc>
              <w:tc>
                <w:tcPr>
                  <w:tcW w:w="1438" w:type="dxa"/>
                  <w:vMerge w:val="restart"/>
                  <w:vAlign w:val="center"/>
                </w:tcPr>
                <w:p w14:paraId="533EFE0F">
                  <w:pPr>
                    <w:pStyle w:val="237"/>
                    <w:jc w:val="center"/>
                    <w:rPr>
                      <w:rFonts w:eastAsiaTheme="minorEastAsia"/>
                      <w:b/>
                      <w:szCs w:val="21"/>
                    </w:rPr>
                  </w:pPr>
                  <w:r>
                    <w:rPr>
                      <w:rFonts w:hint="eastAsia"/>
                    </w:rPr>
                    <w:t>滤芯除尘装置出口1#</w:t>
                  </w:r>
                </w:p>
              </w:tc>
              <w:tc>
                <w:tcPr>
                  <w:tcW w:w="1759" w:type="dxa"/>
                  <w:vAlign w:val="center"/>
                </w:tcPr>
                <w:p w14:paraId="7391D770">
                  <w:pPr>
                    <w:pStyle w:val="237"/>
                    <w:jc w:val="center"/>
                  </w:pPr>
                  <w:r>
                    <w:rPr>
                      <w:rFonts w:hint="eastAsia"/>
                    </w:rPr>
                    <w:t>1788</w:t>
                  </w:r>
                </w:p>
              </w:tc>
              <w:tc>
                <w:tcPr>
                  <w:tcW w:w="1439" w:type="dxa"/>
                  <w:vAlign w:val="center"/>
                </w:tcPr>
                <w:p w14:paraId="3E9B2B85">
                  <w:pPr>
                    <w:pStyle w:val="237"/>
                    <w:jc w:val="center"/>
                  </w:pPr>
                  <w:r>
                    <w:rPr>
                      <w:rFonts w:hint="eastAsia"/>
                    </w:rPr>
                    <w:t>&lt;20</w:t>
                  </w:r>
                </w:p>
              </w:tc>
              <w:tc>
                <w:tcPr>
                  <w:tcW w:w="1397" w:type="dxa"/>
                  <w:vAlign w:val="center"/>
                </w:tcPr>
                <w:p w14:paraId="398701FB">
                  <w:pPr>
                    <w:pStyle w:val="237"/>
                    <w:jc w:val="center"/>
                  </w:pPr>
                  <w:r>
                    <w:rPr>
                      <w:rFonts w:hint="eastAsia"/>
                    </w:rPr>
                    <w:t>1.80</w:t>
                  </w:r>
                  <w:r>
                    <w:t>×</w:t>
                  </w:r>
                  <w:r>
                    <w:rPr>
                      <w:rFonts w:hint="eastAsia"/>
                    </w:rPr>
                    <w:t>10</w:t>
                  </w:r>
                  <w:r>
                    <w:rPr>
                      <w:rFonts w:hint="eastAsia"/>
                      <w:vertAlign w:val="superscript"/>
                    </w:rPr>
                    <w:t>-2</w:t>
                  </w:r>
                </w:p>
              </w:tc>
            </w:tr>
            <w:tr w14:paraId="0504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1DD672BC">
                  <w:pPr>
                    <w:pStyle w:val="237"/>
                    <w:jc w:val="center"/>
                    <w:rPr>
                      <w:rFonts w:eastAsiaTheme="minorEastAsia"/>
                      <w:szCs w:val="21"/>
                    </w:rPr>
                  </w:pPr>
                </w:p>
              </w:tc>
              <w:tc>
                <w:tcPr>
                  <w:tcW w:w="1596" w:type="dxa"/>
                  <w:vMerge w:val="continue"/>
                  <w:vAlign w:val="center"/>
                </w:tcPr>
                <w:p w14:paraId="389E5B31">
                  <w:pPr>
                    <w:pStyle w:val="237"/>
                    <w:jc w:val="center"/>
                    <w:rPr>
                      <w:rFonts w:eastAsiaTheme="minorEastAsia"/>
                      <w:szCs w:val="21"/>
                    </w:rPr>
                  </w:pPr>
                </w:p>
              </w:tc>
              <w:tc>
                <w:tcPr>
                  <w:tcW w:w="1438" w:type="dxa"/>
                  <w:vMerge w:val="continue"/>
                  <w:vAlign w:val="center"/>
                </w:tcPr>
                <w:p w14:paraId="0E283D3D">
                  <w:pPr>
                    <w:pStyle w:val="237"/>
                    <w:jc w:val="center"/>
                    <w:rPr>
                      <w:rFonts w:eastAsiaTheme="minorEastAsia"/>
                      <w:szCs w:val="21"/>
                    </w:rPr>
                  </w:pPr>
                </w:p>
              </w:tc>
              <w:tc>
                <w:tcPr>
                  <w:tcW w:w="1759" w:type="dxa"/>
                  <w:vAlign w:val="center"/>
                </w:tcPr>
                <w:p w14:paraId="3B75F479">
                  <w:pPr>
                    <w:pStyle w:val="237"/>
                    <w:jc w:val="center"/>
                  </w:pPr>
                  <w:r>
                    <w:rPr>
                      <w:rFonts w:hint="eastAsia"/>
                    </w:rPr>
                    <w:t>1809</w:t>
                  </w:r>
                </w:p>
              </w:tc>
              <w:tc>
                <w:tcPr>
                  <w:tcW w:w="1439" w:type="dxa"/>
                  <w:vAlign w:val="center"/>
                </w:tcPr>
                <w:p w14:paraId="20C6E54E">
                  <w:pPr>
                    <w:pStyle w:val="237"/>
                    <w:jc w:val="center"/>
                  </w:pPr>
                  <w:r>
                    <w:rPr>
                      <w:rFonts w:hint="eastAsia"/>
                    </w:rPr>
                    <w:t>&lt;20</w:t>
                  </w:r>
                </w:p>
              </w:tc>
              <w:tc>
                <w:tcPr>
                  <w:tcW w:w="1397" w:type="dxa"/>
                  <w:vAlign w:val="center"/>
                </w:tcPr>
                <w:p w14:paraId="32E5182B">
                  <w:pPr>
                    <w:pStyle w:val="237"/>
                    <w:jc w:val="center"/>
                  </w:pPr>
                  <w:r>
                    <w:rPr>
                      <w:rFonts w:hint="eastAsia"/>
                    </w:rPr>
                    <w:t>1.80</w:t>
                  </w:r>
                  <w:r>
                    <w:t>×</w:t>
                  </w:r>
                  <w:r>
                    <w:rPr>
                      <w:rFonts w:hint="eastAsia"/>
                    </w:rPr>
                    <w:t>10</w:t>
                  </w:r>
                  <w:r>
                    <w:rPr>
                      <w:rFonts w:hint="eastAsia"/>
                      <w:vertAlign w:val="superscript"/>
                    </w:rPr>
                    <w:t>-2</w:t>
                  </w:r>
                </w:p>
              </w:tc>
            </w:tr>
            <w:tr w14:paraId="605F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64238B0E">
                  <w:pPr>
                    <w:pStyle w:val="237"/>
                    <w:jc w:val="center"/>
                    <w:rPr>
                      <w:rFonts w:eastAsiaTheme="minorEastAsia"/>
                      <w:szCs w:val="21"/>
                    </w:rPr>
                  </w:pPr>
                </w:p>
              </w:tc>
              <w:tc>
                <w:tcPr>
                  <w:tcW w:w="1596" w:type="dxa"/>
                  <w:vMerge w:val="continue"/>
                  <w:vAlign w:val="center"/>
                </w:tcPr>
                <w:p w14:paraId="246E7D3B">
                  <w:pPr>
                    <w:pStyle w:val="237"/>
                    <w:jc w:val="center"/>
                    <w:rPr>
                      <w:rFonts w:eastAsiaTheme="minorEastAsia"/>
                      <w:szCs w:val="21"/>
                    </w:rPr>
                  </w:pPr>
                </w:p>
              </w:tc>
              <w:tc>
                <w:tcPr>
                  <w:tcW w:w="1438" w:type="dxa"/>
                  <w:vMerge w:val="continue"/>
                  <w:vAlign w:val="center"/>
                </w:tcPr>
                <w:p w14:paraId="78DBDEDE">
                  <w:pPr>
                    <w:pStyle w:val="237"/>
                    <w:jc w:val="center"/>
                    <w:rPr>
                      <w:rFonts w:eastAsiaTheme="minorEastAsia"/>
                      <w:szCs w:val="21"/>
                    </w:rPr>
                  </w:pPr>
                </w:p>
              </w:tc>
              <w:tc>
                <w:tcPr>
                  <w:tcW w:w="1759" w:type="dxa"/>
                  <w:vAlign w:val="center"/>
                </w:tcPr>
                <w:p w14:paraId="66FFF6FB">
                  <w:pPr>
                    <w:pStyle w:val="237"/>
                    <w:jc w:val="center"/>
                  </w:pPr>
                  <w:r>
                    <w:rPr>
                      <w:rFonts w:hint="eastAsia"/>
                    </w:rPr>
                    <w:t>1822</w:t>
                  </w:r>
                </w:p>
              </w:tc>
              <w:tc>
                <w:tcPr>
                  <w:tcW w:w="1439" w:type="dxa"/>
                  <w:vAlign w:val="center"/>
                </w:tcPr>
                <w:p w14:paraId="172888FA">
                  <w:pPr>
                    <w:pStyle w:val="237"/>
                    <w:jc w:val="center"/>
                  </w:pPr>
                  <w:r>
                    <w:rPr>
                      <w:rFonts w:hint="eastAsia"/>
                    </w:rPr>
                    <w:t>&lt;20</w:t>
                  </w:r>
                </w:p>
              </w:tc>
              <w:tc>
                <w:tcPr>
                  <w:tcW w:w="1397" w:type="dxa"/>
                  <w:vAlign w:val="center"/>
                </w:tcPr>
                <w:p w14:paraId="2B89C94A">
                  <w:pPr>
                    <w:pStyle w:val="237"/>
                    <w:jc w:val="center"/>
                  </w:pPr>
                  <w:r>
                    <w:rPr>
                      <w:rFonts w:hint="eastAsia"/>
                    </w:rPr>
                    <w:t>1.80</w:t>
                  </w:r>
                  <w:r>
                    <w:t>×</w:t>
                  </w:r>
                  <w:r>
                    <w:rPr>
                      <w:rFonts w:hint="eastAsia"/>
                    </w:rPr>
                    <w:t>10</w:t>
                  </w:r>
                  <w:r>
                    <w:rPr>
                      <w:rFonts w:hint="eastAsia"/>
                      <w:vertAlign w:val="superscript"/>
                    </w:rPr>
                    <w:t>-2</w:t>
                  </w:r>
                </w:p>
              </w:tc>
            </w:tr>
            <w:tr w14:paraId="6ABA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2090D706">
                  <w:pPr>
                    <w:pStyle w:val="237"/>
                    <w:jc w:val="center"/>
                    <w:rPr>
                      <w:rFonts w:eastAsiaTheme="minorEastAsia"/>
                      <w:szCs w:val="21"/>
                    </w:rPr>
                  </w:pPr>
                </w:p>
              </w:tc>
              <w:tc>
                <w:tcPr>
                  <w:tcW w:w="1596" w:type="dxa"/>
                  <w:vMerge w:val="restart"/>
                  <w:vAlign w:val="center"/>
                </w:tcPr>
                <w:p w14:paraId="111BB352">
                  <w:pPr>
                    <w:pStyle w:val="237"/>
                    <w:jc w:val="center"/>
                    <w:rPr>
                      <w:rFonts w:eastAsiaTheme="minorEastAsia"/>
                      <w:spacing w:val="-2"/>
                      <w:szCs w:val="21"/>
                    </w:rPr>
                  </w:pPr>
                  <w:r>
                    <w:rPr>
                      <w:rFonts w:hint="eastAsia" w:hAnsiTheme="minorEastAsia" w:eastAsiaTheme="minorEastAsia"/>
                      <w:spacing w:val="-2"/>
                      <w:szCs w:val="21"/>
                    </w:rPr>
                    <w:t>非甲烷总烃</w:t>
                  </w:r>
                </w:p>
              </w:tc>
              <w:tc>
                <w:tcPr>
                  <w:tcW w:w="1438" w:type="dxa"/>
                  <w:vMerge w:val="restart"/>
                  <w:vAlign w:val="center"/>
                </w:tcPr>
                <w:p w14:paraId="4BE6073C">
                  <w:pPr>
                    <w:pStyle w:val="237"/>
                    <w:jc w:val="center"/>
                    <w:rPr>
                      <w:rFonts w:eastAsiaTheme="minorEastAsia"/>
                      <w:szCs w:val="21"/>
                    </w:rPr>
                  </w:pPr>
                  <w:r>
                    <w:rPr>
                      <w:rFonts w:hint="eastAsia" w:hAnsiTheme="minorEastAsia" w:eastAsiaTheme="minorEastAsia"/>
                      <w:spacing w:val="-2"/>
                      <w:szCs w:val="21"/>
                    </w:rPr>
                    <w:t>废气处理装置进口</w:t>
                  </w:r>
                  <w:r>
                    <w:rPr>
                      <w:rFonts w:hint="eastAsia" w:eastAsiaTheme="minorEastAsia"/>
                      <w:spacing w:val="-2"/>
                      <w:szCs w:val="21"/>
                    </w:rPr>
                    <w:t>2</w:t>
                  </w:r>
                  <w:r>
                    <w:rPr>
                      <w:rFonts w:eastAsiaTheme="minorEastAsia"/>
                      <w:spacing w:val="-2"/>
                      <w:szCs w:val="21"/>
                    </w:rPr>
                    <w:t>#</w:t>
                  </w:r>
                </w:p>
              </w:tc>
              <w:tc>
                <w:tcPr>
                  <w:tcW w:w="1759" w:type="dxa"/>
                  <w:vAlign w:val="center"/>
                </w:tcPr>
                <w:p w14:paraId="4217C92F">
                  <w:pPr>
                    <w:pStyle w:val="237"/>
                    <w:jc w:val="center"/>
                  </w:pPr>
                  <w:r>
                    <w:rPr>
                      <w:rFonts w:hint="eastAsia"/>
                    </w:rPr>
                    <w:t>4776</w:t>
                  </w:r>
                </w:p>
              </w:tc>
              <w:tc>
                <w:tcPr>
                  <w:tcW w:w="1439" w:type="dxa"/>
                  <w:vAlign w:val="center"/>
                </w:tcPr>
                <w:p w14:paraId="44D1FE40">
                  <w:pPr>
                    <w:pStyle w:val="237"/>
                    <w:jc w:val="center"/>
                  </w:pPr>
                  <w:r>
                    <w:rPr>
                      <w:rFonts w:hint="eastAsia"/>
                    </w:rPr>
                    <w:t>22.1</w:t>
                  </w:r>
                </w:p>
              </w:tc>
              <w:tc>
                <w:tcPr>
                  <w:tcW w:w="1397" w:type="dxa"/>
                  <w:vAlign w:val="center"/>
                </w:tcPr>
                <w:p w14:paraId="403CB1F5">
                  <w:pPr>
                    <w:pStyle w:val="237"/>
                    <w:jc w:val="center"/>
                  </w:pPr>
                  <w:r>
                    <w:rPr>
                      <w:rFonts w:hint="eastAsia"/>
                    </w:rPr>
                    <w:t>0.106</w:t>
                  </w:r>
                </w:p>
              </w:tc>
            </w:tr>
            <w:tr w14:paraId="37F2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5D661D67">
                  <w:pPr>
                    <w:pStyle w:val="237"/>
                    <w:jc w:val="center"/>
                    <w:rPr>
                      <w:rFonts w:eastAsiaTheme="minorEastAsia"/>
                      <w:szCs w:val="21"/>
                    </w:rPr>
                  </w:pPr>
                </w:p>
              </w:tc>
              <w:tc>
                <w:tcPr>
                  <w:tcW w:w="1596" w:type="dxa"/>
                  <w:vMerge w:val="continue"/>
                  <w:vAlign w:val="center"/>
                </w:tcPr>
                <w:p w14:paraId="18C94D69">
                  <w:pPr>
                    <w:pStyle w:val="237"/>
                    <w:jc w:val="center"/>
                    <w:rPr>
                      <w:rFonts w:eastAsiaTheme="minorEastAsia"/>
                      <w:szCs w:val="21"/>
                    </w:rPr>
                  </w:pPr>
                </w:p>
              </w:tc>
              <w:tc>
                <w:tcPr>
                  <w:tcW w:w="1438" w:type="dxa"/>
                  <w:vMerge w:val="continue"/>
                  <w:vAlign w:val="center"/>
                </w:tcPr>
                <w:p w14:paraId="226A9096">
                  <w:pPr>
                    <w:pStyle w:val="237"/>
                    <w:jc w:val="center"/>
                    <w:rPr>
                      <w:rFonts w:eastAsiaTheme="minorEastAsia"/>
                      <w:szCs w:val="21"/>
                    </w:rPr>
                  </w:pPr>
                </w:p>
              </w:tc>
              <w:tc>
                <w:tcPr>
                  <w:tcW w:w="1759" w:type="dxa"/>
                  <w:vAlign w:val="center"/>
                </w:tcPr>
                <w:p w14:paraId="636C5F85">
                  <w:pPr>
                    <w:pStyle w:val="237"/>
                    <w:jc w:val="center"/>
                  </w:pPr>
                  <w:r>
                    <w:rPr>
                      <w:rFonts w:hint="eastAsia"/>
                    </w:rPr>
                    <w:t>4799</w:t>
                  </w:r>
                </w:p>
              </w:tc>
              <w:tc>
                <w:tcPr>
                  <w:tcW w:w="1439" w:type="dxa"/>
                  <w:vAlign w:val="center"/>
                </w:tcPr>
                <w:p w14:paraId="32061DA5">
                  <w:pPr>
                    <w:pStyle w:val="237"/>
                    <w:jc w:val="center"/>
                  </w:pPr>
                  <w:r>
                    <w:rPr>
                      <w:rFonts w:hint="eastAsia"/>
                    </w:rPr>
                    <w:t>23.5</w:t>
                  </w:r>
                </w:p>
              </w:tc>
              <w:tc>
                <w:tcPr>
                  <w:tcW w:w="1397" w:type="dxa"/>
                  <w:vAlign w:val="center"/>
                </w:tcPr>
                <w:p w14:paraId="30AAEB39">
                  <w:pPr>
                    <w:pStyle w:val="237"/>
                    <w:jc w:val="center"/>
                  </w:pPr>
                  <w:r>
                    <w:rPr>
                      <w:rFonts w:hint="eastAsia"/>
                    </w:rPr>
                    <w:t>0.113</w:t>
                  </w:r>
                </w:p>
              </w:tc>
            </w:tr>
            <w:tr w14:paraId="7A88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327181AB">
                  <w:pPr>
                    <w:pStyle w:val="237"/>
                    <w:jc w:val="center"/>
                    <w:rPr>
                      <w:rFonts w:eastAsiaTheme="minorEastAsia"/>
                      <w:szCs w:val="21"/>
                    </w:rPr>
                  </w:pPr>
                </w:p>
              </w:tc>
              <w:tc>
                <w:tcPr>
                  <w:tcW w:w="1596" w:type="dxa"/>
                  <w:vMerge w:val="continue"/>
                  <w:vAlign w:val="center"/>
                </w:tcPr>
                <w:p w14:paraId="61ACEDFB">
                  <w:pPr>
                    <w:pStyle w:val="237"/>
                    <w:jc w:val="center"/>
                    <w:rPr>
                      <w:rFonts w:eastAsiaTheme="minorEastAsia"/>
                      <w:szCs w:val="21"/>
                    </w:rPr>
                  </w:pPr>
                </w:p>
              </w:tc>
              <w:tc>
                <w:tcPr>
                  <w:tcW w:w="1438" w:type="dxa"/>
                  <w:vMerge w:val="continue"/>
                  <w:vAlign w:val="center"/>
                </w:tcPr>
                <w:p w14:paraId="53013D0E">
                  <w:pPr>
                    <w:pStyle w:val="237"/>
                    <w:jc w:val="center"/>
                    <w:rPr>
                      <w:rFonts w:eastAsiaTheme="minorEastAsia"/>
                      <w:szCs w:val="21"/>
                    </w:rPr>
                  </w:pPr>
                </w:p>
              </w:tc>
              <w:tc>
                <w:tcPr>
                  <w:tcW w:w="1759" w:type="dxa"/>
                  <w:vAlign w:val="center"/>
                </w:tcPr>
                <w:p w14:paraId="287DD322">
                  <w:pPr>
                    <w:pStyle w:val="237"/>
                    <w:jc w:val="center"/>
                  </w:pPr>
                  <w:r>
                    <w:rPr>
                      <w:rFonts w:hint="eastAsia"/>
                    </w:rPr>
                    <w:t>4821</w:t>
                  </w:r>
                </w:p>
              </w:tc>
              <w:tc>
                <w:tcPr>
                  <w:tcW w:w="1439" w:type="dxa"/>
                  <w:vAlign w:val="center"/>
                </w:tcPr>
                <w:p w14:paraId="133508FE">
                  <w:pPr>
                    <w:pStyle w:val="237"/>
                    <w:jc w:val="center"/>
                  </w:pPr>
                  <w:r>
                    <w:rPr>
                      <w:rFonts w:hint="eastAsia"/>
                    </w:rPr>
                    <w:t>21.3</w:t>
                  </w:r>
                </w:p>
              </w:tc>
              <w:tc>
                <w:tcPr>
                  <w:tcW w:w="1397" w:type="dxa"/>
                  <w:vAlign w:val="center"/>
                </w:tcPr>
                <w:p w14:paraId="218B070E">
                  <w:pPr>
                    <w:pStyle w:val="237"/>
                    <w:jc w:val="center"/>
                  </w:pPr>
                  <w:r>
                    <w:rPr>
                      <w:rFonts w:hint="eastAsia"/>
                    </w:rPr>
                    <w:t>0.103</w:t>
                  </w:r>
                </w:p>
              </w:tc>
            </w:tr>
            <w:tr w14:paraId="69CC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76B4F405">
                  <w:pPr>
                    <w:pStyle w:val="237"/>
                    <w:jc w:val="center"/>
                    <w:rPr>
                      <w:rFonts w:eastAsiaTheme="minorEastAsia"/>
                      <w:szCs w:val="21"/>
                    </w:rPr>
                  </w:pPr>
                </w:p>
              </w:tc>
              <w:tc>
                <w:tcPr>
                  <w:tcW w:w="1596" w:type="dxa"/>
                  <w:vMerge w:val="continue"/>
                  <w:vAlign w:val="center"/>
                </w:tcPr>
                <w:p w14:paraId="179A64E1">
                  <w:pPr>
                    <w:pStyle w:val="237"/>
                    <w:jc w:val="center"/>
                    <w:rPr>
                      <w:rFonts w:eastAsiaTheme="minorEastAsia"/>
                      <w:szCs w:val="21"/>
                    </w:rPr>
                  </w:pPr>
                </w:p>
              </w:tc>
              <w:tc>
                <w:tcPr>
                  <w:tcW w:w="1438" w:type="dxa"/>
                  <w:vMerge w:val="continue"/>
                  <w:vAlign w:val="center"/>
                </w:tcPr>
                <w:p w14:paraId="1EC2D8CC">
                  <w:pPr>
                    <w:pStyle w:val="237"/>
                    <w:jc w:val="center"/>
                    <w:rPr>
                      <w:rFonts w:eastAsiaTheme="minorEastAsia"/>
                      <w:szCs w:val="21"/>
                    </w:rPr>
                  </w:pPr>
                </w:p>
              </w:tc>
              <w:tc>
                <w:tcPr>
                  <w:tcW w:w="1759" w:type="dxa"/>
                  <w:vAlign w:val="center"/>
                </w:tcPr>
                <w:p w14:paraId="2654EFE1">
                  <w:pPr>
                    <w:pStyle w:val="237"/>
                    <w:jc w:val="center"/>
                  </w:pPr>
                  <w:r>
                    <w:rPr>
                      <w:rFonts w:hint="eastAsia"/>
                    </w:rPr>
                    <w:t>14951</w:t>
                  </w:r>
                </w:p>
              </w:tc>
              <w:tc>
                <w:tcPr>
                  <w:tcW w:w="1439" w:type="dxa"/>
                  <w:vAlign w:val="center"/>
                </w:tcPr>
                <w:p w14:paraId="0DFE8FC2">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0A4183D9">
                  <w:pPr>
                    <w:pStyle w:val="237"/>
                    <w:jc w:val="center"/>
                  </w:pPr>
                  <w:r>
                    <w:rPr>
                      <w:rFonts w:hint="eastAsia"/>
                    </w:rPr>
                    <w:t>/</w:t>
                  </w:r>
                </w:p>
              </w:tc>
            </w:tr>
            <w:tr w14:paraId="0998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43BCA9BF">
                  <w:pPr>
                    <w:pStyle w:val="237"/>
                    <w:jc w:val="center"/>
                    <w:rPr>
                      <w:rFonts w:eastAsiaTheme="minorEastAsia"/>
                      <w:szCs w:val="21"/>
                    </w:rPr>
                  </w:pPr>
                </w:p>
              </w:tc>
              <w:tc>
                <w:tcPr>
                  <w:tcW w:w="1596" w:type="dxa"/>
                  <w:vMerge w:val="continue"/>
                  <w:vAlign w:val="center"/>
                </w:tcPr>
                <w:p w14:paraId="3B72AC3B">
                  <w:pPr>
                    <w:pStyle w:val="237"/>
                    <w:jc w:val="center"/>
                    <w:rPr>
                      <w:rFonts w:eastAsiaTheme="minorEastAsia"/>
                      <w:szCs w:val="21"/>
                    </w:rPr>
                  </w:pPr>
                </w:p>
              </w:tc>
              <w:tc>
                <w:tcPr>
                  <w:tcW w:w="1438" w:type="dxa"/>
                  <w:vMerge w:val="continue"/>
                  <w:vAlign w:val="center"/>
                </w:tcPr>
                <w:p w14:paraId="1924BA95">
                  <w:pPr>
                    <w:pStyle w:val="237"/>
                    <w:jc w:val="center"/>
                    <w:rPr>
                      <w:rFonts w:eastAsiaTheme="minorEastAsia"/>
                      <w:szCs w:val="21"/>
                    </w:rPr>
                  </w:pPr>
                </w:p>
              </w:tc>
              <w:tc>
                <w:tcPr>
                  <w:tcW w:w="1759" w:type="dxa"/>
                  <w:vAlign w:val="center"/>
                </w:tcPr>
                <w:p w14:paraId="69034F1E">
                  <w:pPr>
                    <w:pStyle w:val="237"/>
                    <w:jc w:val="center"/>
                  </w:pPr>
                  <w:r>
                    <w:rPr>
                      <w:rFonts w:hint="eastAsia"/>
                    </w:rPr>
                    <w:t>14765</w:t>
                  </w:r>
                </w:p>
              </w:tc>
              <w:tc>
                <w:tcPr>
                  <w:tcW w:w="1439" w:type="dxa"/>
                  <w:vAlign w:val="center"/>
                </w:tcPr>
                <w:p w14:paraId="3A59DB79">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6E070B1C">
                  <w:pPr>
                    <w:pStyle w:val="237"/>
                    <w:jc w:val="center"/>
                  </w:pPr>
                  <w:r>
                    <w:rPr>
                      <w:rFonts w:hint="eastAsia"/>
                    </w:rPr>
                    <w:t>/</w:t>
                  </w:r>
                </w:p>
              </w:tc>
            </w:tr>
            <w:tr w14:paraId="052E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6FC95352">
                  <w:pPr>
                    <w:pStyle w:val="237"/>
                    <w:jc w:val="center"/>
                    <w:rPr>
                      <w:rFonts w:eastAsiaTheme="minorEastAsia"/>
                      <w:szCs w:val="21"/>
                    </w:rPr>
                  </w:pPr>
                </w:p>
              </w:tc>
              <w:tc>
                <w:tcPr>
                  <w:tcW w:w="1596" w:type="dxa"/>
                  <w:vMerge w:val="continue"/>
                  <w:vAlign w:val="center"/>
                </w:tcPr>
                <w:p w14:paraId="65F43870">
                  <w:pPr>
                    <w:pStyle w:val="237"/>
                    <w:jc w:val="center"/>
                    <w:rPr>
                      <w:rFonts w:eastAsiaTheme="minorEastAsia"/>
                      <w:szCs w:val="21"/>
                    </w:rPr>
                  </w:pPr>
                </w:p>
              </w:tc>
              <w:tc>
                <w:tcPr>
                  <w:tcW w:w="1438" w:type="dxa"/>
                  <w:vMerge w:val="continue"/>
                  <w:vAlign w:val="center"/>
                </w:tcPr>
                <w:p w14:paraId="4D32D9CF">
                  <w:pPr>
                    <w:pStyle w:val="237"/>
                    <w:jc w:val="center"/>
                    <w:rPr>
                      <w:rFonts w:eastAsiaTheme="minorEastAsia"/>
                      <w:szCs w:val="21"/>
                    </w:rPr>
                  </w:pPr>
                </w:p>
              </w:tc>
              <w:tc>
                <w:tcPr>
                  <w:tcW w:w="1759" w:type="dxa"/>
                  <w:vAlign w:val="center"/>
                </w:tcPr>
                <w:p w14:paraId="11D1D2C7">
                  <w:pPr>
                    <w:pStyle w:val="237"/>
                    <w:jc w:val="center"/>
                  </w:pPr>
                  <w:r>
                    <w:rPr>
                      <w:rFonts w:hint="eastAsia"/>
                    </w:rPr>
                    <w:t>14803</w:t>
                  </w:r>
                </w:p>
              </w:tc>
              <w:tc>
                <w:tcPr>
                  <w:tcW w:w="1439" w:type="dxa"/>
                  <w:vAlign w:val="center"/>
                </w:tcPr>
                <w:p w14:paraId="12913A71">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4A4363F4">
                  <w:pPr>
                    <w:pStyle w:val="237"/>
                    <w:jc w:val="center"/>
                  </w:pPr>
                  <w:r>
                    <w:rPr>
                      <w:rFonts w:hint="eastAsia"/>
                    </w:rPr>
                    <w:t>/</w:t>
                  </w:r>
                </w:p>
              </w:tc>
            </w:tr>
            <w:tr w14:paraId="0AF5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2AD504B1">
                  <w:pPr>
                    <w:pStyle w:val="237"/>
                    <w:jc w:val="center"/>
                    <w:rPr>
                      <w:rFonts w:eastAsiaTheme="minorEastAsia"/>
                      <w:szCs w:val="21"/>
                    </w:rPr>
                  </w:pPr>
                </w:p>
              </w:tc>
              <w:tc>
                <w:tcPr>
                  <w:tcW w:w="1596" w:type="dxa"/>
                  <w:vMerge w:val="restart"/>
                  <w:vAlign w:val="center"/>
                </w:tcPr>
                <w:p w14:paraId="2A7E78A7">
                  <w:pPr>
                    <w:pStyle w:val="237"/>
                    <w:jc w:val="center"/>
                    <w:rPr>
                      <w:rFonts w:eastAsiaTheme="minorEastAsia"/>
                      <w:szCs w:val="21"/>
                    </w:rPr>
                  </w:pPr>
                  <w:r>
                    <w:rPr>
                      <w:rFonts w:hint="eastAsia" w:hAnsiTheme="minorEastAsia" w:eastAsiaTheme="minorEastAsia"/>
                      <w:spacing w:val="-2"/>
                      <w:szCs w:val="21"/>
                    </w:rPr>
                    <w:t>非甲烷总烃</w:t>
                  </w:r>
                </w:p>
              </w:tc>
              <w:tc>
                <w:tcPr>
                  <w:tcW w:w="1438" w:type="dxa"/>
                  <w:vMerge w:val="restart"/>
                  <w:vAlign w:val="center"/>
                </w:tcPr>
                <w:p w14:paraId="1B353B1B">
                  <w:pPr>
                    <w:pStyle w:val="237"/>
                    <w:jc w:val="center"/>
                    <w:rPr>
                      <w:rFonts w:eastAsiaTheme="minorEastAsia"/>
                      <w:szCs w:val="21"/>
                    </w:rPr>
                  </w:pPr>
                  <w:r>
                    <w:rPr>
                      <w:rFonts w:hint="eastAsia" w:hAnsiTheme="minorEastAsia" w:eastAsiaTheme="minorEastAsia"/>
                      <w:spacing w:val="-2"/>
                      <w:szCs w:val="21"/>
                    </w:rPr>
                    <w:t>废气处理装置出口</w:t>
                  </w:r>
                  <w:r>
                    <w:rPr>
                      <w:rFonts w:hint="eastAsia" w:eastAsiaTheme="minorEastAsia"/>
                      <w:spacing w:val="-2"/>
                      <w:szCs w:val="21"/>
                    </w:rPr>
                    <w:t>3</w:t>
                  </w:r>
                  <w:r>
                    <w:rPr>
                      <w:rFonts w:eastAsiaTheme="minorEastAsia"/>
                      <w:spacing w:val="-2"/>
                      <w:szCs w:val="21"/>
                    </w:rPr>
                    <w:t>#</w:t>
                  </w:r>
                </w:p>
              </w:tc>
              <w:tc>
                <w:tcPr>
                  <w:tcW w:w="1759" w:type="dxa"/>
                  <w:vAlign w:val="center"/>
                </w:tcPr>
                <w:p w14:paraId="3334EA38">
                  <w:pPr>
                    <w:pStyle w:val="237"/>
                    <w:jc w:val="center"/>
                  </w:pPr>
                  <w:r>
                    <w:rPr>
                      <w:rFonts w:hint="eastAsia"/>
                    </w:rPr>
                    <w:t>14170</w:t>
                  </w:r>
                </w:p>
              </w:tc>
              <w:tc>
                <w:tcPr>
                  <w:tcW w:w="1439" w:type="dxa"/>
                  <w:vAlign w:val="center"/>
                </w:tcPr>
                <w:p w14:paraId="59799F1B">
                  <w:pPr>
                    <w:pStyle w:val="237"/>
                    <w:jc w:val="center"/>
                  </w:pPr>
                  <w:r>
                    <w:rPr>
                      <w:rFonts w:hint="eastAsia"/>
                    </w:rPr>
                    <w:t>1.55</w:t>
                  </w:r>
                </w:p>
              </w:tc>
              <w:tc>
                <w:tcPr>
                  <w:tcW w:w="1397" w:type="dxa"/>
                  <w:vAlign w:val="center"/>
                </w:tcPr>
                <w:p w14:paraId="01F6B572">
                  <w:pPr>
                    <w:pStyle w:val="237"/>
                    <w:jc w:val="center"/>
                  </w:pPr>
                  <w:r>
                    <w:rPr>
                      <w:rFonts w:hint="eastAsia"/>
                    </w:rPr>
                    <w:t>2.20</w:t>
                  </w:r>
                  <w:r>
                    <w:t>×</w:t>
                  </w:r>
                  <w:r>
                    <w:rPr>
                      <w:rFonts w:hint="eastAsia"/>
                    </w:rPr>
                    <w:t>10</w:t>
                  </w:r>
                  <w:r>
                    <w:rPr>
                      <w:rFonts w:hint="eastAsia"/>
                      <w:vertAlign w:val="superscript"/>
                    </w:rPr>
                    <w:t>-2</w:t>
                  </w:r>
                </w:p>
              </w:tc>
            </w:tr>
            <w:tr w14:paraId="6D19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04F02AB9">
                  <w:pPr>
                    <w:pStyle w:val="237"/>
                    <w:jc w:val="center"/>
                    <w:rPr>
                      <w:rFonts w:eastAsiaTheme="minorEastAsia"/>
                      <w:szCs w:val="21"/>
                    </w:rPr>
                  </w:pPr>
                </w:p>
              </w:tc>
              <w:tc>
                <w:tcPr>
                  <w:tcW w:w="1596" w:type="dxa"/>
                  <w:vMerge w:val="continue"/>
                  <w:vAlign w:val="center"/>
                </w:tcPr>
                <w:p w14:paraId="08BA801F">
                  <w:pPr>
                    <w:pStyle w:val="237"/>
                    <w:jc w:val="center"/>
                    <w:rPr>
                      <w:rFonts w:eastAsiaTheme="minorEastAsia"/>
                      <w:szCs w:val="21"/>
                    </w:rPr>
                  </w:pPr>
                </w:p>
              </w:tc>
              <w:tc>
                <w:tcPr>
                  <w:tcW w:w="1438" w:type="dxa"/>
                  <w:vMerge w:val="continue"/>
                  <w:vAlign w:val="center"/>
                </w:tcPr>
                <w:p w14:paraId="42030C34">
                  <w:pPr>
                    <w:pStyle w:val="237"/>
                    <w:jc w:val="center"/>
                    <w:rPr>
                      <w:rFonts w:eastAsiaTheme="minorEastAsia"/>
                      <w:szCs w:val="21"/>
                    </w:rPr>
                  </w:pPr>
                </w:p>
              </w:tc>
              <w:tc>
                <w:tcPr>
                  <w:tcW w:w="1759" w:type="dxa"/>
                  <w:vAlign w:val="center"/>
                </w:tcPr>
                <w:p w14:paraId="3665E126">
                  <w:pPr>
                    <w:pStyle w:val="237"/>
                    <w:jc w:val="center"/>
                  </w:pPr>
                  <w:r>
                    <w:rPr>
                      <w:rFonts w:hint="eastAsia"/>
                    </w:rPr>
                    <w:t>14189</w:t>
                  </w:r>
                </w:p>
              </w:tc>
              <w:tc>
                <w:tcPr>
                  <w:tcW w:w="1439" w:type="dxa"/>
                  <w:vAlign w:val="center"/>
                </w:tcPr>
                <w:p w14:paraId="76962309">
                  <w:pPr>
                    <w:pStyle w:val="237"/>
                    <w:jc w:val="center"/>
                  </w:pPr>
                  <w:r>
                    <w:rPr>
                      <w:rFonts w:hint="eastAsia"/>
                    </w:rPr>
                    <w:t>1.56</w:t>
                  </w:r>
                </w:p>
              </w:tc>
              <w:tc>
                <w:tcPr>
                  <w:tcW w:w="1397" w:type="dxa"/>
                  <w:vAlign w:val="center"/>
                </w:tcPr>
                <w:p w14:paraId="742B0BE8">
                  <w:pPr>
                    <w:pStyle w:val="237"/>
                    <w:jc w:val="center"/>
                  </w:pPr>
                  <w:r>
                    <w:rPr>
                      <w:rFonts w:hint="eastAsia"/>
                    </w:rPr>
                    <w:t>2.21</w:t>
                  </w:r>
                  <w:r>
                    <w:t>×</w:t>
                  </w:r>
                  <w:r>
                    <w:rPr>
                      <w:rFonts w:hint="eastAsia"/>
                    </w:rPr>
                    <w:t>10</w:t>
                  </w:r>
                  <w:r>
                    <w:rPr>
                      <w:rFonts w:hint="eastAsia"/>
                      <w:vertAlign w:val="superscript"/>
                    </w:rPr>
                    <w:t>-2</w:t>
                  </w:r>
                </w:p>
              </w:tc>
            </w:tr>
            <w:tr w14:paraId="3019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0DA5AA2F">
                  <w:pPr>
                    <w:pStyle w:val="237"/>
                    <w:jc w:val="center"/>
                    <w:rPr>
                      <w:rFonts w:eastAsiaTheme="minorEastAsia"/>
                      <w:szCs w:val="21"/>
                    </w:rPr>
                  </w:pPr>
                </w:p>
              </w:tc>
              <w:tc>
                <w:tcPr>
                  <w:tcW w:w="1596" w:type="dxa"/>
                  <w:vMerge w:val="continue"/>
                  <w:vAlign w:val="center"/>
                </w:tcPr>
                <w:p w14:paraId="254C4AEF">
                  <w:pPr>
                    <w:pStyle w:val="237"/>
                    <w:jc w:val="center"/>
                    <w:rPr>
                      <w:rFonts w:eastAsiaTheme="minorEastAsia"/>
                      <w:szCs w:val="21"/>
                    </w:rPr>
                  </w:pPr>
                </w:p>
              </w:tc>
              <w:tc>
                <w:tcPr>
                  <w:tcW w:w="1438" w:type="dxa"/>
                  <w:vMerge w:val="continue"/>
                  <w:vAlign w:val="center"/>
                </w:tcPr>
                <w:p w14:paraId="3A55C51F">
                  <w:pPr>
                    <w:pStyle w:val="237"/>
                    <w:jc w:val="center"/>
                    <w:rPr>
                      <w:rFonts w:eastAsiaTheme="minorEastAsia"/>
                      <w:szCs w:val="21"/>
                    </w:rPr>
                  </w:pPr>
                </w:p>
              </w:tc>
              <w:tc>
                <w:tcPr>
                  <w:tcW w:w="1759" w:type="dxa"/>
                  <w:vAlign w:val="center"/>
                </w:tcPr>
                <w:p w14:paraId="6FD1B24E">
                  <w:pPr>
                    <w:pStyle w:val="237"/>
                    <w:jc w:val="center"/>
                  </w:pPr>
                  <w:r>
                    <w:rPr>
                      <w:rFonts w:hint="eastAsia"/>
                    </w:rPr>
                    <w:t>14193</w:t>
                  </w:r>
                </w:p>
              </w:tc>
              <w:tc>
                <w:tcPr>
                  <w:tcW w:w="1439" w:type="dxa"/>
                  <w:vAlign w:val="center"/>
                </w:tcPr>
                <w:p w14:paraId="0DD10388">
                  <w:pPr>
                    <w:pStyle w:val="237"/>
                    <w:jc w:val="center"/>
                  </w:pPr>
                  <w:r>
                    <w:rPr>
                      <w:rFonts w:hint="eastAsia"/>
                    </w:rPr>
                    <w:t>1.58</w:t>
                  </w:r>
                </w:p>
              </w:tc>
              <w:tc>
                <w:tcPr>
                  <w:tcW w:w="1397" w:type="dxa"/>
                  <w:vAlign w:val="center"/>
                </w:tcPr>
                <w:p w14:paraId="0F51C64B">
                  <w:pPr>
                    <w:pStyle w:val="237"/>
                    <w:jc w:val="center"/>
                  </w:pPr>
                  <w:r>
                    <w:rPr>
                      <w:rFonts w:hint="eastAsia"/>
                    </w:rPr>
                    <w:t>2.24</w:t>
                  </w:r>
                  <w:r>
                    <w:t>×</w:t>
                  </w:r>
                  <w:r>
                    <w:rPr>
                      <w:rFonts w:hint="eastAsia"/>
                    </w:rPr>
                    <w:t>10</w:t>
                  </w:r>
                  <w:r>
                    <w:rPr>
                      <w:rFonts w:hint="eastAsia"/>
                      <w:vertAlign w:val="superscript"/>
                    </w:rPr>
                    <w:t>-2</w:t>
                  </w:r>
                </w:p>
              </w:tc>
            </w:tr>
            <w:tr w14:paraId="2049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48851D1E">
                  <w:pPr>
                    <w:pStyle w:val="237"/>
                    <w:jc w:val="center"/>
                    <w:rPr>
                      <w:rFonts w:eastAsiaTheme="minorEastAsia"/>
                      <w:szCs w:val="21"/>
                    </w:rPr>
                  </w:pPr>
                </w:p>
              </w:tc>
              <w:tc>
                <w:tcPr>
                  <w:tcW w:w="1596" w:type="dxa"/>
                  <w:vMerge w:val="restart"/>
                  <w:vAlign w:val="center"/>
                </w:tcPr>
                <w:p w14:paraId="454C22CE">
                  <w:pPr>
                    <w:pStyle w:val="237"/>
                    <w:jc w:val="center"/>
                    <w:rPr>
                      <w:rFonts w:eastAsiaTheme="minorEastAsia"/>
                      <w:szCs w:val="21"/>
                    </w:rPr>
                  </w:pPr>
                  <w:r>
                    <w:rPr>
                      <w:rFonts w:hint="eastAsia" w:eastAsiaTheme="minorEastAsia"/>
                      <w:szCs w:val="21"/>
                    </w:rPr>
                    <w:t>苯乙烯</w:t>
                  </w:r>
                </w:p>
              </w:tc>
              <w:tc>
                <w:tcPr>
                  <w:tcW w:w="1438" w:type="dxa"/>
                  <w:vMerge w:val="continue"/>
                  <w:vAlign w:val="center"/>
                </w:tcPr>
                <w:p w14:paraId="14B26CE9">
                  <w:pPr>
                    <w:pStyle w:val="237"/>
                    <w:jc w:val="center"/>
                    <w:rPr>
                      <w:rFonts w:eastAsiaTheme="minorEastAsia"/>
                      <w:szCs w:val="21"/>
                    </w:rPr>
                  </w:pPr>
                </w:p>
              </w:tc>
              <w:tc>
                <w:tcPr>
                  <w:tcW w:w="1759" w:type="dxa"/>
                  <w:vAlign w:val="center"/>
                </w:tcPr>
                <w:p w14:paraId="4F08B810">
                  <w:pPr>
                    <w:pStyle w:val="237"/>
                    <w:jc w:val="center"/>
                  </w:pPr>
                  <w:r>
                    <w:rPr>
                      <w:rFonts w:hint="eastAsia"/>
                    </w:rPr>
                    <w:t>14170</w:t>
                  </w:r>
                </w:p>
              </w:tc>
              <w:tc>
                <w:tcPr>
                  <w:tcW w:w="1439" w:type="dxa"/>
                  <w:vAlign w:val="center"/>
                </w:tcPr>
                <w:p w14:paraId="2BF12209">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6AD051F8">
                  <w:pPr>
                    <w:pStyle w:val="237"/>
                    <w:jc w:val="center"/>
                  </w:pPr>
                  <w:r>
                    <w:rPr>
                      <w:rFonts w:hint="eastAsia"/>
                    </w:rPr>
                    <w:t>1.06</w:t>
                  </w:r>
                  <w:r>
                    <w:t>×</w:t>
                  </w:r>
                  <w:r>
                    <w:rPr>
                      <w:rFonts w:hint="eastAsia"/>
                    </w:rPr>
                    <w:t>10</w:t>
                  </w:r>
                  <w:r>
                    <w:rPr>
                      <w:rFonts w:hint="eastAsia"/>
                      <w:vertAlign w:val="superscript"/>
                    </w:rPr>
                    <w:t>-5</w:t>
                  </w:r>
                </w:p>
              </w:tc>
            </w:tr>
            <w:tr w14:paraId="4BE8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37036DF6">
                  <w:pPr>
                    <w:pStyle w:val="237"/>
                    <w:jc w:val="center"/>
                    <w:rPr>
                      <w:rFonts w:eastAsiaTheme="minorEastAsia"/>
                      <w:szCs w:val="21"/>
                    </w:rPr>
                  </w:pPr>
                </w:p>
              </w:tc>
              <w:tc>
                <w:tcPr>
                  <w:tcW w:w="1596" w:type="dxa"/>
                  <w:vMerge w:val="continue"/>
                  <w:vAlign w:val="center"/>
                </w:tcPr>
                <w:p w14:paraId="7F637A85">
                  <w:pPr>
                    <w:pStyle w:val="237"/>
                    <w:jc w:val="center"/>
                    <w:rPr>
                      <w:rFonts w:eastAsiaTheme="minorEastAsia"/>
                      <w:szCs w:val="21"/>
                    </w:rPr>
                  </w:pPr>
                </w:p>
              </w:tc>
              <w:tc>
                <w:tcPr>
                  <w:tcW w:w="1438" w:type="dxa"/>
                  <w:vMerge w:val="continue"/>
                  <w:vAlign w:val="center"/>
                </w:tcPr>
                <w:p w14:paraId="43F00414">
                  <w:pPr>
                    <w:pStyle w:val="237"/>
                    <w:jc w:val="center"/>
                    <w:rPr>
                      <w:rFonts w:eastAsiaTheme="minorEastAsia"/>
                      <w:szCs w:val="21"/>
                    </w:rPr>
                  </w:pPr>
                </w:p>
              </w:tc>
              <w:tc>
                <w:tcPr>
                  <w:tcW w:w="1759" w:type="dxa"/>
                  <w:vAlign w:val="center"/>
                </w:tcPr>
                <w:p w14:paraId="54E05C5C">
                  <w:pPr>
                    <w:pStyle w:val="237"/>
                    <w:jc w:val="center"/>
                  </w:pPr>
                  <w:r>
                    <w:rPr>
                      <w:rFonts w:hint="eastAsia"/>
                    </w:rPr>
                    <w:t>14189</w:t>
                  </w:r>
                </w:p>
              </w:tc>
              <w:tc>
                <w:tcPr>
                  <w:tcW w:w="1439" w:type="dxa"/>
                  <w:vAlign w:val="center"/>
                </w:tcPr>
                <w:p w14:paraId="43136022">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0582E0A1">
                  <w:pPr>
                    <w:pStyle w:val="237"/>
                    <w:jc w:val="center"/>
                  </w:pPr>
                  <w:r>
                    <w:rPr>
                      <w:rFonts w:hint="eastAsia"/>
                    </w:rPr>
                    <w:t>1.06</w:t>
                  </w:r>
                  <w:r>
                    <w:t>×</w:t>
                  </w:r>
                  <w:r>
                    <w:rPr>
                      <w:rFonts w:hint="eastAsia"/>
                    </w:rPr>
                    <w:t>10</w:t>
                  </w:r>
                  <w:r>
                    <w:rPr>
                      <w:rFonts w:hint="eastAsia"/>
                      <w:vertAlign w:val="superscript"/>
                    </w:rPr>
                    <w:t>-5</w:t>
                  </w:r>
                </w:p>
              </w:tc>
            </w:tr>
            <w:tr w14:paraId="4219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23CCB1E3">
                  <w:pPr>
                    <w:pStyle w:val="237"/>
                    <w:jc w:val="center"/>
                    <w:rPr>
                      <w:rFonts w:eastAsiaTheme="minorEastAsia"/>
                      <w:szCs w:val="21"/>
                    </w:rPr>
                  </w:pPr>
                </w:p>
              </w:tc>
              <w:tc>
                <w:tcPr>
                  <w:tcW w:w="1596" w:type="dxa"/>
                  <w:vMerge w:val="continue"/>
                  <w:vAlign w:val="center"/>
                </w:tcPr>
                <w:p w14:paraId="73E14808">
                  <w:pPr>
                    <w:pStyle w:val="237"/>
                    <w:jc w:val="center"/>
                    <w:rPr>
                      <w:rFonts w:eastAsiaTheme="minorEastAsia"/>
                      <w:szCs w:val="21"/>
                    </w:rPr>
                  </w:pPr>
                </w:p>
              </w:tc>
              <w:tc>
                <w:tcPr>
                  <w:tcW w:w="1438" w:type="dxa"/>
                  <w:vMerge w:val="continue"/>
                  <w:vAlign w:val="center"/>
                </w:tcPr>
                <w:p w14:paraId="1AE272B5">
                  <w:pPr>
                    <w:pStyle w:val="237"/>
                    <w:jc w:val="center"/>
                    <w:rPr>
                      <w:rFonts w:eastAsiaTheme="minorEastAsia"/>
                      <w:szCs w:val="21"/>
                    </w:rPr>
                  </w:pPr>
                </w:p>
              </w:tc>
              <w:tc>
                <w:tcPr>
                  <w:tcW w:w="1759" w:type="dxa"/>
                  <w:vAlign w:val="center"/>
                </w:tcPr>
                <w:p w14:paraId="722892D1">
                  <w:pPr>
                    <w:pStyle w:val="237"/>
                    <w:jc w:val="center"/>
                  </w:pPr>
                  <w:r>
                    <w:rPr>
                      <w:rFonts w:hint="eastAsia"/>
                    </w:rPr>
                    <w:t>14193</w:t>
                  </w:r>
                </w:p>
              </w:tc>
              <w:tc>
                <w:tcPr>
                  <w:tcW w:w="1439" w:type="dxa"/>
                  <w:vAlign w:val="center"/>
                </w:tcPr>
                <w:p w14:paraId="6BAB1AE1">
                  <w:pPr>
                    <w:pStyle w:val="237"/>
                    <w:jc w:val="center"/>
                  </w:pPr>
                  <w:r>
                    <w:rPr>
                      <w:rFonts w:hint="eastAsia"/>
                    </w:rPr>
                    <w:t>&lt;1.5</w:t>
                  </w:r>
                  <w:r>
                    <w:t>×</w:t>
                  </w:r>
                  <w:r>
                    <w:rPr>
                      <w:rFonts w:hint="eastAsia"/>
                    </w:rPr>
                    <w:t>10</w:t>
                  </w:r>
                  <w:r>
                    <w:rPr>
                      <w:rFonts w:hint="eastAsia"/>
                      <w:vertAlign w:val="superscript"/>
                    </w:rPr>
                    <w:t>-3</w:t>
                  </w:r>
                </w:p>
              </w:tc>
              <w:tc>
                <w:tcPr>
                  <w:tcW w:w="1397" w:type="dxa"/>
                  <w:vAlign w:val="center"/>
                </w:tcPr>
                <w:p w14:paraId="2B1CBB61">
                  <w:pPr>
                    <w:pStyle w:val="237"/>
                    <w:jc w:val="center"/>
                  </w:pPr>
                  <w:r>
                    <w:rPr>
                      <w:rFonts w:hint="eastAsia"/>
                    </w:rPr>
                    <w:t>1.06</w:t>
                  </w:r>
                  <w:r>
                    <w:t>×</w:t>
                  </w:r>
                  <w:r>
                    <w:rPr>
                      <w:rFonts w:hint="eastAsia"/>
                    </w:rPr>
                    <w:t>10</w:t>
                  </w:r>
                  <w:r>
                    <w:rPr>
                      <w:rFonts w:hint="eastAsia"/>
                      <w:vertAlign w:val="superscript"/>
                    </w:rPr>
                    <w:t>-5</w:t>
                  </w:r>
                </w:p>
              </w:tc>
            </w:tr>
            <w:tr w14:paraId="71BF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39554231">
                  <w:pPr>
                    <w:pStyle w:val="237"/>
                    <w:jc w:val="center"/>
                    <w:rPr>
                      <w:rFonts w:eastAsiaTheme="minorEastAsia"/>
                      <w:szCs w:val="21"/>
                    </w:rPr>
                  </w:pPr>
                </w:p>
              </w:tc>
              <w:tc>
                <w:tcPr>
                  <w:tcW w:w="1596" w:type="dxa"/>
                  <w:vMerge w:val="restart"/>
                  <w:vAlign w:val="center"/>
                </w:tcPr>
                <w:p w14:paraId="62B2AEB9">
                  <w:pPr>
                    <w:pStyle w:val="237"/>
                    <w:jc w:val="center"/>
                    <w:rPr>
                      <w:rFonts w:eastAsiaTheme="minorEastAsia"/>
                      <w:szCs w:val="21"/>
                    </w:rPr>
                  </w:pPr>
                  <w:r>
                    <w:rPr>
                      <w:rFonts w:hint="eastAsia" w:eastAsiaTheme="minorEastAsia"/>
                      <w:szCs w:val="21"/>
                    </w:rPr>
                    <w:t>臭气浓度</w:t>
                  </w:r>
                </w:p>
              </w:tc>
              <w:tc>
                <w:tcPr>
                  <w:tcW w:w="1438" w:type="dxa"/>
                  <w:vMerge w:val="continue"/>
                  <w:vAlign w:val="center"/>
                </w:tcPr>
                <w:p w14:paraId="0D74106D">
                  <w:pPr>
                    <w:pStyle w:val="237"/>
                    <w:jc w:val="center"/>
                    <w:rPr>
                      <w:rFonts w:eastAsiaTheme="minorEastAsia"/>
                      <w:szCs w:val="21"/>
                    </w:rPr>
                  </w:pPr>
                </w:p>
              </w:tc>
              <w:tc>
                <w:tcPr>
                  <w:tcW w:w="1759" w:type="dxa"/>
                  <w:vMerge w:val="restart"/>
                  <w:vAlign w:val="center"/>
                </w:tcPr>
                <w:p w14:paraId="07C0F887">
                  <w:pPr>
                    <w:pStyle w:val="237"/>
                    <w:jc w:val="center"/>
                  </w:pPr>
                  <w:r>
                    <w:rPr>
                      <w:rFonts w:hint="eastAsia" w:cs="楷体"/>
                      <w:szCs w:val="21"/>
                    </w:rPr>
                    <w:t>1.28</w:t>
                  </w:r>
                  <w:r>
                    <w:rPr>
                      <w:rFonts w:hint="eastAsia"/>
                      <w:szCs w:val="21"/>
                    </w:rPr>
                    <w:t>×</w:t>
                  </w:r>
                  <w:r>
                    <w:rPr>
                      <w:rFonts w:hint="eastAsia" w:cs="楷体"/>
                      <w:szCs w:val="21"/>
                    </w:rPr>
                    <w:t>10</w:t>
                  </w:r>
                  <w:r>
                    <w:rPr>
                      <w:rFonts w:hint="eastAsia" w:cs="楷体"/>
                      <w:szCs w:val="21"/>
                      <w:vertAlign w:val="superscript"/>
                    </w:rPr>
                    <w:t>4</w:t>
                  </w:r>
                </w:p>
              </w:tc>
              <w:tc>
                <w:tcPr>
                  <w:tcW w:w="1439" w:type="dxa"/>
                  <w:vAlign w:val="center"/>
                </w:tcPr>
                <w:p w14:paraId="5B8591F4">
                  <w:pPr>
                    <w:pStyle w:val="237"/>
                    <w:jc w:val="center"/>
                  </w:pPr>
                  <w:r>
                    <w:rPr>
                      <w:rFonts w:hint="eastAsia"/>
                    </w:rPr>
                    <w:t>549</w:t>
                  </w:r>
                </w:p>
              </w:tc>
              <w:tc>
                <w:tcPr>
                  <w:tcW w:w="1397" w:type="dxa"/>
                  <w:vAlign w:val="center"/>
                </w:tcPr>
                <w:p w14:paraId="70FABFA9">
                  <w:pPr>
                    <w:pStyle w:val="237"/>
                    <w:jc w:val="center"/>
                  </w:pPr>
                  <w:r>
                    <w:rPr>
                      <w:rFonts w:hint="eastAsia"/>
                    </w:rPr>
                    <w:t>/</w:t>
                  </w:r>
                </w:p>
              </w:tc>
            </w:tr>
            <w:tr w14:paraId="0BAA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31C08D1E">
                  <w:pPr>
                    <w:pStyle w:val="237"/>
                    <w:jc w:val="center"/>
                    <w:rPr>
                      <w:rFonts w:eastAsiaTheme="minorEastAsia"/>
                      <w:szCs w:val="21"/>
                    </w:rPr>
                  </w:pPr>
                </w:p>
              </w:tc>
              <w:tc>
                <w:tcPr>
                  <w:tcW w:w="1596" w:type="dxa"/>
                  <w:vMerge w:val="continue"/>
                  <w:vAlign w:val="center"/>
                </w:tcPr>
                <w:p w14:paraId="5794BC43">
                  <w:pPr>
                    <w:pStyle w:val="237"/>
                    <w:jc w:val="center"/>
                    <w:rPr>
                      <w:rFonts w:eastAsiaTheme="minorEastAsia"/>
                      <w:szCs w:val="21"/>
                    </w:rPr>
                  </w:pPr>
                </w:p>
              </w:tc>
              <w:tc>
                <w:tcPr>
                  <w:tcW w:w="1438" w:type="dxa"/>
                  <w:vMerge w:val="continue"/>
                  <w:vAlign w:val="center"/>
                </w:tcPr>
                <w:p w14:paraId="2B3B0508">
                  <w:pPr>
                    <w:pStyle w:val="237"/>
                    <w:jc w:val="center"/>
                    <w:rPr>
                      <w:rFonts w:eastAsiaTheme="minorEastAsia"/>
                      <w:szCs w:val="21"/>
                    </w:rPr>
                  </w:pPr>
                </w:p>
              </w:tc>
              <w:tc>
                <w:tcPr>
                  <w:tcW w:w="1759" w:type="dxa"/>
                  <w:vMerge w:val="continue"/>
                  <w:vAlign w:val="center"/>
                </w:tcPr>
                <w:p w14:paraId="33EEDF23">
                  <w:pPr>
                    <w:pStyle w:val="237"/>
                    <w:jc w:val="center"/>
                  </w:pPr>
                </w:p>
              </w:tc>
              <w:tc>
                <w:tcPr>
                  <w:tcW w:w="1439" w:type="dxa"/>
                  <w:vAlign w:val="center"/>
                </w:tcPr>
                <w:p w14:paraId="474325A7">
                  <w:pPr>
                    <w:pStyle w:val="237"/>
                    <w:jc w:val="center"/>
                  </w:pPr>
                  <w:r>
                    <w:rPr>
                      <w:rFonts w:hint="eastAsia"/>
                    </w:rPr>
                    <w:t>724</w:t>
                  </w:r>
                </w:p>
              </w:tc>
              <w:tc>
                <w:tcPr>
                  <w:tcW w:w="1397" w:type="dxa"/>
                  <w:vAlign w:val="center"/>
                </w:tcPr>
                <w:p w14:paraId="7921DC59">
                  <w:pPr>
                    <w:pStyle w:val="237"/>
                    <w:jc w:val="center"/>
                  </w:pPr>
                  <w:r>
                    <w:rPr>
                      <w:rFonts w:hint="eastAsia"/>
                    </w:rPr>
                    <w:t>/</w:t>
                  </w:r>
                </w:p>
              </w:tc>
            </w:tr>
            <w:tr w14:paraId="05A0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3" w:type="dxa"/>
                  <w:vMerge w:val="continue"/>
                  <w:vAlign w:val="center"/>
                </w:tcPr>
                <w:p w14:paraId="02777916">
                  <w:pPr>
                    <w:pStyle w:val="237"/>
                    <w:jc w:val="center"/>
                    <w:rPr>
                      <w:rFonts w:eastAsiaTheme="minorEastAsia"/>
                      <w:szCs w:val="21"/>
                    </w:rPr>
                  </w:pPr>
                </w:p>
              </w:tc>
              <w:tc>
                <w:tcPr>
                  <w:tcW w:w="1596" w:type="dxa"/>
                  <w:vMerge w:val="continue"/>
                  <w:vAlign w:val="center"/>
                </w:tcPr>
                <w:p w14:paraId="67BF0D87">
                  <w:pPr>
                    <w:pStyle w:val="237"/>
                    <w:jc w:val="center"/>
                    <w:rPr>
                      <w:rFonts w:eastAsiaTheme="minorEastAsia"/>
                      <w:szCs w:val="21"/>
                    </w:rPr>
                  </w:pPr>
                </w:p>
              </w:tc>
              <w:tc>
                <w:tcPr>
                  <w:tcW w:w="1438" w:type="dxa"/>
                  <w:vMerge w:val="continue"/>
                  <w:vAlign w:val="center"/>
                </w:tcPr>
                <w:p w14:paraId="614C8B40">
                  <w:pPr>
                    <w:pStyle w:val="237"/>
                    <w:jc w:val="center"/>
                    <w:rPr>
                      <w:rFonts w:eastAsiaTheme="minorEastAsia"/>
                      <w:szCs w:val="21"/>
                    </w:rPr>
                  </w:pPr>
                </w:p>
              </w:tc>
              <w:tc>
                <w:tcPr>
                  <w:tcW w:w="1759" w:type="dxa"/>
                  <w:vMerge w:val="continue"/>
                  <w:vAlign w:val="center"/>
                </w:tcPr>
                <w:p w14:paraId="09C3B4BC">
                  <w:pPr>
                    <w:pStyle w:val="237"/>
                    <w:jc w:val="center"/>
                  </w:pPr>
                </w:p>
              </w:tc>
              <w:tc>
                <w:tcPr>
                  <w:tcW w:w="1439" w:type="dxa"/>
                  <w:vAlign w:val="center"/>
                </w:tcPr>
                <w:p w14:paraId="4AB9DBBE">
                  <w:pPr>
                    <w:pStyle w:val="237"/>
                    <w:jc w:val="center"/>
                  </w:pPr>
                  <w:r>
                    <w:rPr>
                      <w:rFonts w:hint="eastAsia"/>
                    </w:rPr>
                    <w:t>549</w:t>
                  </w:r>
                </w:p>
              </w:tc>
              <w:tc>
                <w:tcPr>
                  <w:tcW w:w="1397" w:type="dxa"/>
                  <w:vAlign w:val="center"/>
                </w:tcPr>
                <w:p w14:paraId="4B2FCC66">
                  <w:pPr>
                    <w:pStyle w:val="237"/>
                    <w:jc w:val="center"/>
                  </w:pPr>
                  <w:r>
                    <w:rPr>
                      <w:rFonts w:hint="eastAsia"/>
                    </w:rPr>
                    <w:t>/</w:t>
                  </w:r>
                </w:p>
              </w:tc>
            </w:tr>
          </w:tbl>
          <w:p w14:paraId="5F1AA4CC">
            <w:pPr>
              <w:spacing w:line="480" w:lineRule="exact"/>
              <w:ind w:firstLine="480" w:firstLineChars="200"/>
              <w:rPr>
                <w:rStyle w:val="271"/>
                <w:rFonts w:ascii="Times New Roman" w:cs="Times New Roman" w:hAnsiTheme="minorEastAsia" w:eastAsiaTheme="minorEastAsia"/>
                <w:color w:val="auto"/>
                <w:sz w:val="24"/>
                <w:szCs w:val="24"/>
              </w:rPr>
            </w:pPr>
            <w:r>
              <w:rPr>
                <w:rStyle w:val="271"/>
                <w:rFonts w:hint="eastAsia" w:ascii="Times New Roman" w:cs="Times New Roman" w:hAnsiTheme="minorEastAsia" w:eastAsiaTheme="minorEastAsia"/>
                <w:color w:val="auto"/>
                <w:sz w:val="24"/>
                <w:szCs w:val="24"/>
              </w:rPr>
              <w:t>注塑废气处理装置排气筒</w:t>
            </w:r>
            <w:r>
              <w:rPr>
                <w:rStyle w:val="271"/>
                <w:rFonts w:ascii="Times New Roman" w:cs="Times New Roman" w:hAnsiTheme="minorEastAsia" w:eastAsiaTheme="minorEastAsia"/>
                <w:color w:val="auto"/>
                <w:sz w:val="24"/>
                <w:szCs w:val="24"/>
              </w:rPr>
              <w:t>出口</w:t>
            </w:r>
            <w:r>
              <w:rPr>
                <w:rStyle w:val="271"/>
                <w:rFonts w:hint="eastAsia" w:ascii="Times New Roman" w:cs="Times New Roman" w:hAnsiTheme="minorEastAsia" w:eastAsiaTheme="minorEastAsia"/>
                <w:color w:val="auto"/>
                <w:sz w:val="24"/>
                <w:szCs w:val="24"/>
              </w:rPr>
              <w:t>非甲烷总烃和苯乙烯排放</w:t>
            </w:r>
            <w:r>
              <w:rPr>
                <w:rStyle w:val="271"/>
                <w:rFonts w:ascii="Times New Roman" w:cs="Times New Roman" w:hAnsiTheme="minorEastAsia" w:eastAsiaTheme="minorEastAsia"/>
                <w:color w:val="auto"/>
                <w:sz w:val="24"/>
                <w:szCs w:val="24"/>
              </w:rPr>
              <w:t>浓度低于</w:t>
            </w:r>
            <w:r>
              <w:rPr>
                <w:rFonts w:ascii="Times New Roman" w:hAnsiTheme="minorEastAsia" w:eastAsiaTheme="minorEastAsia"/>
                <w:sz w:val="24"/>
                <w:szCs w:val="24"/>
              </w:rPr>
              <w:t>《合成树脂工业污染物排放标准》（GB31572-2015）</w:t>
            </w:r>
            <w:r>
              <w:rPr>
                <w:rStyle w:val="271"/>
                <w:rFonts w:hint="eastAsia" w:ascii="Times New Roman" w:cs="Times New Roman" w:hAnsiTheme="minorEastAsia" w:eastAsiaTheme="minorEastAsia"/>
                <w:color w:val="auto"/>
                <w:sz w:val="24"/>
                <w:szCs w:val="24"/>
              </w:rPr>
              <w:t>中的相关标准</w:t>
            </w:r>
            <w:r>
              <w:rPr>
                <w:rStyle w:val="271"/>
                <w:rFonts w:hint="eastAsia" w:cs="Times New Roman" w:hAnsiTheme="minorEastAsia" w:eastAsiaTheme="minorEastAsia"/>
                <w:color w:val="auto"/>
                <w:sz w:val="24"/>
                <w:szCs w:val="24"/>
                <w:lang w:eastAsia="zh-CN"/>
              </w:rPr>
              <w:t>，</w:t>
            </w:r>
            <w:r>
              <w:rPr>
                <w:rStyle w:val="271"/>
                <w:rFonts w:hint="eastAsia" w:ascii="Times New Roman" w:cs="Times New Roman" w:hAnsiTheme="minorEastAsia" w:eastAsiaTheme="minorEastAsia"/>
                <w:color w:val="auto"/>
                <w:sz w:val="24"/>
                <w:szCs w:val="24"/>
              </w:rPr>
              <w:t>臭气浓度监测值符合</w:t>
            </w:r>
            <w:r>
              <w:rPr>
                <w:rStyle w:val="271"/>
                <w:rFonts w:ascii="Times New Roman" w:cs="Times New Roman" w:hAnsiTheme="minorEastAsia" w:eastAsiaTheme="minorEastAsia"/>
                <w:color w:val="auto"/>
                <w:sz w:val="24"/>
                <w:szCs w:val="24"/>
              </w:rPr>
              <w:t>《恶臭污染物排放标准》（GB14554-93）的二级标准</w:t>
            </w:r>
            <w:r>
              <w:rPr>
                <w:rStyle w:val="271"/>
                <w:rFonts w:hint="eastAsia" w:ascii="Times New Roman" w:cs="Times New Roman" w:hAnsiTheme="minorEastAsia" w:eastAsiaTheme="minorEastAsia"/>
                <w:color w:val="auto"/>
                <w:sz w:val="24"/>
                <w:szCs w:val="24"/>
              </w:rPr>
              <w:t>，滤芯除尘装置排气筒出口颗粒物排放</w:t>
            </w:r>
            <w:r>
              <w:rPr>
                <w:rStyle w:val="271"/>
                <w:rFonts w:ascii="Times New Roman" w:cs="Times New Roman" w:hAnsiTheme="minorEastAsia" w:eastAsiaTheme="minorEastAsia"/>
                <w:color w:val="auto"/>
                <w:sz w:val="24"/>
                <w:szCs w:val="24"/>
              </w:rPr>
              <w:t>浓度</w:t>
            </w:r>
            <w:r>
              <w:rPr>
                <w:rStyle w:val="271"/>
                <w:rFonts w:hint="eastAsia" w:ascii="Times New Roman" w:cs="Times New Roman" w:hAnsiTheme="minorEastAsia" w:eastAsiaTheme="minorEastAsia"/>
                <w:color w:val="auto"/>
                <w:sz w:val="24"/>
                <w:szCs w:val="24"/>
              </w:rPr>
              <w:t>及排放速率均</w:t>
            </w:r>
            <w:r>
              <w:rPr>
                <w:rStyle w:val="271"/>
                <w:rFonts w:ascii="Times New Roman" w:cs="Times New Roman" w:hAnsiTheme="minorEastAsia" w:eastAsiaTheme="minorEastAsia"/>
                <w:color w:val="auto"/>
                <w:sz w:val="24"/>
                <w:szCs w:val="24"/>
              </w:rPr>
              <w:t>低于《大气污染物综合排放标准》(GB16297-1996)中新污染源大气污染物排放限值二级标准</w:t>
            </w:r>
            <w:r>
              <w:rPr>
                <w:rStyle w:val="271"/>
                <w:rFonts w:hint="eastAsia" w:ascii="Times New Roman" w:cs="Times New Roman" w:hAnsiTheme="minorEastAsia" w:eastAsiaTheme="minorEastAsia"/>
                <w:color w:val="auto"/>
                <w:sz w:val="24"/>
                <w:szCs w:val="24"/>
              </w:rPr>
              <w:t>。</w:t>
            </w:r>
          </w:p>
          <w:p w14:paraId="7CFF0310">
            <w:pPr>
              <w:spacing w:beforeLines="50"/>
              <w:ind w:firstLine="420"/>
              <w:jc w:val="left"/>
              <w:rPr>
                <w:bCs/>
                <w:color w:val="auto"/>
                <w:sz w:val="24"/>
              </w:rPr>
            </w:pPr>
            <w:r>
              <w:rPr>
                <w:rFonts w:hint="eastAsia"/>
                <w:bCs/>
                <w:color w:val="auto"/>
                <w:sz w:val="24"/>
              </w:rPr>
              <w:t>（3）噪声</w:t>
            </w:r>
          </w:p>
          <w:p w14:paraId="2D6F1D9D">
            <w:pPr>
              <w:jc w:val="center"/>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14</w:t>
            </w:r>
            <w:r>
              <w:rPr>
                <w:rFonts w:hint="eastAsia"/>
                <w:b/>
                <w:color w:val="auto"/>
                <w:szCs w:val="21"/>
              </w:rPr>
              <w:t xml:space="preserve"> 厂界噪声监测结果</w:t>
            </w:r>
          </w:p>
          <w:tbl>
            <w:tblPr>
              <w:tblStyle w:val="37"/>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559"/>
              <w:gridCol w:w="1252"/>
              <w:gridCol w:w="1276"/>
              <w:gridCol w:w="1276"/>
              <w:gridCol w:w="1276"/>
              <w:gridCol w:w="1293"/>
            </w:tblGrid>
            <w:tr w14:paraId="5DA0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0" w:type="dxa"/>
                  <w:vMerge w:val="restart"/>
                  <w:vAlign w:val="center"/>
                </w:tcPr>
                <w:p w14:paraId="75F981FB">
                  <w:pPr>
                    <w:pStyle w:val="237"/>
                    <w:jc w:val="center"/>
                    <w:rPr>
                      <w:rFonts w:eastAsiaTheme="minorEastAsia"/>
                      <w:spacing w:val="-2"/>
                      <w:szCs w:val="21"/>
                    </w:rPr>
                  </w:pPr>
                  <w:r>
                    <w:rPr>
                      <w:rFonts w:hAnsiTheme="minorEastAsia" w:eastAsiaTheme="minorEastAsia"/>
                      <w:b/>
                      <w:szCs w:val="21"/>
                    </w:rPr>
                    <w:t>测点编号</w:t>
                  </w:r>
                </w:p>
              </w:tc>
              <w:tc>
                <w:tcPr>
                  <w:tcW w:w="1559" w:type="dxa"/>
                  <w:vMerge w:val="restart"/>
                  <w:vAlign w:val="center"/>
                </w:tcPr>
                <w:p w14:paraId="42AD4965">
                  <w:pPr>
                    <w:pStyle w:val="237"/>
                    <w:jc w:val="center"/>
                    <w:rPr>
                      <w:rFonts w:eastAsiaTheme="minorEastAsia"/>
                      <w:b/>
                      <w:szCs w:val="21"/>
                    </w:rPr>
                  </w:pPr>
                  <w:r>
                    <w:rPr>
                      <w:rFonts w:hAnsiTheme="minorEastAsia" w:eastAsiaTheme="minorEastAsia"/>
                      <w:b/>
                      <w:szCs w:val="21"/>
                    </w:rPr>
                    <w:t>测点位置</w:t>
                  </w:r>
                </w:p>
              </w:tc>
              <w:tc>
                <w:tcPr>
                  <w:tcW w:w="1252" w:type="dxa"/>
                  <w:vMerge w:val="restart"/>
                  <w:vAlign w:val="center"/>
                </w:tcPr>
                <w:p w14:paraId="434103BB">
                  <w:pPr>
                    <w:pStyle w:val="237"/>
                    <w:jc w:val="center"/>
                    <w:rPr>
                      <w:rFonts w:eastAsiaTheme="minorEastAsia"/>
                      <w:spacing w:val="-2"/>
                      <w:szCs w:val="21"/>
                    </w:rPr>
                  </w:pPr>
                  <w:r>
                    <w:rPr>
                      <w:rFonts w:hAnsiTheme="minorEastAsia" w:eastAsiaTheme="minorEastAsia"/>
                      <w:b/>
                      <w:szCs w:val="21"/>
                    </w:rPr>
                    <w:t>检测项目</w:t>
                  </w:r>
                </w:p>
              </w:tc>
              <w:tc>
                <w:tcPr>
                  <w:tcW w:w="1276" w:type="dxa"/>
                  <w:vAlign w:val="center"/>
                </w:tcPr>
                <w:p w14:paraId="31753897">
                  <w:pPr>
                    <w:pStyle w:val="237"/>
                    <w:jc w:val="center"/>
                    <w:rPr>
                      <w:rFonts w:eastAsiaTheme="minorEastAsia"/>
                      <w:b/>
                      <w:spacing w:val="-2"/>
                      <w:szCs w:val="21"/>
                    </w:rPr>
                  </w:pPr>
                  <w:r>
                    <w:rPr>
                      <w:rFonts w:hint="eastAsia" w:eastAsiaTheme="minorEastAsia"/>
                      <w:b/>
                      <w:szCs w:val="21"/>
                    </w:rPr>
                    <w:t>2020.09.02</w:t>
                  </w:r>
                </w:p>
              </w:tc>
              <w:tc>
                <w:tcPr>
                  <w:tcW w:w="1276" w:type="dxa"/>
                  <w:vAlign w:val="center"/>
                </w:tcPr>
                <w:p w14:paraId="109DA33E">
                  <w:pPr>
                    <w:pStyle w:val="237"/>
                    <w:jc w:val="center"/>
                    <w:rPr>
                      <w:rFonts w:eastAsiaTheme="minorEastAsia"/>
                      <w:b/>
                      <w:spacing w:val="-2"/>
                      <w:szCs w:val="21"/>
                    </w:rPr>
                  </w:pPr>
                  <w:r>
                    <w:rPr>
                      <w:rFonts w:hint="eastAsia" w:eastAsiaTheme="minorEastAsia"/>
                      <w:b/>
                      <w:szCs w:val="21"/>
                    </w:rPr>
                    <w:t>2020.09.03</w:t>
                  </w:r>
                </w:p>
              </w:tc>
              <w:tc>
                <w:tcPr>
                  <w:tcW w:w="1276" w:type="dxa"/>
                  <w:vAlign w:val="center"/>
                </w:tcPr>
                <w:p w14:paraId="1E0F9928">
                  <w:pPr>
                    <w:pStyle w:val="237"/>
                    <w:jc w:val="center"/>
                    <w:rPr>
                      <w:rFonts w:eastAsiaTheme="minorEastAsia"/>
                      <w:b/>
                      <w:spacing w:val="-2"/>
                      <w:szCs w:val="21"/>
                    </w:rPr>
                  </w:pPr>
                  <w:r>
                    <w:rPr>
                      <w:rFonts w:hint="eastAsia" w:eastAsiaTheme="minorEastAsia"/>
                      <w:b/>
                      <w:spacing w:val="-2"/>
                      <w:szCs w:val="21"/>
                    </w:rPr>
                    <w:t>2020.09.28</w:t>
                  </w:r>
                </w:p>
              </w:tc>
              <w:tc>
                <w:tcPr>
                  <w:tcW w:w="1293" w:type="dxa"/>
                  <w:vAlign w:val="center"/>
                </w:tcPr>
                <w:p w14:paraId="6CE0EBFA">
                  <w:pPr>
                    <w:pStyle w:val="237"/>
                    <w:jc w:val="center"/>
                    <w:rPr>
                      <w:rFonts w:eastAsiaTheme="minorEastAsia"/>
                      <w:b/>
                      <w:spacing w:val="-2"/>
                      <w:szCs w:val="21"/>
                    </w:rPr>
                  </w:pPr>
                  <w:r>
                    <w:rPr>
                      <w:rFonts w:hint="eastAsia" w:eastAsiaTheme="minorEastAsia"/>
                      <w:b/>
                      <w:spacing w:val="-2"/>
                      <w:szCs w:val="21"/>
                    </w:rPr>
                    <w:t>2020.09.29</w:t>
                  </w:r>
                </w:p>
              </w:tc>
            </w:tr>
            <w:tr w14:paraId="300D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0" w:type="dxa"/>
                  <w:vMerge w:val="continue"/>
                  <w:vAlign w:val="center"/>
                </w:tcPr>
                <w:p w14:paraId="6D6FE8D0">
                  <w:pPr>
                    <w:pStyle w:val="237"/>
                    <w:jc w:val="center"/>
                    <w:rPr>
                      <w:rFonts w:eastAsiaTheme="minorEastAsia"/>
                      <w:b/>
                      <w:szCs w:val="21"/>
                    </w:rPr>
                  </w:pPr>
                </w:p>
              </w:tc>
              <w:tc>
                <w:tcPr>
                  <w:tcW w:w="1559" w:type="dxa"/>
                  <w:vMerge w:val="continue"/>
                  <w:vAlign w:val="center"/>
                </w:tcPr>
                <w:p w14:paraId="16D85797">
                  <w:pPr>
                    <w:pStyle w:val="237"/>
                    <w:jc w:val="center"/>
                    <w:rPr>
                      <w:rFonts w:eastAsiaTheme="minorEastAsia"/>
                      <w:b/>
                      <w:szCs w:val="21"/>
                    </w:rPr>
                  </w:pPr>
                </w:p>
              </w:tc>
              <w:tc>
                <w:tcPr>
                  <w:tcW w:w="1252" w:type="dxa"/>
                  <w:vMerge w:val="continue"/>
                  <w:vAlign w:val="center"/>
                </w:tcPr>
                <w:p w14:paraId="188B6E68">
                  <w:pPr>
                    <w:pStyle w:val="237"/>
                    <w:jc w:val="center"/>
                    <w:rPr>
                      <w:rFonts w:eastAsiaTheme="minorEastAsia"/>
                      <w:b/>
                      <w:szCs w:val="21"/>
                    </w:rPr>
                  </w:pPr>
                </w:p>
              </w:tc>
              <w:tc>
                <w:tcPr>
                  <w:tcW w:w="1276" w:type="dxa"/>
                  <w:vAlign w:val="center"/>
                </w:tcPr>
                <w:p w14:paraId="051BCC3F">
                  <w:pPr>
                    <w:pStyle w:val="237"/>
                    <w:jc w:val="center"/>
                    <w:rPr>
                      <w:rFonts w:eastAsiaTheme="minorEastAsia"/>
                      <w:b/>
                      <w:szCs w:val="21"/>
                    </w:rPr>
                  </w:pPr>
                  <w:r>
                    <w:rPr>
                      <w:rFonts w:hAnsiTheme="minorEastAsia" w:eastAsiaTheme="minorEastAsia"/>
                      <w:b/>
                      <w:szCs w:val="21"/>
                    </w:rPr>
                    <w:t>昼间</w:t>
                  </w:r>
                </w:p>
              </w:tc>
              <w:tc>
                <w:tcPr>
                  <w:tcW w:w="1276" w:type="dxa"/>
                  <w:vAlign w:val="center"/>
                </w:tcPr>
                <w:p w14:paraId="7A8AA544">
                  <w:pPr>
                    <w:pStyle w:val="237"/>
                    <w:jc w:val="center"/>
                    <w:rPr>
                      <w:rFonts w:eastAsiaTheme="minorEastAsia"/>
                      <w:b/>
                      <w:spacing w:val="-2"/>
                      <w:szCs w:val="21"/>
                    </w:rPr>
                  </w:pPr>
                  <w:r>
                    <w:rPr>
                      <w:rFonts w:hAnsiTheme="minorEastAsia" w:eastAsiaTheme="minorEastAsia"/>
                      <w:b/>
                      <w:spacing w:val="-2"/>
                      <w:szCs w:val="21"/>
                    </w:rPr>
                    <w:t>昼间</w:t>
                  </w:r>
                </w:p>
              </w:tc>
              <w:tc>
                <w:tcPr>
                  <w:tcW w:w="1276" w:type="dxa"/>
                  <w:vAlign w:val="center"/>
                </w:tcPr>
                <w:p w14:paraId="743F751D">
                  <w:pPr>
                    <w:pStyle w:val="237"/>
                    <w:jc w:val="center"/>
                    <w:rPr>
                      <w:rFonts w:eastAsiaTheme="minorEastAsia"/>
                      <w:b/>
                      <w:spacing w:val="-2"/>
                      <w:szCs w:val="21"/>
                    </w:rPr>
                  </w:pPr>
                  <w:r>
                    <w:rPr>
                      <w:rFonts w:hint="eastAsia" w:eastAsiaTheme="minorEastAsia"/>
                      <w:b/>
                      <w:spacing w:val="-2"/>
                      <w:szCs w:val="21"/>
                    </w:rPr>
                    <w:t>夜间</w:t>
                  </w:r>
                </w:p>
              </w:tc>
              <w:tc>
                <w:tcPr>
                  <w:tcW w:w="1293" w:type="dxa"/>
                  <w:vAlign w:val="center"/>
                </w:tcPr>
                <w:p w14:paraId="78EC0FF6">
                  <w:pPr>
                    <w:pStyle w:val="237"/>
                    <w:jc w:val="center"/>
                    <w:rPr>
                      <w:rFonts w:eastAsiaTheme="minorEastAsia"/>
                      <w:b/>
                      <w:spacing w:val="-2"/>
                      <w:szCs w:val="21"/>
                    </w:rPr>
                  </w:pPr>
                  <w:r>
                    <w:rPr>
                      <w:rFonts w:hint="eastAsia" w:eastAsiaTheme="minorEastAsia"/>
                      <w:b/>
                      <w:spacing w:val="-2"/>
                      <w:szCs w:val="21"/>
                    </w:rPr>
                    <w:t>夜间</w:t>
                  </w:r>
                </w:p>
              </w:tc>
            </w:tr>
            <w:tr w14:paraId="31C0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0" w:type="dxa"/>
                  <w:vAlign w:val="center"/>
                </w:tcPr>
                <w:p w14:paraId="442720EB">
                  <w:pPr>
                    <w:pStyle w:val="237"/>
                    <w:jc w:val="center"/>
                    <w:rPr>
                      <w:rFonts w:eastAsiaTheme="minorEastAsia"/>
                      <w:szCs w:val="21"/>
                    </w:rPr>
                  </w:pPr>
                  <w:r>
                    <w:rPr>
                      <w:rFonts w:eastAsiaTheme="minorEastAsia"/>
                      <w:szCs w:val="21"/>
                    </w:rPr>
                    <w:t>N01</w:t>
                  </w:r>
                </w:p>
              </w:tc>
              <w:tc>
                <w:tcPr>
                  <w:tcW w:w="1559" w:type="dxa"/>
                  <w:vAlign w:val="center"/>
                </w:tcPr>
                <w:p w14:paraId="2F99537E">
                  <w:pPr>
                    <w:pStyle w:val="237"/>
                    <w:jc w:val="center"/>
                    <w:rPr>
                      <w:rFonts w:eastAsiaTheme="minorEastAsia"/>
                      <w:szCs w:val="21"/>
                    </w:rPr>
                  </w:pPr>
                  <w:r>
                    <w:rPr>
                      <w:rFonts w:hAnsiTheme="minorEastAsia" w:eastAsiaTheme="minorEastAsia"/>
                      <w:szCs w:val="21"/>
                    </w:rPr>
                    <w:t>厂界东</w:t>
                  </w:r>
                </w:p>
              </w:tc>
              <w:tc>
                <w:tcPr>
                  <w:tcW w:w="1252" w:type="dxa"/>
                  <w:vMerge w:val="restart"/>
                  <w:vAlign w:val="center"/>
                </w:tcPr>
                <w:p w14:paraId="4558E407">
                  <w:pPr>
                    <w:pStyle w:val="237"/>
                    <w:jc w:val="center"/>
                    <w:rPr>
                      <w:rFonts w:eastAsiaTheme="minorEastAsia"/>
                      <w:szCs w:val="21"/>
                    </w:rPr>
                  </w:pPr>
                  <w:r>
                    <w:rPr>
                      <w:rFonts w:hAnsiTheme="minorEastAsia" w:eastAsiaTheme="minorEastAsia"/>
                      <w:spacing w:val="-2"/>
                      <w:szCs w:val="21"/>
                    </w:rPr>
                    <w:t>工业企业厂界噪声</w:t>
                  </w:r>
                </w:p>
              </w:tc>
              <w:tc>
                <w:tcPr>
                  <w:tcW w:w="1276" w:type="dxa"/>
                  <w:vAlign w:val="center"/>
                </w:tcPr>
                <w:p w14:paraId="66051E17">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60.9</w:t>
                  </w:r>
                </w:p>
              </w:tc>
              <w:tc>
                <w:tcPr>
                  <w:tcW w:w="1276" w:type="dxa"/>
                  <w:vAlign w:val="center"/>
                </w:tcPr>
                <w:p w14:paraId="261D01AA">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59.7</w:t>
                  </w:r>
                </w:p>
              </w:tc>
              <w:tc>
                <w:tcPr>
                  <w:tcW w:w="1276" w:type="dxa"/>
                  <w:vAlign w:val="center"/>
                </w:tcPr>
                <w:p w14:paraId="41993227">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42.9</w:t>
                  </w:r>
                </w:p>
              </w:tc>
              <w:tc>
                <w:tcPr>
                  <w:tcW w:w="1293" w:type="dxa"/>
                  <w:vAlign w:val="center"/>
                </w:tcPr>
                <w:p w14:paraId="19DA2039">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43.7</w:t>
                  </w:r>
                </w:p>
              </w:tc>
            </w:tr>
            <w:tr w14:paraId="333B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0" w:type="dxa"/>
                  <w:vAlign w:val="center"/>
                </w:tcPr>
                <w:p w14:paraId="4CD7F333">
                  <w:pPr>
                    <w:pStyle w:val="237"/>
                    <w:jc w:val="center"/>
                    <w:rPr>
                      <w:rFonts w:eastAsiaTheme="minorEastAsia"/>
                      <w:szCs w:val="21"/>
                    </w:rPr>
                  </w:pPr>
                  <w:r>
                    <w:rPr>
                      <w:rFonts w:eastAsiaTheme="minorEastAsia"/>
                      <w:szCs w:val="21"/>
                    </w:rPr>
                    <w:t>N02</w:t>
                  </w:r>
                </w:p>
              </w:tc>
              <w:tc>
                <w:tcPr>
                  <w:tcW w:w="1559" w:type="dxa"/>
                  <w:vAlign w:val="center"/>
                </w:tcPr>
                <w:p w14:paraId="2DEF9CD5">
                  <w:pPr>
                    <w:pStyle w:val="237"/>
                    <w:jc w:val="center"/>
                    <w:rPr>
                      <w:rFonts w:eastAsiaTheme="minorEastAsia"/>
                      <w:szCs w:val="21"/>
                    </w:rPr>
                  </w:pPr>
                  <w:r>
                    <w:rPr>
                      <w:rFonts w:hAnsiTheme="minorEastAsia" w:eastAsiaTheme="minorEastAsia"/>
                      <w:szCs w:val="21"/>
                    </w:rPr>
                    <w:t>厂界南</w:t>
                  </w:r>
                </w:p>
              </w:tc>
              <w:tc>
                <w:tcPr>
                  <w:tcW w:w="1252" w:type="dxa"/>
                  <w:vMerge w:val="continue"/>
                  <w:vAlign w:val="center"/>
                </w:tcPr>
                <w:p w14:paraId="05BD6AC8">
                  <w:pPr>
                    <w:pStyle w:val="237"/>
                    <w:jc w:val="center"/>
                    <w:rPr>
                      <w:rFonts w:eastAsiaTheme="minorEastAsia"/>
                      <w:szCs w:val="21"/>
                    </w:rPr>
                  </w:pPr>
                </w:p>
              </w:tc>
              <w:tc>
                <w:tcPr>
                  <w:tcW w:w="1276" w:type="dxa"/>
                  <w:vAlign w:val="center"/>
                </w:tcPr>
                <w:p w14:paraId="2B8676A9">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62.2</w:t>
                  </w:r>
                </w:p>
              </w:tc>
              <w:tc>
                <w:tcPr>
                  <w:tcW w:w="1276" w:type="dxa"/>
                  <w:vAlign w:val="center"/>
                </w:tcPr>
                <w:p w14:paraId="03B07D7A">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61.6</w:t>
                  </w:r>
                </w:p>
              </w:tc>
              <w:tc>
                <w:tcPr>
                  <w:tcW w:w="1276" w:type="dxa"/>
                  <w:vAlign w:val="center"/>
                </w:tcPr>
                <w:p w14:paraId="136CBB57">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43.6</w:t>
                  </w:r>
                </w:p>
              </w:tc>
              <w:tc>
                <w:tcPr>
                  <w:tcW w:w="1293" w:type="dxa"/>
                  <w:vAlign w:val="center"/>
                </w:tcPr>
                <w:p w14:paraId="29A2B981">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42.9</w:t>
                  </w:r>
                </w:p>
              </w:tc>
            </w:tr>
            <w:tr w14:paraId="37F4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0" w:type="dxa"/>
                  <w:vAlign w:val="center"/>
                </w:tcPr>
                <w:p w14:paraId="300A7E3C">
                  <w:pPr>
                    <w:pStyle w:val="237"/>
                    <w:jc w:val="center"/>
                    <w:rPr>
                      <w:rFonts w:eastAsiaTheme="minorEastAsia"/>
                      <w:szCs w:val="21"/>
                    </w:rPr>
                  </w:pPr>
                  <w:r>
                    <w:rPr>
                      <w:rFonts w:eastAsiaTheme="minorEastAsia"/>
                      <w:szCs w:val="21"/>
                    </w:rPr>
                    <w:t>N03</w:t>
                  </w:r>
                </w:p>
              </w:tc>
              <w:tc>
                <w:tcPr>
                  <w:tcW w:w="1559" w:type="dxa"/>
                  <w:vAlign w:val="center"/>
                </w:tcPr>
                <w:p w14:paraId="1C46F875">
                  <w:pPr>
                    <w:pStyle w:val="237"/>
                    <w:jc w:val="center"/>
                    <w:rPr>
                      <w:rFonts w:eastAsiaTheme="minorEastAsia"/>
                      <w:szCs w:val="21"/>
                    </w:rPr>
                  </w:pPr>
                  <w:r>
                    <w:rPr>
                      <w:rFonts w:hAnsiTheme="minorEastAsia" w:eastAsiaTheme="minorEastAsia"/>
                      <w:szCs w:val="21"/>
                    </w:rPr>
                    <w:t>厂界西</w:t>
                  </w:r>
                </w:p>
              </w:tc>
              <w:tc>
                <w:tcPr>
                  <w:tcW w:w="1252" w:type="dxa"/>
                  <w:vMerge w:val="continue"/>
                  <w:vAlign w:val="center"/>
                </w:tcPr>
                <w:p w14:paraId="7A6F17AD">
                  <w:pPr>
                    <w:pStyle w:val="237"/>
                    <w:jc w:val="center"/>
                    <w:rPr>
                      <w:rFonts w:eastAsiaTheme="minorEastAsia"/>
                      <w:szCs w:val="21"/>
                    </w:rPr>
                  </w:pPr>
                </w:p>
              </w:tc>
              <w:tc>
                <w:tcPr>
                  <w:tcW w:w="1276" w:type="dxa"/>
                  <w:vAlign w:val="center"/>
                </w:tcPr>
                <w:p w14:paraId="121A3FE3">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60.6</w:t>
                  </w:r>
                </w:p>
              </w:tc>
              <w:tc>
                <w:tcPr>
                  <w:tcW w:w="1276" w:type="dxa"/>
                  <w:vAlign w:val="center"/>
                </w:tcPr>
                <w:p w14:paraId="35FA8DF0">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59.7</w:t>
                  </w:r>
                </w:p>
              </w:tc>
              <w:tc>
                <w:tcPr>
                  <w:tcW w:w="1276" w:type="dxa"/>
                  <w:vAlign w:val="center"/>
                </w:tcPr>
                <w:p w14:paraId="6E1094DA">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42.6</w:t>
                  </w:r>
                </w:p>
              </w:tc>
              <w:tc>
                <w:tcPr>
                  <w:tcW w:w="1293" w:type="dxa"/>
                  <w:vAlign w:val="center"/>
                </w:tcPr>
                <w:p w14:paraId="0DAFA26B">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44.8</w:t>
                  </w:r>
                </w:p>
              </w:tc>
            </w:tr>
            <w:tr w14:paraId="5C56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0" w:type="dxa"/>
                  <w:vAlign w:val="center"/>
                </w:tcPr>
                <w:p w14:paraId="20AA34A8">
                  <w:pPr>
                    <w:pStyle w:val="237"/>
                    <w:jc w:val="center"/>
                    <w:rPr>
                      <w:rFonts w:eastAsiaTheme="minorEastAsia"/>
                      <w:szCs w:val="21"/>
                    </w:rPr>
                  </w:pPr>
                  <w:r>
                    <w:rPr>
                      <w:rFonts w:eastAsiaTheme="minorEastAsia"/>
                      <w:szCs w:val="21"/>
                    </w:rPr>
                    <w:t>N04</w:t>
                  </w:r>
                </w:p>
              </w:tc>
              <w:tc>
                <w:tcPr>
                  <w:tcW w:w="1559" w:type="dxa"/>
                  <w:vAlign w:val="center"/>
                </w:tcPr>
                <w:p w14:paraId="117A5367">
                  <w:pPr>
                    <w:pStyle w:val="237"/>
                    <w:jc w:val="center"/>
                    <w:rPr>
                      <w:rFonts w:eastAsiaTheme="minorEastAsia"/>
                      <w:szCs w:val="21"/>
                    </w:rPr>
                  </w:pPr>
                  <w:r>
                    <w:rPr>
                      <w:rFonts w:hAnsiTheme="minorEastAsia" w:eastAsiaTheme="minorEastAsia"/>
                      <w:szCs w:val="21"/>
                    </w:rPr>
                    <w:t>厂界北</w:t>
                  </w:r>
                </w:p>
              </w:tc>
              <w:tc>
                <w:tcPr>
                  <w:tcW w:w="1252" w:type="dxa"/>
                  <w:vMerge w:val="continue"/>
                  <w:vAlign w:val="center"/>
                </w:tcPr>
                <w:p w14:paraId="5E023EF4">
                  <w:pPr>
                    <w:pStyle w:val="237"/>
                    <w:jc w:val="center"/>
                    <w:rPr>
                      <w:rFonts w:eastAsiaTheme="minorEastAsia"/>
                      <w:szCs w:val="21"/>
                    </w:rPr>
                  </w:pPr>
                </w:p>
              </w:tc>
              <w:tc>
                <w:tcPr>
                  <w:tcW w:w="1276" w:type="dxa"/>
                  <w:vAlign w:val="center"/>
                </w:tcPr>
                <w:p w14:paraId="1137E0CF">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63.5</w:t>
                  </w:r>
                </w:p>
              </w:tc>
              <w:tc>
                <w:tcPr>
                  <w:tcW w:w="1276" w:type="dxa"/>
                  <w:vAlign w:val="center"/>
                </w:tcPr>
                <w:p w14:paraId="3FCCEC6D">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58.8</w:t>
                  </w:r>
                </w:p>
              </w:tc>
              <w:tc>
                <w:tcPr>
                  <w:tcW w:w="1276" w:type="dxa"/>
                  <w:vAlign w:val="center"/>
                </w:tcPr>
                <w:p w14:paraId="4D97B02B">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44.5</w:t>
                  </w:r>
                </w:p>
              </w:tc>
              <w:tc>
                <w:tcPr>
                  <w:tcW w:w="1293" w:type="dxa"/>
                  <w:vAlign w:val="center"/>
                </w:tcPr>
                <w:p w14:paraId="32C880E4">
                  <w:pPr>
                    <w:spacing w:line="260" w:lineRule="exact"/>
                    <w:jc w:val="center"/>
                    <w:rPr>
                      <w:rFonts w:ascii="Times New Roman" w:hAnsi="Times New Roman" w:eastAsiaTheme="minorEastAsia"/>
                      <w:kern w:val="2"/>
                      <w:sz w:val="21"/>
                      <w:szCs w:val="21"/>
                    </w:rPr>
                  </w:pPr>
                  <w:r>
                    <w:rPr>
                      <w:rFonts w:hint="eastAsia" w:ascii="Times New Roman" w:hAnsi="Times New Roman" w:eastAsiaTheme="minorEastAsia"/>
                      <w:kern w:val="2"/>
                      <w:sz w:val="21"/>
                      <w:szCs w:val="21"/>
                    </w:rPr>
                    <w:t>42.3</w:t>
                  </w:r>
                </w:p>
              </w:tc>
            </w:tr>
          </w:tbl>
          <w:p w14:paraId="34B29FC2">
            <w:pPr>
              <w:ind w:firstLine="420"/>
              <w:jc w:val="left"/>
              <w:rPr>
                <w:color w:val="auto"/>
                <w:szCs w:val="21"/>
              </w:rPr>
            </w:pPr>
            <w:r>
              <w:rPr>
                <w:rFonts w:hint="eastAsia"/>
                <w:color w:val="auto"/>
                <w:szCs w:val="21"/>
              </w:rPr>
              <w:t>注：现有项目生产执行昼</w:t>
            </w:r>
            <w:r>
              <w:rPr>
                <w:rFonts w:hint="eastAsia"/>
                <w:color w:val="auto"/>
                <w:szCs w:val="21"/>
                <w:lang w:eastAsia="zh-CN"/>
              </w:rPr>
              <w:t>夜两</w:t>
            </w:r>
            <w:r>
              <w:rPr>
                <w:rFonts w:hint="eastAsia"/>
                <w:color w:val="auto"/>
                <w:szCs w:val="21"/>
              </w:rPr>
              <w:t>班制。</w:t>
            </w:r>
          </w:p>
          <w:p w14:paraId="765C9D2A">
            <w:pPr>
              <w:spacing w:line="440" w:lineRule="exact"/>
              <w:ind w:firstLine="420"/>
              <w:jc w:val="left"/>
              <w:rPr>
                <w:rFonts w:hint="eastAsia"/>
                <w:color w:val="auto"/>
                <w:sz w:val="24"/>
                <w:szCs w:val="32"/>
              </w:rPr>
            </w:pPr>
            <w:r>
              <w:rPr>
                <w:rFonts w:hint="eastAsia"/>
                <w:color w:val="auto"/>
                <w:sz w:val="24"/>
                <w:szCs w:val="32"/>
              </w:rPr>
              <w:t>监测结果显示：现有项目各厂界昼</w:t>
            </w:r>
            <w:r>
              <w:rPr>
                <w:rFonts w:hint="eastAsia"/>
                <w:color w:val="auto"/>
                <w:sz w:val="24"/>
                <w:szCs w:val="32"/>
                <w:lang w:eastAsia="zh-CN"/>
              </w:rPr>
              <w:t>、夜间</w:t>
            </w:r>
            <w:r>
              <w:rPr>
                <w:rFonts w:hint="eastAsia"/>
                <w:color w:val="auto"/>
                <w:sz w:val="24"/>
                <w:szCs w:val="32"/>
              </w:rPr>
              <w:t>噪声排放符合《工业企业厂界环境噪声排放标准》（GB12348-2008）表1中的3类标准。</w:t>
            </w:r>
          </w:p>
          <w:p w14:paraId="74E8AAAB">
            <w:pPr>
              <w:spacing w:line="440" w:lineRule="exact"/>
              <w:rPr>
                <w:b/>
                <w:bCs/>
                <w:color w:val="auto"/>
                <w:sz w:val="24"/>
              </w:rPr>
            </w:pPr>
            <w:r>
              <w:rPr>
                <w:rFonts w:hint="eastAsia"/>
                <w:b/>
                <w:bCs/>
                <w:color w:val="auto"/>
                <w:sz w:val="24"/>
                <w:lang w:val="en-US" w:eastAsia="zh-CN"/>
              </w:rPr>
              <w:t>2.2.</w:t>
            </w:r>
            <w:r>
              <w:rPr>
                <w:rFonts w:hint="eastAsia"/>
                <w:b/>
                <w:bCs/>
                <w:color w:val="auto"/>
                <w:sz w:val="24"/>
              </w:rPr>
              <w:t>6现有项目总量情况</w:t>
            </w:r>
          </w:p>
          <w:p w14:paraId="3B8BF623">
            <w:pPr>
              <w:jc w:val="center"/>
              <w:rPr>
                <w:rFonts w:hint="eastAsia"/>
                <w:b/>
                <w:color w:val="auto"/>
                <w:szCs w:val="21"/>
              </w:rPr>
            </w:pPr>
            <w:r>
              <w:rPr>
                <w:rFonts w:hint="eastAsia"/>
                <w:b/>
                <w:color w:val="auto"/>
                <w:szCs w:val="21"/>
              </w:rPr>
              <w:t>表2-</w:t>
            </w:r>
            <w:r>
              <w:rPr>
                <w:rFonts w:hint="eastAsia"/>
                <w:b/>
                <w:color w:val="auto"/>
                <w:szCs w:val="21"/>
                <w:lang w:val="en-US" w:eastAsia="zh-CN"/>
              </w:rPr>
              <w:t>15</w:t>
            </w:r>
            <w:r>
              <w:rPr>
                <w:rFonts w:hint="eastAsia"/>
                <w:b/>
                <w:color w:val="auto"/>
                <w:szCs w:val="21"/>
              </w:rPr>
              <w:t xml:space="preserve"> 现有项目总量控制污染物</w:t>
            </w:r>
          </w:p>
          <w:tbl>
            <w:tblPr>
              <w:tblStyle w:val="3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2155"/>
              <w:gridCol w:w="2532"/>
              <w:gridCol w:w="2532"/>
            </w:tblGrid>
            <w:tr w14:paraId="54DF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5" w:type="dxa"/>
                  <w:vAlign w:val="center"/>
                </w:tcPr>
                <w:p w14:paraId="05C6949D">
                  <w:pPr>
                    <w:jc w:val="center"/>
                    <w:rPr>
                      <w:rFonts w:ascii="Times New Roman" w:hAnsi="Times New Roman" w:eastAsia="宋体"/>
                      <w:b/>
                      <w:sz w:val="21"/>
                      <w:szCs w:val="21"/>
                    </w:rPr>
                  </w:pPr>
                  <w:r>
                    <w:rPr>
                      <w:rFonts w:ascii="Times New Roman" w:hAnsi="宋体" w:eastAsia="宋体"/>
                      <w:b/>
                      <w:sz w:val="21"/>
                      <w:szCs w:val="21"/>
                    </w:rPr>
                    <w:t>类别</w:t>
                  </w:r>
                </w:p>
              </w:tc>
              <w:tc>
                <w:tcPr>
                  <w:tcW w:w="2155" w:type="dxa"/>
                  <w:vAlign w:val="center"/>
                </w:tcPr>
                <w:p w14:paraId="115FCC44">
                  <w:pPr>
                    <w:jc w:val="center"/>
                    <w:rPr>
                      <w:rFonts w:ascii="Times New Roman" w:hAnsi="Times New Roman" w:eastAsia="宋体"/>
                      <w:b/>
                      <w:sz w:val="21"/>
                      <w:szCs w:val="21"/>
                    </w:rPr>
                  </w:pPr>
                  <w:r>
                    <w:rPr>
                      <w:rFonts w:ascii="Times New Roman" w:hAnsi="宋体" w:eastAsia="宋体"/>
                      <w:b/>
                      <w:sz w:val="21"/>
                      <w:szCs w:val="21"/>
                    </w:rPr>
                    <w:t>污染物</w:t>
                  </w:r>
                </w:p>
              </w:tc>
              <w:tc>
                <w:tcPr>
                  <w:tcW w:w="2532" w:type="dxa"/>
                  <w:vAlign w:val="center"/>
                </w:tcPr>
                <w:p w14:paraId="0AF823D0">
                  <w:pPr>
                    <w:jc w:val="center"/>
                    <w:rPr>
                      <w:rFonts w:ascii="Times New Roman" w:hAnsi="Times New Roman" w:eastAsia="宋体"/>
                      <w:b/>
                      <w:sz w:val="21"/>
                      <w:szCs w:val="21"/>
                    </w:rPr>
                  </w:pPr>
                  <w:r>
                    <w:rPr>
                      <w:rFonts w:ascii="Times New Roman" w:hAnsi="宋体" w:eastAsia="宋体"/>
                      <w:b/>
                      <w:sz w:val="21"/>
                      <w:szCs w:val="21"/>
                    </w:rPr>
                    <w:t>环评</w:t>
                  </w:r>
                  <w:r>
                    <w:rPr>
                      <w:rFonts w:hint="eastAsia" w:ascii="Times New Roman" w:hAnsi="宋体" w:eastAsia="宋体"/>
                      <w:b/>
                      <w:sz w:val="21"/>
                      <w:szCs w:val="21"/>
                    </w:rPr>
                    <w:t>报告</w:t>
                  </w:r>
                  <w:r>
                    <w:rPr>
                      <w:rFonts w:ascii="Times New Roman" w:hAnsi="宋体" w:eastAsia="宋体"/>
                      <w:b/>
                      <w:sz w:val="21"/>
                      <w:szCs w:val="21"/>
                    </w:rPr>
                    <w:t>总量建议值（</w:t>
                  </w:r>
                  <w:r>
                    <w:rPr>
                      <w:rFonts w:ascii="Times New Roman" w:hAnsi="Times New Roman" w:eastAsia="宋体"/>
                      <w:b/>
                      <w:sz w:val="21"/>
                      <w:szCs w:val="21"/>
                    </w:rPr>
                    <w:t>t/a</w:t>
                  </w:r>
                  <w:r>
                    <w:rPr>
                      <w:rFonts w:ascii="Times New Roman" w:hAnsi="宋体" w:eastAsia="宋体"/>
                      <w:b/>
                      <w:sz w:val="21"/>
                      <w:szCs w:val="21"/>
                    </w:rPr>
                    <w:t>）</w:t>
                  </w:r>
                </w:p>
              </w:tc>
              <w:tc>
                <w:tcPr>
                  <w:tcW w:w="2532" w:type="dxa"/>
                  <w:vAlign w:val="center"/>
                </w:tcPr>
                <w:p w14:paraId="03B16259">
                  <w:pPr>
                    <w:jc w:val="center"/>
                    <w:rPr>
                      <w:rFonts w:ascii="Times New Roman" w:hAnsi="宋体" w:eastAsia="宋体"/>
                      <w:b/>
                      <w:sz w:val="21"/>
                      <w:szCs w:val="21"/>
                    </w:rPr>
                  </w:pPr>
                  <w:r>
                    <w:rPr>
                      <w:rFonts w:hint="eastAsia" w:ascii="Times New Roman" w:hAnsi="宋体" w:eastAsia="宋体"/>
                      <w:b/>
                      <w:sz w:val="21"/>
                      <w:szCs w:val="21"/>
                    </w:rPr>
                    <w:t>实际排放量</w:t>
                  </w:r>
                  <w:r>
                    <w:rPr>
                      <w:rFonts w:ascii="Times New Roman" w:hAnsi="宋体" w:eastAsia="宋体"/>
                      <w:b/>
                      <w:sz w:val="21"/>
                      <w:szCs w:val="21"/>
                    </w:rPr>
                    <w:t>（</w:t>
                  </w:r>
                  <w:r>
                    <w:rPr>
                      <w:rFonts w:ascii="Times New Roman" w:hAnsi="Times New Roman" w:eastAsia="宋体"/>
                      <w:b/>
                      <w:sz w:val="21"/>
                      <w:szCs w:val="21"/>
                    </w:rPr>
                    <w:t>t/a</w:t>
                  </w:r>
                  <w:r>
                    <w:rPr>
                      <w:rFonts w:ascii="Times New Roman" w:hAnsi="宋体" w:eastAsia="宋体"/>
                      <w:b/>
                      <w:sz w:val="21"/>
                      <w:szCs w:val="21"/>
                    </w:rPr>
                    <w:t>）</w:t>
                  </w:r>
                </w:p>
              </w:tc>
            </w:tr>
            <w:tr w14:paraId="2C41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5" w:type="dxa"/>
                  <w:vMerge w:val="restart"/>
                  <w:vAlign w:val="center"/>
                </w:tcPr>
                <w:p w14:paraId="15E0F195">
                  <w:pPr>
                    <w:jc w:val="center"/>
                    <w:rPr>
                      <w:rFonts w:ascii="Times New Roman" w:hAnsi="Times New Roman" w:eastAsia="宋体"/>
                      <w:sz w:val="21"/>
                      <w:szCs w:val="21"/>
                    </w:rPr>
                  </w:pPr>
                  <w:r>
                    <w:rPr>
                      <w:rFonts w:ascii="Times New Roman" w:hAnsi="宋体" w:eastAsia="宋体"/>
                      <w:sz w:val="21"/>
                      <w:szCs w:val="21"/>
                    </w:rPr>
                    <w:t>废气</w:t>
                  </w:r>
                </w:p>
              </w:tc>
              <w:tc>
                <w:tcPr>
                  <w:tcW w:w="2155" w:type="dxa"/>
                  <w:vAlign w:val="center"/>
                </w:tcPr>
                <w:p w14:paraId="08FD118D">
                  <w:pPr>
                    <w:jc w:val="center"/>
                    <w:rPr>
                      <w:rFonts w:ascii="Times New Roman" w:hAnsi="宋体" w:eastAsia="宋体"/>
                      <w:sz w:val="21"/>
                      <w:szCs w:val="21"/>
                    </w:rPr>
                  </w:pPr>
                  <w:r>
                    <w:rPr>
                      <w:rFonts w:ascii="Times New Roman" w:hAnsi="宋体" w:eastAsia="宋体"/>
                      <w:sz w:val="21"/>
                      <w:szCs w:val="21"/>
                    </w:rPr>
                    <w:t>VOC</w:t>
                  </w:r>
                  <w:r>
                    <w:rPr>
                      <w:rFonts w:ascii="Times New Roman" w:hAnsi="宋体" w:eastAsia="宋体"/>
                      <w:sz w:val="21"/>
                      <w:szCs w:val="21"/>
                      <w:vertAlign w:val="subscript"/>
                    </w:rPr>
                    <w:t>S</w:t>
                  </w:r>
                </w:p>
              </w:tc>
              <w:tc>
                <w:tcPr>
                  <w:tcW w:w="2532" w:type="dxa"/>
                  <w:vAlign w:val="center"/>
                </w:tcPr>
                <w:p w14:paraId="1355FE40">
                  <w:pPr>
                    <w:jc w:val="center"/>
                    <w:rPr>
                      <w:rFonts w:ascii="Times New Roman" w:hAnsiTheme="minorEastAsia" w:eastAsiaTheme="minorEastAsia"/>
                      <w:sz w:val="21"/>
                      <w:szCs w:val="21"/>
                    </w:rPr>
                  </w:pPr>
                  <w:r>
                    <w:rPr>
                      <w:rFonts w:hint="eastAsia" w:ascii="Times New Roman" w:hAnsi="宋体" w:eastAsia="宋体"/>
                      <w:sz w:val="21"/>
                      <w:szCs w:val="21"/>
                    </w:rPr>
                    <w:t>0.055</w:t>
                  </w:r>
                </w:p>
              </w:tc>
              <w:tc>
                <w:tcPr>
                  <w:tcW w:w="2532" w:type="dxa"/>
                  <w:vAlign w:val="center"/>
                </w:tcPr>
                <w:p w14:paraId="7610036E">
                  <w:pPr>
                    <w:jc w:val="center"/>
                    <w:rPr>
                      <w:rFonts w:ascii="Times New Roman" w:hAnsi="宋体" w:eastAsia="宋体"/>
                      <w:sz w:val="21"/>
                      <w:szCs w:val="21"/>
                    </w:rPr>
                  </w:pPr>
                  <w:r>
                    <w:rPr>
                      <w:rFonts w:hint="eastAsia" w:ascii="Times New Roman" w:hAnsi="宋体" w:eastAsia="宋体"/>
                      <w:sz w:val="21"/>
                      <w:szCs w:val="21"/>
                    </w:rPr>
                    <w:t>0.053</w:t>
                  </w:r>
                </w:p>
              </w:tc>
            </w:tr>
            <w:tr w14:paraId="0278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5" w:type="dxa"/>
                  <w:vMerge w:val="continue"/>
                  <w:vAlign w:val="center"/>
                </w:tcPr>
                <w:p w14:paraId="4AF0DAE6">
                  <w:pPr>
                    <w:jc w:val="center"/>
                    <w:rPr>
                      <w:rFonts w:ascii="Times New Roman" w:hAnsi="宋体" w:eastAsia="宋体"/>
                      <w:sz w:val="21"/>
                      <w:szCs w:val="21"/>
                    </w:rPr>
                  </w:pPr>
                </w:p>
              </w:tc>
              <w:tc>
                <w:tcPr>
                  <w:tcW w:w="2155" w:type="dxa"/>
                  <w:vAlign w:val="center"/>
                </w:tcPr>
                <w:p w14:paraId="79C3EAE3">
                  <w:pPr>
                    <w:jc w:val="center"/>
                    <w:rPr>
                      <w:rFonts w:ascii="Times New Roman" w:hAnsi="宋体" w:eastAsia="宋体"/>
                      <w:sz w:val="21"/>
                      <w:szCs w:val="21"/>
                    </w:rPr>
                  </w:pPr>
                  <w:r>
                    <w:rPr>
                      <w:rFonts w:hint="eastAsia" w:ascii="Times New Roman" w:hAnsi="宋体" w:eastAsia="宋体"/>
                      <w:sz w:val="21"/>
                      <w:szCs w:val="21"/>
                    </w:rPr>
                    <w:t>工业烟粉尘</w:t>
                  </w:r>
                </w:p>
              </w:tc>
              <w:tc>
                <w:tcPr>
                  <w:tcW w:w="2532" w:type="dxa"/>
                  <w:vAlign w:val="center"/>
                </w:tcPr>
                <w:p w14:paraId="51C85DEA">
                  <w:pPr>
                    <w:jc w:val="center"/>
                    <w:rPr>
                      <w:rFonts w:ascii="Times New Roman" w:hAnsiTheme="minorEastAsia" w:eastAsiaTheme="minorEastAsia"/>
                      <w:sz w:val="21"/>
                      <w:szCs w:val="21"/>
                    </w:rPr>
                  </w:pPr>
                  <w:r>
                    <w:rPr>
                      <w:rFonts w:hint="eastAsia" w:ascii="Times New Roman" w:hAnsi="宋体" w:eastAsia="宋体"/>
                      <w:sz w:val="21"/>
                      <w:szCs w:val="21"/>
                    </w:rPr>
                    <w:t>0.12</w:t>
                  </w:r>
                </w:p>
              </w:tc>
              <w:tc>
                <w:tcPr>
                  <w:tcW w:w="2532" w:type="dxa"/>
                  <w:vAlign w:val="center"/>
                </w:tcPr>
                <w:p w14:paraId="7DC35C97">
                  <w:pPr>
                    <w:jc w:val="center"/>
                    <w:rPr>
                      <w:rFonts w:ascii="Times New Roman" w:hAnsi="宋体" w:eastAsia="宋体"/>
                      <w:sz w:val="21"/>
                      <w:szCs w:val="21"/>
                    </w:rPr>
                  </w:pPr>
                  <w:r>
                    <w:rPr>
                      <w:rFonts w:hint="eastAsia" w:ascii="Times New Roman" w:hAnsi="宋体" w:eastAsia="宋体"/>
                      <w:sz w:val="21"/>
                      <w:szCs w:val="21"/>
                    </w:rPr>
                    <w:t>0.043</w:t>
                  </w:r>
                </w:p>
              </w:tc>
            </w:tr>
            <w:tr w14:paraId="3D5D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5" w:type="dxa"/>
                  <w:vMerge w:val="restart"/>
                  <w:vAlign w:val="center"/>
                </w:tcPr>
                <w:p w14:paraId="713CD99A">
                  <w:pPr>
                    <w:jc w:val="center"/>
                    <w:rPr>
                      <w:rFonts w:ascii="Times New Roman" w:hAnsi="Times New Roman" w:eastAsia="宋体"/>
                      <w:sz w:val="21"/>
                      <w:szCs w:val="21"/>
                    </w:rPr>
                  </w:pPr>
                  <w:r>
                    <w:rPr>
                      <w:rFonts w:ascii="Times New Roman" w:hAnsi="宋体" w:eastAsia="宋体"/>
                      <w:sz w:val="21"/>
                      <w:szCs w:val="21"/>
                    </w:rPr>
                    <w:t>废水</w:t>
                  </w:r>
                </w:p>
              </w:tc>
              <w:tc>
                <w:tcPr>
                  <w:tcW w:w="2155" w:type="dxa"/>
                  <w:vAlign w:val="center"/>
                </w:tcPr>
                <w:p w14:paraId="659B00C3">
                  <w:pPr>
                    <w:jc w:val="center"/>
                    <w:rPr>
                      <w:rFonts w:ascii="Times New Roman" w:hAnsi="宋体" w:eastAsia="宋体"/>
                      <w:sz w:val="21"/>
                      <w:szCs w:val="21"/>
                    </w:rPr>
                  </w:pPr>
                  <w:r>
                    <w:rPr>
                      <w:rFonts w:hint="eastAsia" w:ascii="Times New Roman" w:hAnsi="宋体" w:eastAsia="宋体"/>
                      <w:sz w:val="21"/>
                      <w:szCs w:val="21"/>
                    </w:rPr>
                    <w:t>废水量</w:t>
                  </w:r>
                </w:p>
              </w:tc>
              <w:tc>
                <w:tcPr>
                  <w:tcW w:w="2532" w:type="dxa"/>
                  <w:vAlign w:val="center"/>
                </w:tcPr>
                <w:p w14:paraId="0B49DDE0">
                  <w:pPr>
                    <w:jc w:val="center"/>
                    <w:rPr>
                      <w:rFonts w:ascii="Times New Roman" w:hAnsi="宋体" w:eastAsia="宋体"/>
                      <w:sz w:val="21"/>
                      <w:szCs w:val="21"/>
                    </w:rPr>
                  </w:pPr>
                  <w:r>
                    <w:rPr>
                      <w:rFonts w:hint="eastAsia" w:ascii="Times New Roman" w:hAnsi="宋体" w:eastAsia="宋体"/>
                      <w:sz w:val="21"/>
                      <w:szCs w:val="21"/>
                    </w:rPr>
                    <w:t>240</w:t>
                  </w:r>
                </w:p>
              </w:tc>
              <w:tc>
                <w:tcPr>
                  <w:tcW w:w="2532" w:type="dxa"/>
                  <w:vAlign w:val="center"/>
                </w:tcPr>
                <w:p w14:paraId="6E5BA218">
                  <w:pPr>
                    <w:jc w:val="center"/>
                    <w:rPr>
                      <w:rFonts w:ascii="Times New Roman" w:hAnsi="宋体" w:eastAsia="宋体"/>
                      <w:sz w:val="21"/>
                      <w:szCs w:val="21"/>
                    </w:rPr>
                  </w:pPr>
                  <w:r>
                    <w:rPr>
                      <w:rFonts w:hint="eastAsia" w:ascii="Times New Roman" w:hAnsi="宋体" w:eastAsia="宋体"/>
                      <w:sz w:val="21"/>
                      <w:szCs w:val="21"/>
                    </w:rPr>
                    <w:t>240</w:t>
                  </w:r>
                </w:p>
              </w:tc>
            </w:tr>
            <w:tr w14:paraId="319F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5" w:type="dxa"/>
                  <w:vMerge w:val="continue"/>
                  <w:vAlign w:val="center"/>
                </w:tcPr>
                <w:p w14:paraId="1A724B36">
                  <w:pPr>
                    <w:jc w:val="center"/>
                    <w:rPr>
                      <w:rFonts w:ascii="Times New Roman" w:hAnsi="宋体" w:eastAsia="宋体"/>
                      <w:sz w:val="21"/>
                      <w:szCs w:val="21"/>
                    </w:rPr>
                  </w:pPr>
                </w:p>
              </w:tc>
              <w:tc>
                <w:tcPr>
                  <w:tcW w:w="2155" w:type="dxa"/>
                  <w:vAlign w:val="center"/>
                </w:tcPr>
                <w:p w14:paraId="6BCEF645">
                  <w:pPr>
                    <w:jc w:val="center"/>
                    <w:rPr>
                      <w:rFonts w:ascii="Times New Roman" w:hAnsi="Times New Roman" w:eastAsia="宋体"/>
                      <w:sz w:val="21"/>
                      <w:szCs w:val="21"/>
                    </w:rPr>
                  </w:pPr>
                  <w:r>
                    <w:rPr>
                      <w:rFonts w:ascii="Times New Roman" w:hAnsi="Times New Roman" w:eastAsia="宋体"/>
                      <w:sz w:val="21"/>
                      <w:szCs w:val="21"/>
                    </w:rPr>
                    <w:t>COD</w:t>
                  </w:r>
                  <w:r>
                    <w:rPr>
                      <w:rFonts w:ascii="Times New Roman" w:hAnsi="Times New Roman" w:eastAsia="宋体"/>
                      <w:sz w:val="21"/>
                      <w:szCs w:val="21"/>
                      <w:vertAlign w:val="subscript"/>
                    </w:rPr>
                    <w:t>Cr</w:t>
                  </w:r>
                </w:p>
              </w:tc>
              <w:tc>
                <w:tcPr>
                  <w:tcW w:w="2532" w:type="dxa"/>
                  <w:vAlign w:val="center"/>
                </w:tcPr>
                <w:p w14:paraId="6438F41F">
                  <w:pPr>
                    <w:jc w:val="center"/>
                    <w:rPr>
                      <w:rFonts w:ascii="Times New Roman" w:hAnsi="Times New Roman"/>
                      <w:sz w:val="21"/>
                      <w:szCs w:val="21"/>
                    </w:rPr>
                  </w:pPr>
                  <w:r>
                    <w:rPr>
                      <w:rFonts w:hint="eastAsia" w:ascii="Times New Roman" w:hAnsi="Times New Roman"/>
                      <w:sz w:val="21"/>
                      <w:szCs w:val="21"/>
                    </w:rPr>
                    <w:t>0.012</w:t>
                  </w:r>
                </w:p>
              </w:tc>
              <w:tc>
                <w:tcPr>
                  <w:tcW w:w="2532" w:type="dxa"/>
                  <w:vAlign w:val="center"/>
                </w:tcPr>
                <w:p w14:paraId="75188F5D">
                  <w:pPr>
                    <w:jc w:val="center"/>
                    <w:rPr>
                      <w:rFonts w:ascii="Times New Roman" w:hAnsi="Times New Roman"/>
                      <w:sz w:val="21"/>
                      <w:szCs w:val="21"/>
                    </w:rPr>
                  </w:pPr>
                  <w:r>
                    <w:rPr>
                      <w:rFonts w:hint="eastAsia" w:ascii="Times New Roman" w:hAnsi="Times New Roman"/>
                      <w:sz w:val="21"/>
                      <w:szCs w:val="21"/>
                    </w:rPr>
                    <w:t>0.012</w:t>
                  </w:r>
                </w:p>
              </w:tc>
            </w:tr>
            <w:tr w14:paraId="50EC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5" w:type="dxa"/>
                  <w:vMerge w:val="continue"/>
                  <w:vAlign w:val="center"/>
                </w:tcPr>
                <w:p w14:paraId="2F22F14E">
                  <w:pPr>
                    <w:jc w:val="center"/>
                    <w:rPr>
                      <w:rFonts w:ascii="Times New Roman" w:hAnsi="Times New Roman" w:eastAsia="宋体"/>
                      <w:sz w:val="21"/>
                      <w:szCs w:val="21"/>
                    </w:rPr>
                  </w:pPr>
                </w:p>
              </w:tc>
              <w:tc>
                <w:tcPr>
                  <w:tcW w:w="2155" w:type="dxa"/>
                  <w:vAlign w:val="center"/>
                </w:tcPr>
                <w:p w14:paraId="439E0EE6">
                  <w:pPr>
                    <w:jc w:val="center"/>
                    <w:rPr>
                      <w:rFonts w:ascii="Times New Roman" w:hAnsi="Times New Roman" w:eastAsia="宋体"/>
                      <w:sz w:val="21"/>
                      <w:szCs w:val="21"/>
                    </w:rPr>
                  </w:pPr>
                  <w:r>
                    <w:rPr>
                      <w:rFonts w:ascii="Times New Roman" w:hAnsi="宋体" w:eastAsia="宋体"/>
                      <w:sz w:val="21"/>
                      <w:szCs w:val="21"/>
                    </w:rPr>
                    <w:t>氨氮</w:t>
                  </w:r>
                </w:p>
              </w:tc>
              <w:tc>
                <w:tcPr>
                  <w:tcW w:w="2532" w:type="dxa"/>
                  <w:vAlign w:val="center"/>
                </w:tcPr>
                <w:p w14:paraId="20BD69E6">
                  <w:pPr>
                    <w:jc w:val="center"/>
                    <w:rPr>
                      <w:rFonts w:ascii="Times New Roman" w:hAnsi="Times New Roman"/>
                      <w:sz w:val="21"/>
                      <w:szCs w:val="21"/>
                    </w:rPr>
                  </w:pPr>
                  <w:r>
                    <w:rPr>
                      <w:rFonts w:ascii="Times New Roman" w:hAnsi="Times New Roman"/>
                      <w:sz w:val="21"/>
                      <w:szCs w:val="21"/>
                    </w:rPr>
                    <w:t>0.00</w:t>
                  </w:r>
                  <w:r>
                    <w:rPr>
                      <w:rFonts w:hint="eastAsia" w:ascii="Times New Roman" w:hAnsi="Times New Roman"/>
                      <w:sz w:val="21"/>
                      <w:szCs w:val="21"/>
                    </w:rPr>
                    <w:t>12</w:t>
                  </w:r>
                </w:p>
              </w:tc>
              <w:tc>
                <w:tcPr>
                  <w:tcW w:w="2532" w:type="dxa"/>
                  <w:vAlign w:val="center"/>
                </w:tcPr>
                <w:p w14:paraId="7DF7D77B">
                  <w:pPr>
                    <w:jc w:val="center"/>
                    <w:rPr>
                      <w:rFonts w:ascii="Times New Roman" w:hAnsi="Times New Roman"/>
                      <w:sz w:val="21"/>
                      <w:szCs w:val="21"/>
                    </w:rPr>
                  </w:pPr>
                  <w:r>
                    <w:rPr>
                      <w:rFonts w:ascii="Times New Roman" w:hAnsi="Times New Roman"/>
                      <w:sz w:val="21"/>
                      <w:szCs w:val="21"/>
                    </w:rPr>
                    <w:t>0.00</w:t>
                  </w:r>
                  <w:r>
                    <w:rPr>
                      <w:rFonts w:hint="eastAsia" w:ascii="Times New Roman" w:hAnsi="Times New Roman"/>
                      <w:sz w:val="21"/>
                      <w:szCs w:val="21"/>
                    </w:rPr>
                    <w:t>12</w:t>
                  </w:r>
                </w:p>
              </w:tc>
            </w:tr>
            <w:tr w14:paraId="49B5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5" w:type="dxa"/>
                  <w:vMerge w:val="continue"/>
                  <w:vAlign w:val="center"/>
                </w:tcPr>
                <w:p w14:paraId="5A7ABA06">
                  <w:pPr>
                    <w:jc w:val="center"/>
                    <w:rPr>
                      <w:rFonts w:ascii="Times New Roman" w:hAnsi="Times New Roman" w:eastAsia="宋体"/>
                      <w:sz w:val="21"/>
                      <w:szCs w:val="21"/>
                    </w:rPr>
                  </w:pPr>
                </w:p>
              </w:tc>
              <w:tc>
                <w:tcPr>
                  <w:tcW w:w="2155" w:type="dxa"/>
                  <w:vAlign w:val="center"/>
                </w:tcPr>
                <w:p w14:paraId="796E0E97">
                  <w:pPr>
                    <w:jc w:val="center"/>
                    <w:rPr>
                      <w:rFonts w:hint="eastAsia" w:ascii="Times New Roman" w:hAnsi="宋体" w:eastAsia="宋体"/>
                      <w:sz w:val="21"/>
                      <w:szCs w:val="21"/>
                    </w:rPr>
                  </w:pPr>
                  <w:r>
                    <w:rPr>
                      <w:rFonts w:ascii="Times New Roman" w:hAnsi="宋体" w:eastAsia="宋体"/>
                      <w:sz w:val="21"/>
                      <w:szCs w:val="21"/>
                    </w:rPr>
                    <w:t>总磷</w:t>
                  </w:r>
                </w:p>
              </w:tc>
              <w:tc>
                <w:tcPr>
                  <w:tcW w:w="2532" w:type="dxa"/>
                  <w:vAlign w:val="center"/>
                </w:tcPr>
                <w:p w14:paraId="51D1AA16">
                  <w:pPr>
                    <w:jc w:val="center"/>
                    <w:rPr>
                      <w:rFonts w:hint="eastAsia" w:ascii="Times New Roman" w:hAnsi="Times New Roman"/>
                      <w:sz w:val="21"/>
                      <w:szCs w:val="21"/>
                    </w:rPr>
                  </w:pPr>
                  <w:r>
                    <w:rPr>
                      <w:rFonts w:ascii="Times New Roman" w:hAnsi="Times New Roman"/>
                      <w:sz w:val="21"/>
                      <w:szCs w:val="21"/>
                    </w:rPr>
                    <w:t>0.000</w:t>
                  </w:r>
                  <w:r>
                    <w:rPr>
                      <w:rFonts w:hint="eastAsia" w:ascii="Times New Roman" w:hAnsi="Times New Roman"/>
                      <w:sz w:val="21"/>
                      <w:szCs w:val="21"/>
                    </w:rPr>
                    <w:t>12</w:t>
                  </w:r>
                </w:p>
              </w:tc>
              <w:tc>
                <w:tcPr>
                  <w:tcW w:w="2532" w:type="dxa"/>
                  <w:vAlign w:val="center"/>
                </w:tcPr>
                <w:p w14:paraId="403465F5">
                  <w:pPr>
                    <w:jc w:val="center"/>
                    <w:rPr>
                      <w:rFonts w:hint="eastAsia" w:ascii="Times New Roman" w:hAnsi="Times New Roman"/>
                      <w:sz w:val="21"/>
                      <w:szCs w:val="21"/>
                    </w:rPr>
                  </w:pPr>
                  <w:r>
                    <w:rPr>
                      <w:rFonts w:ascii="Times New Roman" w:hAnsi="Times New Roman"/>
                      <w:sz w:val="21"/>
                      <w:szCs w:val="21"/>
                    </w:rPr>
                    <w:t>0.000</w:t>
                  </w:r>
                  <w:r>
                    <w:rPr>
                      <w:rFonts w:hint="eastAsia" w:ascii="Times New Roman" w:hAnsi="Times New Roman"/>
                      <w:sz w:val="21"/>
                      <w:szCs w:val="21"/>
                    </w:rPr>
                    <w:t>12</w:t>
                  </w:r>
                </w:p>
              </w:tc>
            </w:tr>
          </w:tbl>
          <w:p w14:paraId="5136B9EA">
            <w:pPr>
              <w:pStyle w:val="19"/>
            </w:pPr>
          </w:p>
          <w:p w14:paraId="711D74FB">
            <w:pPr>
              <w:spacing w:line="440" w:lineRule="exact"/>
              <w:jc w:val="left"/>
              <w:rPr>
                <w:bCs/>
                <w:color w:val="auto"/>
                <w:sz w:val="24"/>
              </w:rPr>
            </w:pPr>
            <w:r>
              <w:rPr>
                <w:rFonts w:hint="eastAsia"/>
                <w:b/>
                <w:bCs/>
                <w:color w:val="auto"/>
                <w:sz w:val="24"/>
                <w:lang w:val="en-US" w:eastAsia="zh-CN"/>
              </w:rPr>
              <w:t>2.2.7</w:t>
            </w:r>
            <w:r>
              <w:rPr>
                <w:b/>
                <w:color w:val="auto"/>
                <w:sz w:val="24"/>
              </w:rPr>
              <w:t>现有项目环境影响</w:t>
            </w:r>
            <w:r>
              <w:rPr>
                <w:rFonts w:hint="eastAsia"/>
                <w:b/>
                <w:color w:val="auto"/>
                <w:sz w:val="24"/>
                <w:lang w:val="en-US" w:eastAsia="zh-CN"/>
              </w:rPr>
              <w:t>登记</w:t>
            </w:r>
            <w:r>
              <w:rPr>
                <w:b/>
                <w:color w:val="auto"/>
                <w:sz w:val="24"/>
              </w:rPr>
              <w:t>表</w:t>
            </w:r>
            <w:r>
              <w:rPr>
                <w:rFonts w:hint="eastAsia"/>
                <w:b/>
                <w:color w:val="auto"/>
                <w:sz w:val="24"/>
                <w:lang w:val="en-US" w:eastAsia="zh-CN"/>
              </w:rPr>
              <w:t>污染治理措施</w:t>
            </w:r>
            <w:r>
              <w:rPr>
                <w:b/>
                <w:color w:val="auto"/>
                <w:sz w:val="24"/>
              </w:rPr>
              <w:t>与项目实际情况对照</w:t>
            </w:r>
          </w:p>
          <w:p w14:paraId="37CE624C">
            <w:pPr>
              <w:spacing w:line="440" w:lineRule="exact"/>
              <w:ind w:firstLine="480" w:firstLineChars="200"/>
              <w:rPr>
                <w:color w:val="auto"/>
                <w:sz w:val="24"/>
              </w:rPr>
            </w:pPr>
            <w:r>
              <w:rPr>
                <w:rFonts w:ascii="Times New Roman" w:hAnsi="Times New Roman" w:eastAsia="宋体" w:cs="Times New Roman"/>
                <w:color w:val="auto"/>
                <w:sz w:val="24"/>
              </w:rPr>
              <w:t>现有项目环境影响</w:t>
            </w:r>
            <w:r>
              <w:rPr>
                <w:rFonts w:hint="eastAsia" w:ascii="Times New Roman" w:hAnsi="Times New Roman" w:eastAsia="宋体" w:cs="Times New Roman"/>
                <w:color w:val="auto"/>
                <w:sz w:val="24"/>
                <w:lang w:val="en-US" w:eastAsia="zh-CN"/>
              </w:rPr>
              <w:t>登记</w:t>
            </w:r>
            <w:r>
              <w:rPr>
                <w:rFonts w:ascii="Times New Roman" w:hAnsi="Times New Roman" w:eastAsia="宋体" w:cs="Times New Roman"/>
                <w:color w:val="auto"/>
                <w:sz w:val="24"/>
              </w:rPr>
              <w:t>表</w:t>
            </w:r>
            <w:r>
              <w:rPr>
                <w:rFonts w:hint="eastAsia" w:ascii="Times New Roman" w:hAnsi="Times New Roman" w:eastAsia="宋体" w:cs="Times New Roman"/>
                <w:color w:val="auto"/>
                <w:sz w:val="24"/>
                <w:lang w:val="en-US" w:eastAsia="zh-CN"/>
              </w:rPr>
              <w:t>污染治理措施</w:t>
            </w:r>
            <w:r>
              <w:rPr>
                <w:rFonts w:ascii="Times New Roman" w:hAnsi="Times New Roman" w:eastAsia="宋体" w:cs="Times New Roman"/>
                <w:color w:val="auto"/>
                <w:sz w:val="24"/>
              </w:rPr>
              <w:t>与项目实际情况对照</w:t>
            </w:r>
            <w:r>
              <w:rPr>
                <w:color w:val="auto"/>
                <w:sz w:val="24"/>
              </w:rPr>
              <w:t>见表</w:t>
            </w:r>
            <w:r>
              <w:rPr>
                <w:rFonts w:hint="eastAsia"/>
                <w:color w:val="auto"/>
                <w:sz w:val="24"/>
              </w:rPr>
              <w:t>2</w:t>
            </w:r>
            <w:r>
              <w:rPr>
                <w:color w:val="auto"/>
                <w:sz w:val="24"/>
              </w:rPr>
              <w:t>-</w:t>
            </w:r>
            <w:r>
              <w:rPr>
                <w:rFonts w:hint="eastAsia"/>
                <w:color w:val="auto"/>
                <w:sz w:val="24"/>
                <w:lang w:val="en-US" w:eastAsia="zh-CN"/>
              </w:rPr>
              <w:t>26</w:t>
            </w:r>
            <w:r>
              <w:rPr>
                <w:color w:val="auto"/>
                <w:sz w:val="24"/>
              </w:rPr>
              <w:t>。</w:t>
            </w:r>
          </w:p>
          <w:p w14:paraId="4EB4F65F">
            <w:pPr>
              <w:keepNext w:val="0"/>
              <w:keepLines w:val="0"/>
              <w:pageBreakBefore w:val="0"/>
              <w:widowControl w:val="0"/>
              <w:kinsoku/>
              <w:wordWrap/>
              <w:overflowPunct/>
              <w:topLinePunct w:val="0"/>
              <w:autoSpaceDE/>
              <w:autoSpaceDN/>
              <w:bidi w:val="0"/>
              <w:adjustRightInd/>
              <w:snapToGrid/>
              <w:spacing w:before="157" w:beforeLines="50" w:line="240" w:lineRule="auto"/>
              <w:ind w:firstLine="422" w:firstLineChars="200"/>
              <w:jc w:val="center"/>
              <w:textAlignment w:val="auto"/>
              <w:rPr>
                <w:b/>
                <w:color w:val="auto"/>
                <w:szCs w:val="21"/>
              </w:rPr>
            </w:pPr>
            <w:r>
              <w:rPr>
                <w:b/>
                <w:color w:val="auto"/>
                <w:szCs w:val="21"/>
              </w:rPr>
              <w:t>表</w:t>
            </w:r>
            <w:r>
              <w:rPr>
                <w:rFonts w:hint="eastAsia"/>
                <w:b/>
                <w:color w:val="auto"/>
                <w:szCs w:val="21"/>
              </w:rPr>
              <w:t>2-</w:t>
            </w:r>
            <w:r>
              <w:rPr>
                <w:rFonts w:hint="eastAsia"/>
                <w:b/>
                <w:color w:val="auto"/>
                <w:szCs w:val="21"/>
                <w:lang w:val="en-US" w:eastAsia="zh-CN"/>
              </w:rPr>
              <w:t xml:space="preserve">16 </w:t>
            </w:r>
            <w:r>
              <w:rPr>
                <w:b/>
                <w:color w:val="auto"/>
                <w:szCs w:val="21"/>
              </w:rPr>
              <w:t xml:space="preserve"> 现有项目污染源汇总表</w:t>
            </w:r>
          </w:p>
          <w:tbl>
            <w:tblPr>
              <w:tblStyle w:val="3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364"/>
              <w:gridCol w:w="3896"/>
              <w:gridCol w:w="2577"/>
            </w:tblGrid>
            <w:tr w14:paraId="2BDC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Align w:val="center"/>
                </w:tcPr>
                <w:p w14:paraId="252CEB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类别</w:t>
                  </w:r>
                </w:p>
              </w:tc>
              <w:tc>
                <w:tcPr>
                  <w:tcW w:w="1364" w:type="dxa"/>
                  <w:vAlign w:val="center"/>
                </w:tcPr>
                <w:p w14:paraId="55EEAE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污染源</w:t>
                  </w:r>
                </w:p>
              </w:tc>
              <w:tc>
                <w:tcPr>
                  <w:tcW w:w="3896" w:type="dxa"/>
                  <w:vAlign w:val="center"/>
                </w:tcPr>
                <w:p w14:paraId="4B812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rFonts w:hint="eastAsia"/>
                      <w:b/>
                      <w:bCs/>
                      <w:color w:val="auto"/>
                      <w:szCs w:val="21"/>
                      <w:lang w:val="en-US" w:eastAsia="zh-CN"/>
                    </w:rPr>
                    <w:t>环评</w:t>
                  </w:r>
                  <w:r>
                    <w:rPr>
                      <w:b/>
                      <w:bCs/>
                      <w:color w:val="auto"/>
                      <w:szCs w:val="21"/>
                    </w:rPr>
                    <w:t>污染治理措施</w:t>
                  </w:r>
                </w:p>
              </w:tc>
              <w:tc>
                <w:tcPr>
                  <w:tcW w:w="2577" w:type="dxa"/>
                  <w:vAlign w:val="center"/>
                </w:tcPr>
                <w:p w14:paraId="3262C2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实际执行情况</w:t>
                  </w:r>
                </w:p>
              </w:tc>
            </w:tr>
            <w:tr w14:paraId="77C3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Merge w:val="restart"/>
                  <w:vAlign w:val="center"/>
                </w:tcPr>
                <w:p w14:paraId="13CA30F8">
                  <w:pPr>
                    <w:jc w:val="center"/>
                    <w:rPr>
                      <w:szCs w:val="21"/>
                    </w:rPr>
                  </w:pPr>
                  <w:r>
                    <w:rPr>
                      <w:szCs w:val="21"/>
                    </w:rPr>
                    <w:t>废气</w:t>
                  </w:r>
                </w:p>
              </w:tc>
              <w:tc>
                <w:tcPr>
                  <w:tcW w:w="1364" w:type="dxa"/>
                  <w:vAlign w:val="center"/>
                </w:tcPr>
                <w:p w14:paraId="2D83EB74">
                  <w:pPr>
                    <w:pStyle w:val="75"/>
                    <w:rPr>
                      <w:sz w:val="21"/>
                      <w:szCs w:val="21"/>
                    </w:rPr>
                  </w:pPr>
                  <w:r>
                    <w:rPr>
                      <w:rFonts w:hint="eastAsia"/>
                      <w:sz w:val="21"/>
                      <w:szCs w:val="21"/>
                      <w:lang w:eastAsia="zh-CN"/>
                    </w:rPr>
                    <w:t>注塑</w:t>
                  </w:r>
                  <w:r>
                    <w:rPr>
                      <w:rFonts w:hint="eastAsia"/>
                      <w:sz w:val="21"/>
                      <w:szCs w:val="21"/>
                    </w:rPr>
                    <w:t>废气</w:t>
                  </w:r>
                </w:p>
              </w:tc>
              <w:tc>
                <w:tcPr>
                  <w:tcW w:w="3896" w:type="dxa"/>
                  <w:vAlign w:val="center"/>
                </w:tcPr>
                <w:p w14:paraId="7E105E77">
                  <w:pPr>
                    <w:pStyle w:val="75"/>
                    <w:jc w:val="both"/>
                    <w:rPr>
                      <w:rFonts w:hint="default" w:ascii="Times New Roman" w:hAnsi="Times New Roman" w:cs="Times New Roman"/>
                      <w:sz w:val="21"/>
                      <w:szCs w:val="21"/>
                    </w:rPr>
                  </w:pPr>
                  <w:r>
                    <w:rPr>
                      <w:rFonts w:hint="default" w:ascii="Times New Roman" w:hAnsi="Times New Roman" w:cs="Times New Roman"/>
                      <w:sz w:val="21"/>
                      <w:szCs w:val="21"/>
                    </w:rPr>
                    <w:t>收集后经两级活性炭装置处理后通过</w:t>
                  </w:r>
                  <w:r>
                    <w:rPr>
                      <w:rFonts w:hint="eastAsia" w:ascii="Times New Roman" w:hAnsi="Times New Roman" w:cs="Times New Roman"/>
                      <w:sz w:val="21"/>
                      <w:szCs w:val="21"/>
                      <w:lang w:val="en-US" w:eastAsia="zh-CN"/>
                    </w:rPr>
                    <w:t>30</w:t>
                  </w:r>
                  <w:r>
                    <w:rPr>
                      <w:rFonts w:hint="default" w:ascii="Times New Roman" w:hAnsi="Times New Roman" w:cs="Times New Roman"/>
                      <w:sz w:val="21"/>
                      <w:szCs w:val="21"/>
                    </w:rPr>
                    <w:t>m高排气筒排放。</w:t>
                  </w:r>
                </w:p>
              </w:tc>
              <w:tc>
                <w:tcPr>
                  <w:tcW w:w="2577" w:type="dxa"/>
                  <w:vAlign w:val="center"/>
                </w:tcPr>
                <w:p w14:paraId="768C79D9">
                  <w:pPr>
                    <w:jc w:val="both"/>
                    <w:rPr>
                      <w:szCs w:val="21"/>
                    </w:rPr>
                  </w:pPr>
                  <w:r>
                    <w:rPr>
                      <w:sz w:val="21"/>
                      <w:szCs w:val="21"/>
                    </w:rPr>
                    <w:t>收集后经</w:t>
                  </w:r>
                  <w:r>
                    <w:rPr>
                      <w:rFonts w:hint="eastAsia"/>
                      <w:sz w:val="21"/>
                      <w:szCs w:val="21"/>
                    </w:rPr>
                    <w:t>两级活性炭</w:t>
                  </w:r>
                  <w:r>
                    <w:rPr>
                      <w:sz w:val="21"/>
                      <w:szCs w:val="21"/>
                    </w:rPr>
                    <w:t>装置处理后通过</w:t>
                  </w:r>
                  <w:r>
                    <w:rPr>
                      <w:rFonts w:hint="eastAsia"/>
                      <w:sz w:val="21"/>
                      <w:szCs w:val="21"/>
                      <w:lang w:val="en-US" w:eastAsia="zh-CN"/>
                    </w:rPr>
                    <w:t>30</w:t>
                  </w:r>
                  <w:r>
                    <w:rPr>
                      <w:sz w:val="21"/>
                      <w:szCs w:val="21"/>
                    </w:rPr>
                    <w:t>m高排气筒排放。</w:t>
                  </w:r>
                </w:p>
              </w:tc>
            </w:tr>
            <w:tr w14:paraId="6805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Merge w:val="continue"/>
                  <w:vAlign w:val="center"/>
                </w:tcPr>
                <w:p w14:paraId="084F93CA">
                  <w:pPr>
                    <w:jc w:val="center"/>
                    <w:rPr>
                      <w:szCs w:val="21"/>
                    </w:rPr>
                  </w:pPr>
                </w:p>
              </w:tc>
              <w:tc>
                <w:tcPr>
                  <w:tcW w:w="1364" w:type="dxa"/>
                  <w:vAlign w:val="center"/>
                </w:tcPr>
                <w:p w14:paraId="31470C71">
                  <w:pPr>
                    <w:pStyle w:val="75"/>
                    <w:rPr>
                      <w:rFonts w:hint="eastAsia" w:eastAsia="宋体"/>
                      <w:sz w:val="21"/>
                      <w:szCs w:val="21"/>
                      <w:lang w:eastAsia="zh-CN"/>
                    </w:rPr>
                  </w:pPr>
                  <w:r>
                    <w:rPr>
                      <w:rFonts w:hint="eastAsia"/>
                      <w:sz w:val="21"/>
                      <w:szCs w:val="21"/>
                      <w:lang w:eastAsia="zh-CN"/>
                    </w:rPr>
                    <w:t>焊接烟尘</w:t>
                  </w:r>
                </w:p>
              </w:tc>
              <w:tc>
                <w:tcPr>
                  <w:tcW w:w="3896" w:type="dxa"/>
                  <w:vAlign w:val="center"/>
                </w:tcPr>
                <w:p w14:paraId="595B2873">
                  <w:pPr>
                    <w:pStyle w:val="75"/>
                    <w:jc w:val="both"/>
                    <w:rPr>
                      <w:rFonts w:hint="default" w:ascii="Times New Roman" w:hAnsi="Times New Roman" w:cs="Times New Roman"/>
                      <w:sz w:val="21"/>
                      <w:szCs w:val="21"/>
                    </w:rPr>
                  </w:pPr>
                  <w:r>
                    <w:rPr>
                      <w:rFonts w:hint="default" w:ascii="Times New Roman" w:hAnsi="Times New Roman" w:cs="Times New Roman"/>
                      <w:sz w:val="21"/>
                      <w:szCs w:val="21"/>
                    </w:rPr>
                    <w:t>收集后经</w:t>
                  </w:r>
                  <w:r>
                    <w:rPr>
                      <w:rFonts w:hint="eastAsia" w:ascii="Times New Roman" w:hAnsi="Times New Roman" w:cs="Times New Roman"/>
                      <w:sz w:val="21"/>
                      <w:szCs w:val="21"/>
                      <w:lang w:eastAsia="zh-CN"/>
                    </w:rPr>
                    <w:t>滤芯</w:t>
                  </w:r>
                  <w:r>
                    <w:rPr>
                      <w:rFonts w:hint="default" w:ascii="Times New Roman" w:hAnsi="Times New Roman" w:cs="Times New Roman"/>
                      <w:sz w:val="21"/>
                      <w:szCs w:val="21"/>
                    </w:rPr>
                    <w:t>除尘装置处理后</w:t>
                  </w:r>
                  <w:r>
                    <w:rPr>
                      <w:sz w:val="21"/>
                      <w:szCs w:val="21"/>
                    </w:rPr>
                    <w:t>通过</w:t>
                  </w:r>
                  <w:r>
                    <w:rPr>
                      <w:rFonts w:hint="eastAsia"/>
                      <w:sz w:val="21"/>
                      <w:szCs w:val="21"/>
                      <w:lang w:val="en-US" w:eastAsia="zh-CN"/>
                    </w:rPr>
                    <w:t>30</w:t>
                  </w:r>
                  <w:r>
                    <w:rPr>
                      <w:sz w:val="21"/>
                      <w:szCs w:val="21"/>
                    </w:rPr>
                    <w:t>m高排气筒排放。</w:t>
                  </w:r>
                </w:p>
              </w:tc>
              <w:tc>
                <w:tcPr>
                  <w:tcW w:w="2577" w:type="dxa"/>
                  <w:vAlign w:val="center"/>
                </w:tcPr>
                <w:p w14:paraId="622A689E">
                  <w:pPr>
                    <w:jc w:val="both"/>
                    <w:rPr>
                      <w:szCs w:val="21"/>
                    </w:rPr>
                  </w:pPr>
                  <w:r>
                    <w:rPr>
                      <w:rFonts w:hint="default" w:ascii="Times New Roman" w:hAnsi="Times New Roman" w:cs="Times New Roman"/>
                      <w:sz w:val="21"/>
                      <w:szCs w:val="21"/>
                    </w:rPr>
                    <w:t>收集后经</w:t>
                  </w:r>
                  <w:r>
                    <w:rPr>
                      <w:rFonts w:hint="eastAsia" w:ascii="Times New Roman" w:hAnsi="Times New Roman" w:cs="Times New Roman"/>
                      <w:sz w:val="21"/>
                      <w:szCs w:val="21"/>
                      <w:lang w:eastAsia="zh-CN"/>
                    </w:rPr>
                    <w:t>滤芯</w:t>
                  </w:r>
                  <w:r>
                    <w:rPr>
                      <w:rFonts w:hint="default" w:ascii="Times New Roman" w:hAnsi="Times New Roman" w:cs="Times New Roman"/>
                      <w:sz w:val="21"/>
                      <w:szCs w:val="21"/>
                    </w:rPr>
                    <w:t>除尘装置处理后</w:t>
                  </w:r>
                  <w:r>
                    <w:rPr>
                      <w:sz w:val="21"/>
                      <w:szCs w:val="21"/>
                    </w:rPr>
                    <w:t>通过</w:t>
                  </w:r>
                  <w:r>
                    <w:rPr>
                      <w:rFonts w:hint="eastAsia"/>
                      <w:sz w:val="21"/>
                      <w:szCs w:val="21"/>
                      <w:lang w:val="en-US" w:eastAsia="zh-CN"/>
                    </w:rPr>
                    <w:t>30</w:t>
                  </w:r>
                  <w:r>
                    <w:rPr>
                      <w:sz w:val="21"/>
                      <w:szCs w:val="21"/>
                    </w:rPr>
                    <w:t>m高排气筒排放。</w:t>
                  </w:r>
                </w:p>
              </w:tc>
            </w:tr>
            <w:tr w14:paraId="7224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Align w:val="center"/>
                </w:tcPr>
                <w:p w14:paraId="347F2287">
                  <w:pPr>
                    <w:jc w:val="center"/>
                    <w:rPr>
                      <w:szCs w:val="21"/>
                    </w:rPr>
                  </w:pPr>
                  <w:r>
                    <w:rPr>
                      <w:szCs w:val="21"/>
                    </w:rPr>
                    <w:t>废水</w:t>
                  </w:r>
                </w:p>
              </w:tc>
              <w:tc>
                <w:tcPr>
                  <w:tcW w:w="1364" w:type="dxa"/>
                  <w:vAlign w:val="center"/>
                </w:tcPr>
                <w:p w14:paraId="4BCFCCE0">
                  <w:pPr>
                    <w:pStyle w:val="75"/>
                    <w:rPr>
                      <w:sz w:val="21"/>
                      <w:szCs w:val="21"/>
                    </w:rPr>
                  </w:pPr>
                  <w:r>
                    <w:rPr>
                      <w:sz w:val="21"/>
                      <w:szCs w:val="21"/>
                    </w:rPr>
                    <w:t>生活污水</w:t>
                  </w:r>
                </w:p>
              </w:tc>
              <w:tc>
                <w:tcPr>
                  <w:tcW w:w="3896" w:type="dxa"/>
                  <w:vAlign w:val="center"/>
                </w:tcPr>
                <w:p w14:paraId="5B3B7821">
                  <w:pPr>
                    <w:rPr>
                      <w:rFonts w:hint="default" w:ascii="Times New Roman" w:hAnsi="Times New Roman" w:cs="Times New Roman"/>
                      <w:szCs w:val="21"/>
                    </w:rPr>
                  </w:pPr>
                  <w:r>
                    <w:rPr>
                      <w:rFonts w:hint="default" w:ascii="Times New Roman" w:hAnsi="Times New Roman" w:cs="Times New Roman"/>
                      <w:spacing w:val="-2"/>
                      <w:szCs w:val="21"/>
                    </w:rPr>
                    <w:t>经化粪池预处理后纳管，最终经安吉净源污水处理有限公司城北污水处理厂统一处理达标后排放。</w:t>
                  </w:r>
                </w:p>
              </w:tc>
              <w:tc>
                <w:tcPr>
                  <w:tcW w:w="2577" w:type="dxa"/>
                  <w:vAlign w:val="center"/>
                </w:tcPr>
                <w:p w14:paraId="59417727">
                  <w:pPr>
                    <w:jc w:val="both"/>
                    <w:rPr>
                      <w:b/>
                      <w:szCs w:val="21"/>
                      <w:lang w:val="en-GB"/>
                    </w:rPr>
                  </w:pPr>
                  <w:r>
                    <w:rPr>
                      <w:rFonts w:hint="eastAsia" w:ascii="Times New Roman" w:hAnsi="Times New Roman" w:eastAsia="宋体" w:cs="Times New Roman"/>
                      <w:spacing w:val="-2"/>
                      <w:szCs w:val="21"/>
                    </w:rPr>
                    <w:t>生活污水经化粪池预处理后排入</w:t>
                  </w:r>
                  <w:r>
                    <w:rPr>
                      <w:rFonts w:hint="eastAsia" w:ascii="Times New Roman" w:hAnsi="Times New Roman" w:eastAsia="宋体" w:cs="Times New Roman"/>
                      <w:spacing w:val="-2"/>
                      <w:szCs w:val="21"/>
                      <w:lang w:eastAsia="zh-CN"/>
                    </w:rPr>
                    <w:t>浙江安吉水务有限公司安吉城区污水处理厂</w:t>
                  </w:r>
                  <w:r>
                    <w:rPr>
                      <w:rFonts w:ascii="Times New Roman" w:hAnsi="Times New Roman" w:eastAsia="宋体" w:cs="Times New Roman"/>
                      <w:spacing w:val="-2"/>
                      <w:szCs w:val="21"/>
                    </w:rPr>
                    <w:t>集中处理</w:t>
                  </w:r>
                  <w:r>
                    <w:rPr>
                      <w:rFonts w:hint="eastAsia" w:ascii="Times New Roman" w:hAnsi="Times New Roman" w:eastAsia="宋体" w:cs="Times New Roman"/>
                      <w:spacing w:val="-2"/>
                      <w:szCs w:val="21"/>
                    </w:rPr>
                    <w:t>。</w:t>
                  </w:r>
                </w:p>
              </w:tc>
            </w:tr>
            <w:tr w14:paraId="0F9C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Align w:val="center"/>
                </w:tcPr>
                <w:p w14:paraId="1B6C36B5">
                  <w:pPr>
                    <w:jc w:val="center"/>
                    <w:rPr>
                      <w:szCs w:val="21"/>
                    </w:rPr>
                  </w:pPr>
                  <w:r>
                    <w:rPr>
                      <w:szCs w:val="21"/>
                    </w:rPr>
                    <w:t>噪声</w:t>
                  </w:r>
                </w:p>
              </w:tc>
              <w:tc>
                <w:tcPr>
                  <w:tcW w:w="1364" w:type="dxa"/>
                  <w:vAlign w:val="center"/>
                </w:tcPr>
                <w:p w14:paraId="6E45DF2F">
                  <w:pPr>
                    <w:jc w:val="center"/>
                    <w:rPr>
                      <w:szCs w:val="21"/>
                    </w:rPr>
                  </w:pPr>
                  <w:r>
                    <w:rPr>
                      <w:szCs w:val="21"/>
                    </w:rPr>
                    <w:t>设备噪声</w:t>
                  </w:r>
                </w:p>
              </w:tc>
              <w:tc>
                <w:tcPr>
                  <w:tcW w:w="3896" w:type="dxa"/>
                  <w:vAlign w:val="center"/>
                </w:tcPr>
                <w:p w14:paraId="614D4909">
                  <w:pPr>
                    <w:rPr>
                      <w:rFonts w:hint="default" w:ascii="Times New Roman" w:hAnsi="Times New Roman" w:cs="Times New Roman"/>
                      <w:szCs w:val="21"/>
                    </w:rPr>
                  </w:pPr>
                  <w:r>
                    <w:rPr>
                      <w:rFonts w:hint="default" w:ascii="Times New Roman" w:hAnsi="Times New Roman" w:cs="Times New Roman"/>
                      <w:szCs w:val="21"/>
                    </w:rPr>
                    <w:t>⑴设备在采购时，选择高效低噪音设备</w:t>
                  </w:r>
                  <w:r>
                    <w:rPr>
                      <w:rFonts w:hint="default" w:ascii="Times New Roman" w:hAnsi="Times New Roman" w:cs="Times New Roman"/>
                      <w:szCs w:val="21"/>
                      <w:lang w:eastAsia="zh-CN"/>
                    </w:rPr>
                    <w:t>；</w:t>
                  </w:r>
                  <w:r>
                    <w:rPr>
                      <w:rFonts w:hint="default" w:ascii="Times New Roman" w:hAnsi="Times New Roman" w:cs="Times New Roman"/>
                      <w:szCs w:val="21"/>
                    </w:rPr>
                    <w:t>⑵车间墙体为砖混结构，尽可能减少噪声外扬</w:t>
                  </w:r>
                  <w:r>
                    <w:rPr>
                      <w:rFonts w:hint="default" w:ascii="Times New Roman" w:hAnsi="Times New Roman" w:cs="Times New Roman"/>
                      <w:szCs w:val="21"/>
                      <w:lang w:eastAsia="zh-CN"/>
                    </w:rPr>
                    <w:t>；</w:t>
                  </w:r>
                  <w:r>
                    <w:rPr>
                      <w:rFonts w:hint="default" w:ascii="Times New Roman" w:hAnsi="Times New Roman" w:cs="Times New Roman"/>
                      <w:szCs w:val="21"/>
                    </w:rPr>
                    <w:t>⑶合理布局，尽可能将高噪声设备布置在厂区中部位置，增加与厂界的距离</w:t>
                  </w:r>
                  <w:r>
                    <w:rPr>
                      <w:rFonts w:hint="default" w:ascii="Times New Roman" w:hAnsi="Times New Roman" w:cs="Times New Roman"/>
                      <w:szCs w:val="21"/>
                      <w:lang w:eastAsia="zh-CN"/>
                    </w:rPr>
                    <w:t>；</w:t>
                  </w:r>
                  <w:r>
                    <w:rPr>
                      <w:rFonts w:hint="default" w:ascii="Times New Roman" w:hAnsi="Times New Roman" w:cs="Times New Roman"/>
                      <w:szCs w:val="21"/>
                    </w:rPr>
                    <w:t>⑷高噪声设备加装减震基础，电机加装隔声罩</w:t>
                  </w:r>
                  <w:r>
                    <w:rPr>
                      <w:rFonts w:hint="default" w:ascii="Times New Roman" w:hAnsi="Times New Roman" w:cs="Times New Roman"/>
                      <w:szCs w:val="21"/>
                      <w:lang w:eastAsia="zh-CN"/>
                    </w:rPr>
                    <w:t>；</w:t>
                  </w:r>
                  <w:r>
                    <w:rPr>
                      <w:rFonts w:hint="default" w:ascii="Times New Roman" w:hAnsi="Times New Roman" w:cs="Times New Roman"/>
                      <w:szCs w:val="21"/>
                    </w:rPr>
                    <w:t>⑸建立设备定期维护、保养的管理制度，以防止设备故障形成的非正常生产噪声</w:t>
                  </w:r>
                  <w:r>
                    <w:rPr>
                      <w:rFonts w:hint="default" w:ascii="Times New Roman" w:hAnsi="Times New Roman" w:cs="Times New Roman"/>
                      <w:szCs w:val="21"/>
                      <w:lang w:eastAsia="zh-CN"/>
                    </w:rPr>
                    <w:t>；</w:t>
                  </w:r>
                  <w:r>
                    <w:rPr>
                      <w:rFonts w:hint="default" w:ascii="Times New Roman" w:hAnsi="Times New Roman" w:cs="Times New Roman"/>
                      <w:szCs w:val="21"/>
                    </w:rPr>
                    <w:t>⑹加强生产管理，面向厂界门窗不开启。</w:t>
                  </w:r>
                </w:p>
              </w:tc>
              <w:tc>
                <w:tcPr>
                  <w:tcW w:w="2577" w:type="dxa"/>
                  <w:vAlign w:val="center"/>
                </w:tcPr>
                <w:p w14:paraId="79DA9D58">
                  <w:pPr>
                    <w:rPr>
                      <w:szCs w:val="21"/>
                    </w:rPr>
                  </w:pPr>
                  <w:r>
                    <w:rPr>
                      <w:color w:val="auto"/>
                      <w:szCs w:val="21"/>
                    </w:rPr>
                    <w:t>选用优质低噪设备，合理布置设备布局，采取有效的降噪措施，厂界噪声达到GB12348-2008《工业企业厂界环境噪声排放标准》中的</w:t>
                  </w:r>
                  <w:r>
                    <w:rPr>
                      <w:rFonts w:hint="eastAsia"/>
                      <w:color w:val="auto"/>
                      <w:szCs w:val="21"/>
                    </w:rPr>
                    <w:t>3</w:t>
                  </w:r>
                  <w:r>
                    <w:rPr>
                      <w:color w:val="auto"/>
                      <w:szCs w:val="21"/>
                    </w:rPr>
                    <w:t>类标准。</w:t>
                  </w:r>
                </w:p>
              </w:tc>
            </w:tr>
            <w:tr w14:paraId="6C7F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Merge w:val="restart"/>
                  <w:vAlign w:val="center"/>
                </w:tcPr>
                <w:p w14:paraId="56EBC718">
                  <w:pPr>
                    <w:jc w:val="center"/>
                    <w:rPr>
                      <w:szCs w:val="21"/>
                    </w:rPr>
                  </w:pPr>
                  <w:r>
                    <w:rPr>
                      <w:szCs w:val="21"/>
                    </w:rPr>
                    <w:t>固废</w:t>
                  </w:r>
                </w:p>
              </w:tc>
              <w:tc>
                <w:tcPr>
                  <w:tcW w:w="1364" w:type="dxa"/>
                  <w:vAlign w:val="center"/>
                </w:tcPr>
                <w:p w14:paraId="2EFF3218">
                  <w:pPr>
                    <w:jc w:val="center"/>
                    <w:rPr>
                      <w:rFonts w:ascii="Times New Roman" w:hAnsi="Times New Roman" w:eastAsia="宋体" w:cs="Times New Roman"/>
                      <w:szCs w:val="21"/>
                    </w:rPr>
                  </w:pPr>
                  <w:r>
                    <w:rPr>
                      <w:rFonts w:hint="eastAsia" w:ascii="Times New Roman" w:hAnsi="Times New Roman" w:eastAsia="宋体" w:cs="Times New Roman"/>
                      <w:szCs w:val="21"/>
                    </w:rPr>
                    <w:t>钢材边角料及次品</w:t>
                  </w:r>
                </w:p>
              </w:tc>
              <w:tc>
                <w:tcPr>
                  <w:tcW w:w="3896" w:type="dxa"/>
                  <w:vMerge w:val="restart"/>
                  <w:vAlign w:val="center"/>
                </w:tcPr>
                <w:p w14:paraId="5125B76B">
                  <w:pPr>
                    <w:jc w:val="center"/>
                    <w:rPr>
                      <w:szCs w:val="21"/>
                    </w:rPr>
                  </w:pPr>
                  <w:r>
                    <w:rPr>
                      <w:szCs w:val="21"/>
                    </w:rPr>
                    <w:t>由物资回收公司回收。</w:t>
                  </w:r>
                </w:p>
              </w:tc>
              <w:tc>
                <w:tcPr>
                  <w:tcW w:w="2577" w:type="dxa"/>
                  <w:vMerge w:val="restart"/>
                  <w:vAlign w:val="center"/>
                </w:tcPr>
                <w:p w14:paraId="6FD55FE9">
                  <w:pPr>
                    <w:spacing w:line="360" w:lineRule="exact"/>
                    <w:jc w:val="center"/>
                    <w:rPr>
                      <w:color w:val="FF0000"/>
                      <w:szCs w:val="21"/>
                    </w:rPr>
                  </w:pPr>
                  <w:r>
                    <w:rPr>
                      <w:szCs w:val="21"/>
                    </w:rPr>
                    <w:t>由物资回收公司回收。</w:t>
                  </w:r>
                </w:p>
              </w:tc>
            </w:tr>
            <w:tr w14:paraId="606E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Merge w:val="continue"/>
                  <w:vAlign w:val="center"/>
                </w:tcPr>
                <w:p w14:paraId="41770946">
                  <w:pPr>
                    <w:jc w:val="center"/>
                    <w:rPr>
                      <w:szCs w:val="21"/>
                    </w:rPr>
                  </w:pPr>
                </w:p>
              </w:tc>
              <w:tc>
                <w:tcPr>
                  <w:tcW w:w="1364" w:type="dxa"/>
                  <w:vAlign w:val="center"/>
                </w:tcPr>
                <w:p w14:paraId="2E920351">
                  <w:pPr>
                    <w:jc w:val="center"/>
                    <w:rPr>
                      <w:rFonts w:ascii="Times New Roman" w:hAnsi="Times New Roman" w:eastAsia="宋体" w:cs="Times New Roman"/>
                      <w:szCs w:val="21"/>
                    </w:rPr>
                  </w:pPr>
                  <w:r>
                    <w:rPr>
                      <w:rFonts w:hint="eastAsia" w:ascii="Times New Roman" w:hAnsi="Times New Roman" w:eastAsia="宋体" w:cs="Times New Roman"/>
                      <w:szCs w:val="21"/>
                    </w:rPr>
                    <w:t>焊渣</w:t>
                  </w:r>
                </w:p>
              </w:tc>
              <w:tc>
                <w:tcPr>
                  <w:tcW w:w="3896" w:type="dxa"/>
                  <w:vMerge w:val="continue"/>
                  <w:vAlign w:val="center"/>
                </w:tcPr>
                <w:p w14:paraId="57A926D2">
                  <w:pPr>
                    <w:jc w:val="center"/>
                    <w:rPr>
                      <w:szCs w:val="21"/>
                    </w:rPr>
                  </w:pPr>
                </w:p>
              </w:tc>
              <w:tc>
                <w:tcPr>
                  <w:tcW w:w="2577" w:type="dxa"/>
                  <w:vMerge w:val="continue"/>
                  <w:vAlign w:val="center"/>
                </w:tcPr>
                <w:p w14:paraId="2EA8FD84">
                  <w:pPr>
                    <w:spacing w:line="360" w:lineRule="exact"/>
                    <w:rPr>
                      <w:color w:val="FF0000"/>
                      <w:szCs w:val="21"/>
                    </w:rPr>
                  </w:pPr>
                </w:p>
              </w:tc>
            </w:tr>
            <w:tr w14:paraId="75DF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Merge w:val="continue"/>
                  <w:vAlign w:val="center"/>
                </w:tcPr>
                <w:p w14:paraId="06BF9A24">
                  <w:pPr>
                    <w:jc w:val="center"/>
                    <w:rPr>
                      <w:szCs w:val="21"/>
                    </w:rPr>
                  </w:pPr>
                </w:p>
              </w:tc>
              <w:tc>
                <w:tcPr>
                  <w:tcW w:w="1364" w:type="dxa"/>
                  <w:vAlign w:val="center"/>
                </w:tcPr>
                <w:p w14:paraId="6C6F39EC">
                  <w:pPr>
                    <w:jc w:val="center"/>
                    <w:rPr>
                      <w:rFonts w:ascii="Times New Roman" w:hAnsi="Times New Roman" w:eastAsia="宋体" w:cs="Times New Roman"/>
                      <w:szCs w:val="21"/>
                    </w:rPr>
                  </w:pPr>
                  <w:r>
                    <w:rPr>
                      <w:rFonts w:hint="eastAsia" w:ascii="Times New Roman" w:hAnsi="Times New Roman" w:eastAsia="宋体" w:cs="Times New Roman"/>
                      <w:szCs w:val="21"/>
                    </w:rPr>
                    <w:t>塑料边角料及次品</w:t>
                  </w:r>
                </w:p>
              </w:tc>
              <w:tc>
                <w:tcPr>
                  <w:tcW w:w="3896" w:type="dxa"/>
                  <w:vMerge w:val="continue"/>
                  <w:vAlign w:val="center"/>
                </w:tcPr>
                <w:p w14:paraId="6BED9CBF">
                  <w:pPr>
                    <w:jc w:val="center"/>
                    <w:rPr>
                      <w:szCs w:val="21"/>
                    </w:rPr>
                  </w:pPr>
                </w:p>
              </w:tc>
              <w:tc>
                <w:tcPr>
                  <w:tcW w:w="2577" w:type="dxa"/>
                  <w:vMerge w:val="continue"/>
                  <w:vAlign w:val="center"/>
                </w:tcPr>
                <w:p w14:paraId="4DF69A97">
                  <w:pPr>
                    <w:spacing w:line="360" w:lineRule="exact"/>
                    <w:rPr>
                      <w:color w:val="FF0000"/>
                      <w:szCs w:val="21"/>
                    </w:rPr>
                  </w:pPr>
                </w:p>
              </w:tc>
            </w:tr>
            <w:tr w14:paraId="00FD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Merge w:val="continue"/>
                  <w:vAlign w:val="center"/>
                </w:tcPr>
                <w:p w14:paraId="4033F1FB">
                  <w:pPr>
                    <w:jc w:val="center"/>
                    <w:rPr>
                      <w:szCs w:val="21"/>
                    </w:rPr>
                  </w:pPr>
                </w:p>
              </w:tc>
              <w:tc>
                <w:tcPr>
                  <w:tcW w:w="1364" w:type="dxa"/>
                  <w:vAlign w:val="center"/>
                </w:tcPr>
                <w:p w14:paraId="78C8AE8E">
                  <w:pPr>
                    <w:jc w:val="center"/>
                    <w:rPr>
                      <w:rFonts w:ascii="Times New Roman" w:hAnsi="Times New Roman" w:eastAsia="宋体" w:cs="Times New Roman"/>
                      <w:szCs w:val="21"/>
                    </w:rPr>
                  </w:pPr>
                  <w:r>
                    <w:rPr>
                      <w:rFonts w:hint="eastAsia" w:ascii="Times New Roman" w:hAnsi="Times New Roman" w:eastAsia="宋体" w:cs="Times New Roman"/>
                      <w:szCs w:val="21"/>
                    </w:rPr>
                    <w:t>废乳化液</w:t>
                  </w:r>
                </w:p>
              </w:tc>
              <w:tc>
                <w:tcPr>
                  <w:tcW w:w="3896" w:type="dxa"/>
                  <w:vMerge w:val="restart"/>
                  <w:vAlign w:val="center"/>
                </w:tcPr>
                <w:p w14:paraId="0540B7BB">
                  <w:pPr>
                    <w:jc w:val="center"/>
                    <w:rPr>
                      <w:szCs w:val="21"/>
                    </w:rPr>
                  </w:pPr>
                  <w:r>
                    <w:rPr>
                      <w:szCs w:val="21"/>
                    </w:rPr>
                    <w:t>由危废处置公司处置</w:t>
                  </w:r>
                </w:p>
              </w:tc>
              <w:tc>
                <w:tcPr>
                  <w:tcW w:w="2577" w:type="dxa"/>
                  <w:vMerge w:val="restart"/>
                  <w:vAlign w:val="center"/>
                </w:tcPr>
                <w:p w14:paraId="3802D1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委托浙江悦胜环境科技有限公司处置。</w:t>
                  </w:r>
                </w:p>
                <w:p w14:paraId="00D090D7">
                  <w:pPr>
                    <w:spacing w:line="360" w:lineRule="exact"/>
                    <w:rPr>
                      <w:color w:val="FF0000"/>
                      <w:szCs w:val="21"/>
                    </w:rPr>
                  </w:pPr>
                </w:p>
              </w:tc>
            </w:tr>
            <w:tr w14:paraId="3B3B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Merge w:val="continue"/>
                  <w:vAlign w:val="center"/>
                </w:tcPr>
                <w:p w14:paraId="548C1804">
                  <w:pPr>
                    <w:jc w:val="center"/>
                    <w:rPr>
                      <w:szCs w:val="21"/>
                    </w:rPr>
                  </w:pPr>
                </w:p>
              </w:tc>
              <w:tc>
                <w:tcPr>
                  <w:tcW w:w="1364" w:type="dxa"/>
                  <w:vAlign w:val="center"/>
                </w:tcPr>
                <w:p w14:paraId="3437B8C6">
                  <w:pPr>
                    <w:jc w:val="center"/>
                    <w:rPr>
                      <w:rFonts w:ascii="Times New Roman" w:hAnsi="Times New Roman" w:eastAsia="宋体" w:cs="Times New Roman"/>
                      <w:szCs w:val="21"/>
                    </w:rPr>
                  </w:pPr>
                  <w:r>
                    <w:rPr>
                      <w:rFonts w:hint="eastAsia" w:ascii="Times New Roman" w:hAnsi="Times New Roman" w:eastAsia="宋体" w:cs="Times New Roman"/>
                      <w:szCs w:val="21"/>
                    </w:rPr>
                    <w:t>废润滑油</w:t>
                  </w:r>
                </w:p>
              </w:tc>
              <w:tc>
                <w:tcPr>
                  <w:tcW w:w="3896" w:type="dxa"/>
                  <w:vMerge w:val="continue"/>
                  <w:vAlign w:val="center"/>
                </w:tcPr>
                <w:p w14:paraId="17C753FB">
                  <w:pPr>
                    <w:jc w:val="center"/>
                    <w:rPr>
                      <w:szCs w:val="21"/>
                    </w:rPr>
                  </w:pPr>
                </w:p>
              </w:tc>
              <w:tc>
                <w:tcPr>
                  <w:tcW w:w="2577" w:type="dxa"/>
                  <w:vMerge w:val="continue"/>
                  <w:vAlign w:val="center"/>
                </w:tcPr>
                <w:p w14:paraId="1659A2D5">
                  <w:pPr>
                    <w:spacing w:line="360" w:lineRule="exact"/>
                    <w:rPr>
                      <w:color w:val="FF0000"/>
                      <w:szCs w:val="21"/>
                    </w:rPr>
                  </w:pPr>
                </w:p>
              </w:tc>
            </w:tr>
            <w:tr w14:paraId="1D28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7" w:type="dxa"/>
                  <w:vMerge w:val="continue"/>
                  <w:vAlign w:val="center"/>
                </w:tcPr>
                <w:p w14:paraId="6D35930C">
                  <w:pPr>
                    <w:jc w:val="center"/>
                    <w:rPr>
                      <w:szCs w:val="21"/>
                    </w:rPr>
                  </w:pPr>
                </w:p>
              </w:tc>
              <w:tc>
                <w:tcPr>
                  <w:tcW w:w="1364" w:type="dxa"/>
                  <w:vAlign w:val="center"/>
                </w:tcPr>
                <w:p w14:paraId="56D3D006">
                  <w:pPr>
                    <w:jc w:val="center"/>
                    <w:rPr>
                      <w:rFonts w:ascii="Times New Roman" w:hAnsi="Times New Roman" w:eastAsia="宋体" w:cs="Times New Roman"/>
                      <w:szCs w:val="21"/>
                    </w:rPr>
                  </w:pPr>
                  <w:r>
                    <w:rPr>
                      <w:rFonts w:ascii="Times New Roman" w:hAnsi="Times New Roman" w:eastAsia="宋体" w:cs="Times New Roman"/>
                      <w:szCs w:val="21"/>
                    </w:rPr>
                    <w:t>废活性炭</w:t>
                  </w:r>
                </w:p>
              </w:tc>
              <w:tc>
                <w:tcPr>
                  <w:tcW w:w="3896" w:type="dxa"/>
                  <w:vMerge w:val="continue"/>
                  <w:vAlign w:val="center"/>
                </w:tcPr>
                <w:p w14:paraId="14C879C3">
                  <w:pPr>
                    <w:jc w:val="center"/>
                    <w:rPr>
                      <w:szCs w:val="21"/>
                    </w:rPr>
                  </w:pPr>
                </w:p>
              </w:tc>
              <w:tc>
                <w:tcPr>
                  <w:tcW w:w="2577" w:type="dxa"/>
                  <w:vMerge w:val="continue"/>
                  <w:vAlign w:val="center"/>
                </w:tcPr>
                <w:p w14:paraId="1B506F53">
                  <w:pPr>
                    <w:spacing w:line="360" w:lineRule="exact"/>
                    <w:rPr>
                      <w:color w:val="FF0000"/>
                      <w:szCs w:val="21"/>
                    </w:rPr>
                  </w:pPr>
                </w:p>
              </w:tc>
            </w:tr>
          </w:tbl>
          <w:p w14:paraId="7BABAF09">
            <w:pPr>
              <w:spacing w:line="440" w:lineRule="exact"/>
              <w:rPr>
                <w:b/>
                <w:bCs/>
                <w:color w:val="auto"/>
                <w:sz w:val="24"/>
              </w:rPr>
            </w:pPr>
            <w:r>
              <w:rPr>
                <w:rFonts w:hint="eastAsia"/>
                <w:b/>
                <w:bCs/>
                <w:color w:val="auto"/>
                <w:sz w:val="24"/>
                <w:lang w:val="en-US" w:eastAsia="zh-CN"/>
              </w:rPr>
              <w:t xml:space="preserve">2.2.8 </w:t>
            </w:r>
            <w:r>
              <w:rPr>
                <w:rFonts w:hint="eastAsia"/>
                <w:b/>
                <w:bCs/>
                <w:color w:val="auto"/>
                <w:sz w:val="24"/>
              </w:rPr>
              <w:t>现有项目与相关规范</w:t>
            </w:r>
            <w:r>
              <w:rPr>
                <w:b/>
                <w:bCs/>
                <w:color w:val="auto"/>
                <w:sz w:val="24"/>
              </w:rPr>
              <w:t>对照分析</w:t>
            </w:r>
          </w:p>
          <w:p w14:paraId="6145A561">
            <w:pPr>
              <w:tabs>
                <w:tab w:val="left" w:pos="677"/>
              </w:tabs>
              <w:spacing w:line="440" w:lineRule="exact"/>
              <w:jc w:val="center"/>
              <w:rPr>
                <w:rFonts w:ascii="Arial" w:cs="Arial"/>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27</w:t>
            </w:r>
            <w:r>
              <w:rPr>
                <w:rFonts w:hint="eastAsia"/>
                <w:b/>
                <w:color w:val="auto"/>
                <w:szCs w:val="21"/>
              </w:rPr>
              <w:t xml:space="preserve"> </w:t>
            </w:r>
            <w:r>
              <w:rPr>
                <w:rFonts w:ascii="Arial" w:cs="Arial"/>
                <w:b/>
                <w:color w:val="auto"/>
                <w:szCs w:val="21"/>
              </w:rPr>
              <w:t>《</w:t>
            </w:r>
            <w:r>
              <w:rPr>
                <w:rFonts w:hint="eastAsia" w:ascii="Arial" w:cs="Arial"/>
                <w:b/>
                <w:color w:val="auto"/>
                <w:szCs w:val="21"/>
              </w:rPr>
              <w:t>湖州市家具行业污染整治提升规范</w:t>
            </w:r>
            <w:r>
              <w:rPr>
                <w:rFonts w:ascii="Arial" w:cs="Arial"/>
                <w:b/>
                <w:color w:val="auto"/>
                <w:szCs w:val="21"/>
              </w:rPr>
              <w:t>》对照分析</w:t>
            </w:r>
          </w:p>
          <w:tbl>
            <w:tblPr>
              <w:tblStyle w:val="37"/>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98"/>
              <w:gridCol w:w="495"/>
              <w:gridCol w:w="4260"/>
              <w:gridCol w:w="2530"/>
              <w:gridCol w:w="621"/>
            </w:tblGrid>
            <w:tr w14:paraId="48809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352" w:type="pct"/>
                  <w:vAlign w:val="center"/>
                </w:tcPr>
                <w:p w14:paraId="7C923859">
                  <w:pPr>
                    <w:jc w:val="center"/>
                    <w:rPr>
                      <w:b/>
                      <w:color w:val="auto"/>
                      <w:szCs w:val="21"/>
                    </w:rPr>
                  </w:pPr>
                  <w:r>
                    <w:rPr>
                      <w:b/>
                      <w:color w:val="auto"/>
                      <w:szCs w:val="21"/>
                    </w:rPr>
                    <w:t>类别</w:t>
                  </w:r>
                </w:p>
              </w:tc>
              <w:tc>
                <w:tcPr>
                  <w:tcW w:w="291" w:type="pct"/>
                  <w:vAlign w:val="center"/>
                </w:tcPr>
                <w:p w14:paraId="517B9955">
                  <w:pPr>
                    <w:jc w:val="center"/>
                    <w:rPr>
                      <w:b/>
                      <w:color w:val="auto"/>
                      <w:szCs w:val="21"/>
                    </w:rPr>
                  </w:pPr>
                  <w:r>
                    <w:rPr>
                      <w:b/>
                      <w:color w:val="auto"/>
                      <w:szCs w:val="21"/>
                    </w:rPr>
                    <w:t>序号</w:t>
                  </w:r>
                </w:p>
              </w:tc>
              <w:tc>
                <w:tcPr>
                  <w:tcW w:w="2504" w:type="pct"/>
                  <w:vAlign w:val="center"/>
                </w:tcPr>
                <w:p w14:paraId="79144218">
                  <w:pPr>
                    <w:jc w:val="center"/>
                    <w:rPr>
                      <w:b/>
                      <w:color w:val="auto"/>
                      <w:szCs w:val="21"/>
                    </w:rPr>
                  </w:pPr>
                  <w:r>
                    <w:rPr>
                      <w:b/>
                      <w:color w:val="auto"/>
                      <w:szCs w:val="21"/>
                    </w:rPr>
                    <w:t>判断依据</w:t>
                  </w:r>
                </w:p>
              </w:tc>
              <w:tc>
                <w:tcPr>
                  <w:tcW w:w="1487" w:type="pct"/>
                  <w:vAlign w:val="center"/>
                </w:tcPr>
                <w:p w14:paraId="7314ED0A">
                  <w:pPr>
                    <w:jc w:val="center"/>
                    <w:rPr>
                      <w:b/>
                      <w:color w:val="auto"/>
                      <w:szCs w:val="21"/>
                    </w:rPr>
                  </w:pPr>
                  <w:r>
                    <w:rPr>
                      <w:rFonts w:hint="eastAsia"/>
                      <w:b/>
                      <w:color w:val="auto"/>
                      <w:szCs w:val="21"/>
                    </w:rPr>
                    <w:t>项目情况</w:t>
                  </w:r>
                </w:p>
              </w:tc>
              <w:tc>
                <w:tcPr>
                  <w:tcW w:w="365" w:type="pct"/>
                  <w:vAlign w:val="center"/>
                </w:tcPr>
                <w:p w14:paraId="2CB1BCCC">
                  <w:pPr>
                    <w:jc w:val="center"/>
                    <w:rPr>
                      <w:b/>
                      <w:color w:val="auto"/>
                      <w:szCs w:val="21"/>
                    </w:rPr>
                  </w:pPr>
                  <w:r>
                    <w:rPr>
                      <w:b/>
                      <w:color w:val="auto"/>
                      <w:szCs w:val="21"/>
                    </w:rPr>
                    <w:t>是否</w:t>
                  </w:r>
                </w:p>
                <w:p w14:paraId="20B0FD51">
                  <w:pPr>
                    <w:jc w:val="center"/>
                    <w:rPr>
                      <w:b/>
                      <w:color w:val="auto"/>
                      <w:szCs w:val="21"/>
                    </w:rPr>
                  </w:pPr>
                  <w:r>
                    <w:rPr>
                      <w:b/>
                      <w:color w:val="auto"/>
                      <w:szCs w:val="21"/>
                    </w:rPr>
                    <w:t>符合</w:t>
                  </w:r>
                </w:p>
              </w:tc>
            </w:tr>
            <w:tr w14:paraId="2F340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restart"/>
                  <w:vAlign w:val="center"/>
                </w:tcPr>
                <w:p w14:paraId="6353C633">
                  <w:pPr>
                    <w:jc w:val="center"/>
                    <w:rPr>
                      <w:color w:val="auto"/>
                      <w:szCs w:val="21"/>
                    </w:rPr>
                  </w:pPr>
                  <w:r>
                    <w:rPr>
                      <w:rFonts w:hint="eastAsia"/>
                      <w:color w:val="auto"/>
                      <w:szCs w:val="21"/>
                    </w:rPr>
                    <w:t>加强源头控制</w:t>
                  </w:r>
                </w:p>
              </w:tc>
              <w:tc>
                <w:tcPr>
                  <w:tcW w:w="291" w:type="pct"/>
                  <w:vAlign w:val="center"/>
                </w:tcPr>
                <w:p w14:paraId="391046DE">
                  <w:pPr>
                    <w:jc w:val="center"/>
                    <w:rPr>
                      <w:color w:val="auto"/>
                      <w:szCs w:val="21"/>
                    </w:rPr>
                  </w:pPr>
                  <w:r>
                    <w:rPr>
                      <w:color w:val="auto"/>
                      <w:szCs w:val="21"/>
                    </w:rPr>
                    <w:t>1</w:t>
                  </w:r>
                </w:p>
              </w:tc>
              <w:tc>
                <w:tcPr>
                  <w:tcW w:w="2504" w:type="pct"/>
                  <w:vAlign w:val="center"/>
                </w:tcPr>
                <w:p w14:paraId="23F2A10C">
                  <w:pPr>
                    <w:jc w:val="center"/>
                    <w:rPr>
                      <w:color w:val="auto"/>
                      <w:szCs w:val="21"/>
                    </w:rPr>
                  </w:pPr>
                  <w:r>
                    <w:rPr>
                      <w:rFonts w:hint="eastAsia"/>
                      <w:color w:val="auto"/>
                      <w:szCs w:val="21"/>
                    </w:rPr>
                    <w:t>大力推广使用水性、UV 等低挥发性涂料，低挥发性涂料替代比例不小于 80%，其中 UV 底漆替代比例 100%，掺杂有机溶剂需进一步烘干的 UV 涂料不计入低挥发性涂料。全面使用水性胶粘剂，替代比例 100%。金属家具制造全面使用粉末涂料。</w:t>
                  </w:r>
                </w:p>
              </w:tc>
              <w:tc>
                <w:tcPr>
                  <w:tcW w:w="1487" w:type="pct"/>
                  <w:vAlign w:val="center"/>
                </w:tcPr>
                <w:p w14:paraId="10D627BB">
                  <w:pPr>
                    <w:ind w:firstLine="420" w:firstLineChars="200"/>
                    <w:jc w:val="both"/>
                    <w:rPr>
                      <w:color w:val="auto"/>
                      <w:szCs w:val="21"/>
                    </w:rPr>
                  </w:pPr>
                  <w:r>
                    <w:rPr>
                      <w:rFonts w:hint="eastAsia"/>
                      <w:color w:val="auto"/>
                      <w:szCs w:val="21"/>
                      <w:lang w:eastAsia="zh-CN"/>
                    </w:rPr>
                    <w:t>本项目不涉及</w:t>
                  </w:r>
                  <w:r>
                    <w:rPr>
                      <w:color w:val="auto"/>
                      <w:szCs w:val="21"/>
                    </w:rPr>
                    <w:t>。</w:t>
                  </w:r>
                </w:p>
              </w:tc>
              <w:tc>
                <w:tcPr>
                  <w:tcW w:w="365" w:type="pct"/>
                  <w:vAlign w:val="center"/>
                </w:tcPr>
                <w:p w14:paraId="13719A5D">
                  <w:pPr>
                    <w:jc w:val="center"/>
                    <w:rPr>
                      <w:color w:val="auto"/>
                      <w:szCs w:val="21"/>
                    </w:rPr>
                  </w:pPr>
                  <w:r>
                    <w:rPr>
                      <w:rFonts w:hint="eastAsia"/>
                      <w:color w:val="auto"/>
                      <w:szCs w:val="21"/>
                    </w:rPr>
                    <w:t>符合</w:t>
                  </w:r>
                </w:p>
              </w:tc>
            </w:tr>
            <w:tr w14:paraId="7CD81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64B7FD39">
                  <w:pPr>
                    <w:jc w:val="center"/>
                    <w:rPr>
                      <w:color w:val="auto"/>
                      <w:szCs w:val="21"/>
                    </w:rPr>
                  </w:pPr>
                </w:p>
              </w:tc>
              <w:tc>
                <w:tcPr>
                  <w:tcW w:w="291" w:type="pct"/>
                  <w:vAlign w:val="center"/>
                </w:tcPr>
                <w:p w14:paraId="31003B94">
                  <w:pPr>
                    <w:jc w:val="center"/>
                    <w:rPr>
                      <w:color w:val="auto"/>
                      <w:szCs w:val="21"/>
                    </w:rPr>
                  </w:pPr>
                  <w:r>
                    <w:rPr>
                      <w:color w:val="auto"/>
                      <w:szCs w:val="21"/>
                    </w:rPr>
                    <w:t>2</w:t>
                  </w:r>
                </w:p>
              </w:tc>
              <w:tc>
                <w:tcPr>
                  <w:tcW w:w="2504" w:type="pct"/>
                  <w:vAlign w:val="center"/>
                </w:tcPr>
                <w:p w14:paraId="54072E17">
                  <w:pPr>
                    <w:jc w:val="center"/>
                    <w:rPr>
                      <w:color w:val="auto"/>
                      <w:szCs w:val="21"/>
                    </w:rPr>
                  </w:pPr>
                  <w:r>
                    <w:rPr>
                      <w:rFonts w:hint="eastAsia"/>
                      <w:color w:val="auto"/>
                      <w:szCs w:val="21"/>
                    </w:rPr>
                    <w:t>含 VOCs 的涂料、稀释剂、固化剂和胶粘剂等原辅材料必须密闭存放，并应提供正规厂家的供货信息、化学品安全说明书（MSDS）等材料，并建立管理台账。</w:t>
                  </w:r>
                </w:p>
              </w:tc>
              <w:tc>
                <w:tcPr>
                  <w:tcW w:w="1487" w:type="pct"/>
                  <w:vAlign w:val="center"/>
                </w:tcPr>
                <w:p w14:paraId="2A5E8DBE">
                  <w:pPr>
                    <w:ind w:firstLine="420" w:firstLineChars="200"/>
                    <w:jc w:val="both"/>
                    <w:rPr>
                      <w:rFonts w:hint="eastAsia" w:eastAsia="宋体"/>
                      <w:color w:val="auto"/>
                      <w:szCs w:val="21"/>
                      <w:lang w:eastAsia="zh-CN"/>
                    </w:rPr>
                  </w:pPr>
                  <w:r>
                    <w:rPr>
                      <w:rFonts w:hint="eastAsia" w:ascii="Times New Roman" w:hAnsi="Times New Roman" w:eastAsia="宋体" w:cs="Times New Roman"/>
                      <w:color w:val="auto"/>
                      <w:szCs w:val="21"/>
                    </w:rPr>
                    <w:t>企业建设有可密闭存放的胶水</w:t>
                  </w:r>
                  <w:r>
                    <w:rPr>
                      <w:rFonts w:hint="eastAsia" w:ascii="Times New Roman" w:hAnsi="Times New Roman" w:eastAsia="宋体" w:cs="Times New Roman"/>
                      <w:color w:val="auto"/>
                      <w:szCs w:val="21"/>
                      <w:lang w:eastAsia="zh-CN"/>
                    </w:rPr>
                    <w:t>仓库，</w:t>
                  </w:r>
                  <w:r>
                    <w:rPr>
                      <w:rFonts w:hint="eastAsia" w:ascii="Times New Roman" w:hAnsi="Times New Roman" w:eastAsia="宋体" w:cs="Times New Roman"/>
                      <w:color w:val="auto"/>
                      <w:szCs w:val="21"/>
                    </w:rPr>
                    <w:t>并应提供正规厂家的供货信息、化学品安全说明书（MSDS）等材料，并建立管理台账。</w:t>
                  </w:r>
                </w:p>
              </w:tc>
              <w:tc>
                <w:tcPr>
                  <w:tcW w:w="365" w:type="pct"/>
                  <w:vAlign w:val="center"/>
                </w:tcPr>
                <w:p w14:paraId="626AEB23">
                  <w:pPr>
                    <w:jc w:val="center"/>
                    <w:rPr>
                      <w:color w:val="auto"/>
                      <w:szCs w:val="21"/>
                    </w:rPr>
                  </w:pPr>
                  <w:r>
                    <w:rPr>
                      <w:rFonts w:hint="eastAsia"/>
                      <w:color w:val="auto"/>
                      <w:szCs w:val="21"/>
                    </w:rPr>
                    <w:t>符合</w:t>
                  </w:r>
                </w:p>
              </w:tc>
            </w:tr>
            <w:tr w14:paraId="4C08E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3B7F9689">
                  <w:pPr>
                    <w:jc w:val="center"/>
                    <w:rPr>
                      <w:color w:val="auto"/>
                      <w:szCs w:val="21"/>
                    </w:rPr>
                  </w:pPr>
                </w:p>
              </w:tc>
              <w:tc>
                <w:tcPr>
                  <w:tcW w:w="291" w:type="pct"/>
                  <w:vAlign w:val="center"/>
                </w:tcPr>
                <w:p w14:paraId="51D855EB">
                  <w:pPr>
                    <w:jc w:val="center"/>
                    <w:rPr>
                      <w:color w:val="auto"/>
                      <w:szCs w:val="21"/>
                    </w:rPr>
                  </w:pPr>
                  <w:r>
                    <w:rPr>
                      <w:color w:val="auto"/>
                      <w:szCs w:val="21"/>
                    </w:rPr>
                    <w:t>3</w:t>
                  </w:r>
                </w:p>
              </w:tc>
              <w:tc>
                <w:tcPr>
                  <w:tcW w:w="2504" w:type="pct"/>
                  <w:vAlign w:val="center"/>
                </w:tcPr>
                <w:p w14:paraId="2BB9752B">
                  <w:pPr>
                    <w:jc w:val="center"/>
                    <w:rPr>
                      <w:color w:val="auto"/>
                      <w:szCs w:val="21"/>
                    </w:rPr>
                  </w:pPr>
                  <w:r>
                    <w:rPr>
                      <w:rFonts w:hint="eastAsia"/>
                      <w:color w:val="auto"/>
                      <w:szCs w:val="21"/>
                    </w:rPr>
                    <w:t>规范生产作业区功能，避免粉尘与 VOCs、粉尘与漆渣、UV 漆/水性漆与溶剂漆废气等不同类型污染物交叉污染，禁止木加工、打磨功能区内出现喷涂操作</w:t>
                  </w:r>
                </w:p>
              </w:tc>
              <w:tc>
                <w:tcPr>
                  <w:tcW w:w="1487" w:type="pct"/>
                  <w:vAlign w:val="center"/>
                </w:tcPr>
                <w:p w14:paraId="234232A8">
                  <w:pPr>
                    <w:ind w:firstLine="420" w:firstLineChars="200"/>
                    <w:jc w:val="both"/>
                    <w:rPr>
                      <w:rFonts w:hint="eastAsia" w:eastAsia="宋体"/>
                      <w:color w:val="auto"/>
                      <w:szCs w:val="21"/>
                      <w:lang w:eastAsia="zh-CN"/>
                    </w:rPr>
                  </w:pPr>
                  <w:r>
                    <w:rPr>
                      <w:color w:val="auto"/>
                      <w:szCs w:val="21"/>
                    </w:rPr>
                    <w:t>项目平面布置合理，不同性质废气分质处理</w:t>
                  </w:r>
                  <w:r>
                    <w:rPr>
                      <w:rFonts w:hint="eastAsia"/>
                      <w:color w:val="auto"/>
                      <w:szCs w:val="21"/>
                      <w:lang w:eastAsia="zh-CN"/>
                    </w:rPr>
                    <w:t>。</w:t>
                  </w:r>
                </w:p>
              </w:tc>
              <w:tc>
                <w:tcPr>
                  <w:tcW w:w="365" w:type="pct"/>
                  <w:vAlign w:val="center"/>
                </w:tcPr>
                <w:p w14:paraId="2CBFACB1">
                  <w:pPr>
                    <w:jc w:val="center"/>
                    <w:rPr>
                      <w:color w:val="auto"/>
                      <w:szCs w:val="21"/>
                    </w:rPr>
                  </w:pPr>
                  <w:r>
                    <w:rPr>
                      <w:rFonts w:hint="eastAsia"/>
                      <w:color w:val="auto"/>
                      <w:szCs w:val="21"/>
                    </w:rPr>
                    <w:t>符合</w:t>
                  </w:r>
                </w:p>
              </w:tc>
            </w:tr>
            <w:tr w14:paraId="4D99B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61F7C2C2">
                  <w:pPr>
                    <w:jc w:val="center"/>
                    <w:rPr>
                      <w:color w:val="auto"/>
                      <w:szCs w:val="21"/>
                    </w:rPr>
                  </w:pPr>
                </w:p>
              </w:tc>
              <w:tc>
                <w:tcPr>
                  <w:tcW w:w="291" w:type="pct"/>
                  <w:vAlign w:val="center"/>
                </w:tcPr>
                <w:p w14:paraId="1BB7AEAA">
                  <w:pPr>
                    <w:jc w:val="center"/>
                    <w:rPr>
                      <w:color w:val="auto"/>
                      <w:szCs w:val="21"/>
                    </w:rPr>
                  </w:pPr>
                  <w:r>
                    <w:rPr>
                      <w:rFonts w:hint="eastAsia"/>
                      <w:color w:val="auto"/>
                      <w:szCs w:val="21"/>
                    </w:rPr>
                    <w:t>4</w:t>
                  </w:r>
                </w:p>
              </w:tc>
              <w:tc>
                <w:tcPr>
                  <w:tcW w:w="2504" w:type="pct"/>
                  <w:vAlign w:val="center"/>
                </w:tcPr>
                <w:p w14:paraId="6B3305B4">
                  <w:pPr>
                    <w:jc w:val="center"/>
                    <w:rPr>
                      <w:color w:val="auto"/>
                      <w:szCs w:val="21"/>
                    </w:rPr>
                  </w:pPr>
                  <w:r>
                    <w:rPr>
                      <w:rFonts w:hint="eastAsia"/>
                      <w:color w:val="auto"/>
                      <w:szCs w:val="21"/>
                    </w:rPr>
                    <w:t>木质家具推广使用高效的往复式喷涂箱、机械手和静电喷涂技术；板式家具采用喷涂工艺的，推广使用粉末静电喷涂技术；采用溶剂型、辐射固化涂料的，推广使用辊涂、淋涂等工艺。</w:t>
                  </w:r>
                </w:p>
              </w:tc>
              <w:tc>
                <w:tcPr>
                  <w:tcW w:w="1487" w:type="pct"/>
                  <w:vAlign w:val="center"/>
                </w:tcPr>
                <w:p w14:paraId="10DB771E">
                  <w:pPr>
                    <w:ind w:firstLine="420" w:firstLineChars="200"/>
                    <w:jc w:val="both"/>
                    <w:rPr>
                      <w:rFonts w:hint="eastAsia" w:eastAsia="宋体"/>
                      <w:color w:val="auto"/>
                      <w:szCs w:val="21"/>
                      <w:lang w:eastAsia="zh-CN"/>
                    </w:rPr>
                  </w:pPr>
                  <w:r>
                    <w:rPr>
                      <w:rFonts w:hint="eastAsia" w:eastAsia="宋体"/>
                      <w:color w:val="auto"/>
                      <w:szCs w:val="21"/>
                      <w:lang w:val="en-US" w:eastAsia="zh-CN"/>
                    </w:rPr>
                    <w:t>现有</w:t>
                  </w:r>
                  <w:r>
                    <w:rPr>
                      <w:rFonts w:hint="eastAsia" w:eastAsia="宋体"/>
                      <w:color w:val="auto"/>
                      <w:szCs w:val="21"/>
                      <w:lang w:eastAsia="zh-CN"/>
                    </w:rPr>
                    <w:t>项目不</w:t>
                  </w:r>
                  <w:r>
                    <w:rPr>
                      <w:rFonts w:hint="eastAsia" w:eastAsia="宋体"/>
                      <w:color w:val="auto"/>
                      <w:szCs w:val="21"/>
                      <w:lang w:val="en-US" w:eastAsia="zh-CN"/>
                    </w:rPr>
                    <w:t>涉及</w:t>
                  </w:r>
                  <w:r>
                    <w:rPr>
                      <w:rFonts w:hint="eastAsia"/>
                      <w:color w:val="auto"/>
                      <w:szCs w:val="21"/>
                      <w:lang w:eastAsia="zh-CN"/>
                    </w:rPr>
                    <w:t>。</w:t>
                  </w:r>
                </w:p>
              </w:tc>
              <w:tc>
                <w:tcPr>
                  <w:tcW w:w="365" w:type="pct"/>
                  <w:vAlign w:val="center"/>
                </w:tcPr>
                <w:p w14:paraId="46416830">
                  <w:pPr>
                    <w:jc w:val="center"/>
                    <w:rPr>
                      <w:color w:val="auto"/>
                      <w:szCs w:val="21"/>
                    </w:rPr>
                  </w:pPr>
                  <w:r>
                    <w:rPr>
                      <w:rFonts w:hint="eastAsia"/>
                      <w:color w:val="auto"/>
                      <w:szCs w:val="21"/>
                    </w:rPr>
                    <w:t>符合</w:t>
                  </w:r>
                </w:p>
              </w:tc>
            </w:tr>
            <w:tr w14:paraId="63BEF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1280C872">
                  <w:pPr>
                    <w:jc w:val="center"/>
                    <w:rPr>
                      <w:color w:val="auto"/>
                      <w:szCs w:val="21"/>
                    </w:rPr>
                  </w:pPr>
                </w:p>
              </w:tc>
              <w:tc>
                <w:tcPr>
                  <w:tcW w:w="291" w:type="pct"/>
                  <w:vAlign w:val="center"/>
                </w:tcPr>
                <w:p w14:paraId="201D9439">
                  <w:pPr>
                    <w:jc w:val="center"/>
                    <w:rPr>
                      <w:color w:val="auto"/>
                      <w:szCs w:val="21"/>
                    </w:rPr>
                  </w:pPr>
                  <w:r>
                    <w:rPr>
                      <w:rFonts w:hint="eastAsia"/>
                      <w:color w:val="auto"/>
                      <w:szCs w:val="21"/>
                    </w:rPr>
                    <w:t>5</w:t>
                  </w:r>
                </w:p>
              </w:tc>
              <w:tc>
                <w:tcPr>
                  <w:tcW w:w="2504" w:type="pct"/>
                  <w:vAlign w:val="center"/>
                </w:tcPr>
                <w:p w14:paraId="2AB0C974">
                  <w:pPr>
                    <w:jc w:val="center"/>
                    <w:rPr>
                      <w:color w:val="auto"/>
                      <w:szCs w:val="21"/>
                    </w:rPr>
                  </w:pPr>
                  <w:r>
                    <w:rPr>
                      <w:rFonts w:hint="eastAsia"/>
                      <w:color w:val="auto"/>
                      <w:szCs w:val="21"/>
                    </w:rPr>
                    <w:t>涂料转运应采用全密闭容器封存，并缩短转运路径，禁止转运时开盖，禁止调漆间或喷漆房外临时堆放即将施用的涂料。</w:t>
                  </w:r>
                </w:p>
              </w:tc>
              <w:tc>
                <w:tcPr>
                  <w:tcW w:w="1487" w:type="pct"/>
                  <w:vAlign w:val="center"/>
                </w:tcPr>
                <w:p w14:paraId="3A04E970">
                  <w:pPr>
                    <w:ind w:firstLine="420" w:firstLineChars="200"/>
                    <w:jc w:val="both"/>
                    <w:rPr>
                      <w:rFonts w:hint="eastAsia" w:eastAsia="宋体"/>
                      <w:color w:val="auto"/>
                      <w:szCs w:val="21"/>
                      <w:lang w:eastAsia="zh-CN"/>
                    </w:rPr>
                  </w:pPr>
                  <w:r>
                    <w:rPr>
                      <w:rFonts w:hint="eastAsia"/>
                      <w:color w:val="auto"/>
                      <w:szCs w:val="21"/>
                      <w:lang w:eastAsia="zh-CN"/>
                    </w:rPr>
                    <w:t>本项目不涉及</w:t>
                  </w:r>
                  <w:r>
                    <w:rPr>
                      <w:color w:val="auto"/>
                      <w:szCs w:val="21"/>
                    </w:rPr>
                    <w:t>。</w:t>
                  </w:r>
                </w:p>
              </w:tc>
              <w:tc>
                <w:tcPr>
                  <w:tcW w:w="365" w:type="pct"/>
                  <w:vAlign w:val="center"/>
                </w:tcPr>
                <w:p w14:paraId="7E373F71">
                  <w:pPr>
                    <w:jc w:val="center"/>
                    <w:rPr>
                      <w:color w:val="auto"/>
                      <w:szCs w:val="21"/>
                    </w:rPr>
                  </w:pPr>
                  <w:r>
                    <w:rPr>
                      <w:rFonts w:hint="eastAsia"/>
                      <w:color w:val="auto"/>
                      <w:szCs w:val="21"/>
                    </w:rPr>
                    <w:t>符合</w:t>
                  </w:r>
                </w:p>
              </w:tc>
            </w:tr>
            <w:tr w14:paraId="16D24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tcBorders>
                    <w:bottom w:val="single" w:color="auto" w:sz="4" w:space="0"/>
                  </w:tcBorders>
                  <w:vAlign w:val="center"/>
                </w:tcPr>
                <w:p w14:paraId="57C5E67A">
                  <w:pPr>
                    <w:jc w:val="center"/>
                    <w:rPr>
                      <w:color w:val="auto"/>
                      <w:szCs w:val="21"/>
                    </w:rPr>
                  </w:pPr>
                </w:p>
              </w:tc>
              <w:tc>
                <w:tcPr>
                  <w:tcW w:w="291" w:type="pct"/>
                  <w:vAlign w:val="center"/>
                </w:tcPr>
                <w:p w14:paraId="27F9243B">
                  <w:pPr>
                    <w:jc w:val="center"/>
                    <w:rPr>
                      <w:color w:val="auto"/>
                      <w:szCs w:val="21"/>
                    </w:rPr>
                  </w:pPr>
                  <w:r>
                    <w:rPr>
                      <w:rFonts w:hint="eastAsia"/>
                      <w:color w:val="auto"/>
                      <w:szCs w:val="21"/>
                    </w:rPr>
                    <w:t>6</w:t>
                  </w:r>
                </w:p>
              </w:tc>
              <w:tc>
                <w:tcPr>
                  <w:tcW w:w="2504" w:type="pct"/>
                  <w:vAlign w:val="center"/>
                </w:tcPr>
                <w:p w14:paraId="7D49BB3D">
                  <w:pPr>
                    <w:jc w:val="center"/>
                    <w:rPr>
                      <w:color w:val="auto"/>
                      <w:szCs w:val="21"/>
                    </w:rPr>
                  </w:pPr>
                  <w:r>
                    <w:rPr>
                      <w:rFonts w:hint="eastAsia"/>
                      <w:color w:val="auto"/>
                      <w:szCs w:val="21"/>
                    </w:rPr>
                    <w:t>鼓励采用高效的水帘喷台或在水帘循环水中添加漆雾凝聚剂，从源头大幅削减漆雾产生量；鼓励采用流水线喷涂与干燥方式，大幅削减废气处理风量。</w:t>
                  </w:r>
                </w:p>
              </w:tc>
              <w:tc>
                <w:tcPr>
                  <w:tcW w:w="1487" w:type="pct"/>
                  <w:vAlign w:val="center"/>
                </w:tcPr>
                <w:p w14:paraId="28C8C4D2">
                  <w:pPr>
                    <w:ind w:firstLine="420" w:firstLineChars="200"/>
                    <w:jc w:val="both"/>
                    <w:rPr>
                      <w:rFonts w:hint="eastAsia" w:eastAsia="宋体"/>
                      <w:color w:val="auto"/>
                      <w:szCs w:val="21"/>
                      <w:lang w:eastAsia="zh-CN"/>
                    </w:rPr>
                  </w:pPr>
                  <w:r>
                    <w:rPr>
                      <w:rFonts w:hint="eastAsia" w:eastAsia="宋体"/>
                      <w:color w:val="auto"/>
                      <w:szCs w:val="21"/>
                      <w:lang w:val="en-US" w:eastAsia="zh-CN"/>
                    </w:rPr>
                    <w:t>现有</w:t>
                  </w:r>
                  <w:r>
                    <w:rPr>
                      <w:rFonts w:hint="eastAsia" w:eastAsia="宋体"/>
                      <w:color w:val="auto"/>
                      <w:szCs w:val="21"/>
                      <w:lang w:eastAsia="zh-CN"/>
                    </w:rPr>
                    <w:t>项目</w:t>
                  </w:r>
                  <w:r>
                    <w:rPr>
                      <w:rFonts w:hint="eastAsia"/>
                      <w:color w:val="auto"/>
                      <w:szCs w:val="21"/>
                      <w:lang w:eastAsia="zh-CN"/>
                    </w:rPr>
                    <w:t>不涉及喷漆工序。</w:t>
                  </w:r>
                </w:p>
              </w:tc>
              <w:tc>
                <w:tcPr>
                  <w:tcW w:w="365" w:type="pct"/>
                  <w:vAlign w:val="center"/>
                </w:tcPr>
                <w:p w14:paraId="0100ED56">
                  <w:pPr>
                    <w:jc w:val="center"/>
                    <w:rPr>
                      <w:color w:val="auto"/>
                      <w:szCs w:val="21"/>
                    </w:rPr>
                  </w:pPr>
                  <w:r>
                    <w:rPr>
                      <w:rFonts w:hint="eastAsia"/>
                      <w:color w:val="auto"/>
                      <w:szCs w:val="21"/>
                    </w:rPr>
                    <w:t>符合</w:t>
                  </w:r>
                </w:p>
              </w:tc>
            </w:tr>
            <w:tr w14:paraId="1FD12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restart"/>
                  <w:tcBorders>
                    <w:top w:val="single" w:color="auto" w:sz="4" w:space="0"/>
                  </w:tcBorders>
                  <w:vAlign w:val="center"/>
                </w:tcPr>
                <w:p w14:paraId="39E31FA2">
                  <w:pPr>
                    <w:jc w:val="center"/>
                    <w:rPr>
                      <w:color w:val="auto"/>
                      <w:szCs w:val="21"/>
                    </w:rPr>
                  </w:pPr>
                  <w:r>
                    <w:rPr>
                      <w:rFonts w:hint="eastAsia"/>
                      <w:color w:val="auto"/>
                      <w:szCs w:val="21"/>
                    </w:rPr>
                    <w:t>加强废气收集</w:t>
                  </w:r>
                </w:p>
              </w:tc>
              <w:tc>
                <w:tcPr>
                  <w:tcW w:w="291" w:type="pct"/>
                  <w:vAlign w:val="center"/>
                </w:tcPr>
                <w:p w14:paraId="502A0202">
                  <w:pPr>
                    <w:jc w:val="center"/>
                    <w:rPr>
                      <w:color w:val="auto"/>
                      <w:szCs w:val="21"/>
                    </w:rPr>
                  </w:pPr>
                  <w:r>
                    <w:rPr>
                      <w:rFonts w:hint="eastAsia"/>
                      <w:color w:val="auto"/>
                      <w:szCs w:val="21"/>
                    </w:rPr>
                    <w:t>7</w:t>
                  </w:r>
                </w:p>
              </w:tc>
              <w:tc>
                <w:tcPr>
                  <w:tcW w:w="2504" w:type="pct"/>
                  <w:vAlign w:val="center"/>
                </w:tcPr>
                <w:p w14:paraId="2ADB118C">
                  <w:pPr>
                    <w:jc w:val="center"/>
                    <w:rPr>
                      <w:color w:val="auto"/>
                      <w:szCs w:val="21"/>
                    </w:rPr>
                  </w:pPr>
                  <w:r>
                    <w:rPr>
                      <w:rFonts w:hint="eastAsia"/>
                      <w:color w:val="auto"/>
                      <w:szCs w:val="21"/>
                    </w:rPr>
                    <w:t>调漆应在密闭间内进行，并控制喷漆房数量，降低废气处理负荷。</w:t>
                  </w:r>
                </w:p>
              </w:tc>
              <w:tc>
                <w:tcPr>
                  <w:tcW w:w="1487" w:type="pct"/>
                  <w:vAlign w:val="center"/>
                </w:tcPr>
                <w:p w14:paraId="242F60C1">
                  <w:pPr>
                    <w:ind w:firstLine="420" w:firstLineChars="200"/>
                    <w:jc w:val="both"/>
                    <w:rPr>
                      <w:rFonts w:hint="eastAsia" w:eastAsia="宋体"/>
                      <w:color w:val="auto"/>
                      <w:szCs w:val="21"/>
                      <w:lang w:eastAsia="zh-CN"/>
                    </w:rPr>
                  </w:pPr>
                  <w:r>
                    <w:rPr>
                      <w:rFonts w:hint="eastAsia"/>
                      <w:color w:val="000000" w:themeColor="text1"/>
                      <w:szCs w:val="21"/>
                      <w:lang w:eastAsia="zh-CN"/>
                      <w14:textFill>
                        <w14:solidFill>
                          <w14:schemeClr w14:val="tx1"/>
                        </w14:solidFill>
                      </w14:textFill>
                    </w:rPr>
                    <w:t>本项目不涉及调漆工序。</w:t>
                  </w:r>
                </w:p>
              </w:tc>
              <w:tc>
                <w:tcPr>
                  <w:tcW w:w="365" w:type="pct"/>
                  <w:vAlign w:val="center"/>
                </w:tcPr>
                <w:p w14:paraId="5ECFE668">
                  <w:pPr>
                    <w:jc w:val="center"/>
                    <w:rPr>
                      <w:color w:val="auto"/>
                      <w:szCs w:val="21"/>
                    </w:rPr>
                  </w:pPr>
                  <w:r>
                    <w:rPr>
                      <w:rFonts w:hint="eastAsia"/>
                      <w:color w:val="auto"/>
                      <w:szCs w:val="21"/>
                    </w:rPr>
                    <w:t>符合</w:t>
                  </w:r>
                </w:p>
              </w:tc>
            </w:tr>
            <w:tr w14:paraId="3415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694F49B0">
                  <w:pPr>
                    <w:jc w:val="center"/>
                    <w:rPr>
                      <w:color w:val="auto"/>
                      <w:szCs w:val="21"/>
                    </w:rPr>
                  </w:pPr>
                </w:p>
              </w:tc>
              <w:tc>
                <w:tcPr>
                  <w:tcW w:w="291" w:type="pct"/>
                  <w:vAlign w:val="center"/>
                </w:tcPr>
                <w:p w14:paraId="7382073E">
                  <w:pPr>
                    <w:jc w:val="center"/>
                    <w:rPr>
                      <w:color w:val="auto"/>
                      <w:szCs w:val="21"/>
                    </w:rPr>
                  </w:pPr>
                  <w:r>
                    <w:rPr>
                      <w:rFonts w:hint="eastAsia"/>
                      <w:color w:val="auto"/>
                      <w:szCs w:val="21"/>
                    </w:rPr>
                    <w:t>8</w:t>
                  </w:r>
                </w:p>
              </w:tc>
              <w:tc>
                <w:tcPr>
                  <w:tcW w:w="2504" w:type="pct"/>
                  <w:vAlign w:val="center"/>
                </w:tcPr>
                <w:p w14:paraId="7FEB2280">
                  <w:pPr>
                    <w:jc w:val="center"/>
                    <w:rPr>
                      <w:color w:val="auto"/>
                      <w:szCs w:val="21"/>
                    </w:rPr>
                  </w:pPr>
                  <w:r>
                    <w:rPr>
                      <w:rFonts w:hint="eastAsia"/>
                      <w:color w:val="auto"/>
                      <w:szCs w:val="21"/>
                    </w:rPr>
                    <w:t>涂料暂存设施应全密闭，并配备密闭管路和泵供料系统，加料采用隔膜泵送的方式，涂料回流管道伸至暂存槽液面下方，禁止直接滴流溅散。</w:t>
                  </w:r>
                </w:p>
              </w:tc>
              <w:tc>
                <w:tcPr>
                  <w:tcW w:w="1487" w:type="pct"/>
                  <w:vAlign w:val="center"/>
                </w:tcPr>
                <w:p w14:paraId="1FC822D8">
                  <w:pPr>
                    <w:jc w:val="center"/>
                    <w:rPr>
                      <w:color w:val="auto"/>
                      <w:szCs w:val="21"/>
                    </w:rPr>
                  </w:pPr>
                  <w:r>
                    <w:rPr>
                      <w:rFonts w:hint="eastAsia"/>
                      <w:color w:val="auto"/>
                      <w:szCs w:val="21"/>
                      <w:lang w:eastAsia="zh-CN"/>
                    </w:rPr>
                    <w:t>本项目不涉及</w:t>
                  </w:r>
                  <w:r>
                    <w:rPr>
                      <w:color w:val="auto"/>
                      <w:szCs w:val="21"/>
                    </w:rPr>
                    <w:t>。</w:t>
                  </w:r>
                </w:p>
              </w:tc>
              <w:tc>
                <w:tcPr>
                  <w:tcW w:w="365" w:type="pct"/>
                  <w:vAlign w:val="center"/>
                </w:tcPr>
                <w:p w14:paraId="0CF54F47">
                  <w:pPr>
                    <w:jc w:val="center"/>
                    <w:rPr>
                      <w:color w:val="auto"/>
                      <w:szCs w:val="21"/>
                    </w:rPr>
                  </w:pPr>
                  <w:r>
                    <w:rPr>
                      <w:rFonts w:hint="eastAsia"/>
                      <w:color w:val="auto"/>
                      <w:szCs w:val="21"/>
                    </w:rPr>
                    <w:t>/</w:t>
                  </w:r>
                </w:p>
              </w:tc>
            </w:tr>
            <w:tr w14:paraId="1C3DB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1DF6D404">
                  <w:pPr>
                    <w:jc w:val="center"/>
                    <w:rPr>
                      <w:color w:val="auto"/>
                      <w:szCs w:val="21"/>
                    </w:rPr>
                  </w:pPr>
                </w:p>
              </w:tc>
              <w:tc>
                <w:tcPr>
                  <w:tcW w:w="291" w:type="pct"/>
                  <w:vAlign w:val="center"/>
                </w:tcPr>
                <w:p w14:paraId="4770846C">
                  <w:pPr>
                    <w:jc w:val="center"/>
                    <w:rPr>
                      <w:color w:val="auto"/>
                      <w:szCs w:val="21"/>
                    </w:rPr>
                  </w:pPr>
                  <w:r>
                    <w:rPr>
                      <w:color w:val="auto"/>
                      <w:szCs w:val="21"/>
                    </w:rPr>
                    <w:t>9</w:t>
                  </w:r>
                </w:p>
              </w:tc>
              <w:tc>
                <w:tcPr>
                  <w:tcW w:w="2504" w:type="pct"/>
                  <w:vAlign w:val="center"/>
                </w:tcPr>
                <w:p w14:paraId="1F5271D9">
                  <w:pPr>
                    <w:jc w:val="center"/>
                    <w:rPr>
                      <w:color w:val="auto"/>
                      <w:szCs w:val="21"/>
                    </w:rPr>
                  </w:pPr>
                  <w:r>
                    <w:rPr>
                      <w:rFonts w:hint="eastAsia"/>
                      <w:color w:val="auto"/>
                      <w:szCs w:val="21"/>
                    </w:rPr>
                    <w:t>禁止敞开式和半敞开式涂装作业，禁止露天和敞开式晾（风）干；调漆间、喷漆房、干燥间应全密闭，密闭间必须同时满足足够的换气次数和保持微负压状态。人员操作频繁的空间内换气次数不小于 20 次/小时，最大开口处截面控制风速不小于 0.5 米/秒，废气收集效率不低于 90%。</w:t>
                  </w:r>
                </w:p>
              </w:tc>
              <w:tc>
                <w:tcPr>
                  <w:tcW w:w="1487" w:type="pct"/>
                  <w:vAlign w:val="center"/>
                </w:tcPr>
                <w:p w14:paraId="4948FDC9">
                  <w:pPr>
                    <w:ind w:firstLine="420" w:firstLineChars="200"/>
                    <w:jc w:val="both"/>
                    <w:rPr>
                      <w:rFonts w:hint="eastAsia" w:eastAsia="宋体"/>
                      <w:color w:val="auto"/>
                      <w:szCs w:val="21"/>
                      <w:lang w:val="en-US" w:eastAsia="zh-CN"/>
                    </w:rPr>
                  </w:pPr>
                  <w:r>
                    <w:rPr>
                      <w:rFonts w:hint="eastAsia" w:eastAsia="宋体"/>
                      <w:color w:val="auto"/>
                      <w:szCs w:val="21"/>
                      <w:lang w:val="en-US" w:eastAsia="zh-CN"/>
                    </w:rPr>
                    <w:t>现有</w:t>
                  </w:r>
                  <w:r>
                    <w:rPr>
                      <w:rFonts w:hint="eastAsia" w:eastAsia="宋体"/>
                      <w:color w:val="auto"/>
                      <w:szCs w:val="21"/>
                      <w:lang w:eastAsia="zh-CN"/>
                    </w:rPr>
                    <w:t>项目</w:t>
                  </w:r>
                  <w:r>
                    <w:rPr>
                      <w:rFonts w:hint="eastAsia"/>
                      <w:color w:val="auto"/>
                      <w:szCs w:val="21"/>
                      <w:lang w:eastAsia="zh-CN"/>
                    </w:rPr>
                    <w:t>不涉及喷漆工序。</w:t>
                  </w:r>
                </w:p>
              </w:tc>
              <w:tc>
                <w:tcPr>
                  <w:tcW w:w="365" w:type="pct"/>
                  <w:vAlign w:val="center"/>
                </w:tcPr>
                <w:p w14:paraId="52F57352">
                  <w:pPr>
                    <w:jc w:val="center"/>
                    <w:rPr>
                      <w:color w:val="auto"/>
                      <w:szCs w:val="21"/>
                    </w:rPr>
                  </w:pPr>
                  <w:r>
                    <w:rPr>
                      <w:rFonts w:hint="eastAsia"/>
                      <w:color w:val="auto"/>
                      <w:szCs w:val="21"/>
                    </w:rPr>
                    <w:t>符合</w:t>
                  </w:r>
                </w:p>
              </w:tc>
            </w:tr>
            <w:tr w14:paraId="3ADD7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350C59CA">
                  <w:pPr>
                    <w:jc w:val="center"/>
                    <w:rPr>
                      <w:color w:val="auto"/>
                      <w:szCs w:val="21"/>
                    </w:rPr>
                  </w:pPr>
                </w:p>
              </w:tc>
              <w:tc>
                <w:tcPr>
                  <w:tcW w:w="291" w:type="pct"/>
                  <w:vAlign w:val="center"/>
                </w:tcPr>
                <w:p w14:paraId="79DCD4F8">
                  <w:pPr>
                    <w:jc w:val="center"/>
                    <w:rPr>
                      <w:color w:val="auto"/>
                      <w:szCs w:val="21"/>
                    </w:rPr>
                  </w:pPr>
                  <w:r>
                    <w:rPr>
                      <w:color w:val="auto"/>
                      <w:szCs w:val="21"/>
                    </w:rPr>
                    <w:t>10</w:t>
                  </w:r>
                </w:p>
              </w:tc>
              <w:tc>
                <w:tcPr>
                  <w:tcW w:w="2504" w:type="pct"/>
                  <w:vAlign w:val="center"/>
                </w:tcPr>
                <w:p w14:paraId="6CBE2AA9">
                  <w:pPr>
                    <w:jc w:val="center"/>
                    <w:rPr>
                      <w:color w:val="auto"/>
                      <w:szCs w:val="21"/>
                    </w:rPr>
                  </w:pPr>
                  <w:r>
                    <w:rPr>
                      <w:rFonts w:hint="eastAsia"/>
                      <w:color w:val="auto"/>
                      <w:szCs w:val="21"/>
                    </w:rPr>
                    <w:t>打磨应设置独立车间，宜设置上进风，下/侧排风的粉尘收集系统。打磨粉尘收集并按危废处置，禁止与其他木加工粉尘混合。</w:t>
                  </w:r>
                </w:p>
              </w:tc>
              <w:tc>
                <w:tcPr>
                  <w:tcW w:w="1487" w:type="pct"/>
                  <w:vAlign w:val="center"/>
                </w:tcPr>
                <w:p w14:paraId="4FC42D98">
                  <w:pPr>
                    <w:jc w:val="center"/>
                    <w:rPr>
                      <w:color w:val="auto"/>
                      <w:szCs w:val="21"/>
                    </w:rPr>
                  </w:pPr>
                  <w:r>
                    <w:rPr>
                      <w:rFonts w:hint="eastAsia" w:eastAsia="宋体"/>
                      <w:color w:val="auto"/>
                      <w:szCs w:val="21"/>
                      <w:lang w:val="en-US" w:eastAsia="zh-CN"/>
                    </w:rPr>
                    <w:t>现有</w:t>
                  </w:r>
                  <w:r>
                    <w:rPr>
                      <w:rFonts w:hint="eastAsia" w:eastAsia="宋体"/>
                      <w:color w:val="auto"/>
                      <w:szCs w:val="21"/>
                      <w:lang w:eastAsia="zh-CN"/>
                    </w:rPr>
                    <w:t>项目</w:t>
                  </w:r>
                  <w:r>
                    <w:rPr>
                      <w:rFonts w:hint="eastAsia"/>
                      <w:color w:val="auto"/>
                      <w:szCs w:val="21"/>
                    </w:rPr>
                    <w:t>不涉及</w:t>
                  </w:r>
                </w:p>
              </w:tc>
              <w:tc>
                <w:tcPr>
                  <w:tcW w:w="365" w:type="pct"/>
                  <w:vAlign w:val="center"/>
                </w:tcPr>
                <w:p w14:paraId="69748145">
                  <w:pPr>
                    <w:jc w:val="center"/>
                    <w:rPr>
                      <w:color w:val="auto"/>
                      <w:szCs w:val="21"/>
                    </w:rPr>
                  </w:pPr>
                  <w:r>
                    <w:rPr>
                      <w:rFonts w:hint="eastAsia"/>
                      <w:color w:val="auto"/>
                      <w:szCs w:val="21"/>
                    </w:rPr>
                    <w:t>符合</w:t>
                  </w:r>
                </w:p>
              </w:tc>
            </w:tr>
            <w:tr w14:paraId="284C9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602265F2">
                  <w:pPr>
                    <w:jc w:val="center"/>
                    <w:rPr>
                      <w:color w:val="auto"/>
                      <w:szCs w:val="21"/>
                    </w:rPr>
                  </w:pPr>
                </w:p>
              </w:tc>
              <w:tc>
                <w:tcPr>
                  <w:tcW w:w="291" w:type="pct"/>
                  <w:vAlign w:val="center"/>
                </w:tcPr>
                <w:p w14:paraId="6DD339E0">
                  <w:pPr>
                    <w:jc w:val="center"/>
                    <w:rPr>
                      <w:color w:val="auto"/>
                      <w:szCs w:val="21"/>
                    </w:rPr>
                  </w:pPr>
                  <w:r>
                    <w:rPr>
                      <w:color w:val="auto"/>
                      <w:szCs w:val="21"/>
                    </w:rPr>
                    <w:t>11</w:t>
                  </w:r>
                </w:p>
              </w:tc>
              <w:tc>
                <w:tcPr>
                  <w:tcW w:w="2504" w:type="pct"/>
                  <w:vAlign w:val="center"/>
                </w:tcPr>
                <w:p w14:paraId="585414C9">
                  <w:pPr>
                    <w:jc w:val="left"/>
                    <w:rPr>
                      <w:color w:val="auto"/>
                      <w:szCs w:val="21"/>
                    </w:rPr>
                  </w:pPr>
                  <w:r>
                    <w:rPr>
                      <w:rFonts w:hint="eastAsia"/>
                      <w:color w:val="auto"/>
                      <w:szCs w:val="21"/>
                    </w:rPr>
                    <w:t>废气收集和输送应满足《大气污染治理工程技术导则》（HJ2000-2010）及相关规范的要求，管路应有明显的颜色区分及走向标识。</w:t>
                  </w:r>
                </w:p>
              </w:tc>
              <w:tc>
                <w:tcPr>
                  <w:tcW w:w="1487" w:type="pct"/>
                  <w:vAlign w:val="center"/>
                </w:tcPr>
                <w:p w14:paraId="249D63BF">
                  <w:pPr>
                    <w:ind w:firstLine="420" w:firstLineChars="200"/>
                    <w:jc w:val="both"/>
                    <w:rPr>
                      <w:rFonts w:hint="eastAsia" w:eastAsia="宋体"/>
                      <w:color w:val="auto"/>
                      <w:szCs w:val="21"/>
                      <w:lang w:eastAsia="zh-CN"/>
                    </w:rPr>
                  </w:pPr>
                  <w:r>
                    <w:rPr>
                      <w:rFonts w:hint="eastAsia"/>
                      <w:color w:val="auto"/>
                      <w:szCs w:val="21"/>
                    </w:rPr>
                    <w:t>企业废气收集和输送满足相关规范</w:t>
                  </w:r>
                  <w:r>
                    <w:rPr>
                      <w:rFonts w:hint="eastAsia"/>
                      <w:color w:val="auto"/>
                      <w:szCs w:val="21"/>
                      <w:lang w:eastAsia="zh-CN"/>
                    </w:rPr>
                    <w:t>。</w:t>
                  </w:r>
                </w:p>
              </w:tc>
              <w:tc>
                <w:tcPr>
                  <w:tcW w:w="365" w:type="pct"/>
                  <w:vAlign w:val="center"/>
                </w:tcPr>
                <w:p w14:paraId="4B9C6D75">
                  <w:pPr>
                    <w:jc w:val="center"/>
                    <w:rPr>
                      <w:color w:val="auto"/>
                      <w:szCs w:val="21"/>
                    </w:rPr>
                  </w:pPr>
                  <w:r>
                    <w:rPr>
                      <w:rFonts w:hint="eastAsia"/>
                      <w:color w:val="auto"/>
                      <w:szCs w:val="21"/>
                    </w:rPr>
                    <w:t>符合</w:t>
                  </w:r>
                </w:p>
              </w:tc>
            </w:tr>
            <w:tr w14:paraId="04AC1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tcBorders>
                    <w:bottom w:val="single" w:color="auto" w:sz="4" w:space="0"/>
                  </w:tcBorders>
                  <w:vAlign w:val="center"/>
                </w:tcPr>
                <w:p w14:paraId="2AB240B7">
                  <w:pPr>
                    <w:jc w:val="center"/>
                    <w:rPr>
                      <w:color w:val="auto"/>
                      <w:szCs w:val="21"/>
                    </w:rPr>
                  </w:pPr>
                </w:p>
              </w:tc>
              <w:tc>
                <w:tcPr>
                  <w:tcW w:w="291" w:type="pct"/>
                  <w:vAlign w:val="center"/>
                </w:tcPr>
                <w:p w14:paraId="6FE964B1">
                  <w:pPr>
                    <w:jc w:val="center"/>
                    <w:rPr>
                      <w:color w:val="auto"/>
                      <w:szCs w:val="21"/>
                    </w:rPr>
                  </w:pPr>
                  <w:r>
                    <w:rPr>
                      <w:color w:val="auto"/>
                      <w:szCs w:val="21"/>
                    </w:rPr>
                    <w:t>12</w:t>
                  </w:r>
                </w:p>
              </w:tc>
              <w:tc>
                <w:tcPr>
                  <w:tcW w:w="2504" w:type="pct"/>
                  <w:vAlign w:val="center"/>
                </w:tcPr>
                <w:p w14:paraId="4D8D1D3B">
                  <w:pPr>
                    <w:jc w:val="center"/>
                    <w:rPr>
                      <w:color w:val="auto"/>
                      <w:szCs w:val="21"/>
                    </w:rPr>
                  </w:pPr>
                  <w:r>
                    <w:rPr>
                      <w:rFonts w:hint="eastAsia"/>
                      <w:color w:val="auto"/>
                      <w:szCs w:val="21"/>
                    </w:rPr>
                    <w:t>废气收集后，企业无组织废气满足《挥发性有机物无组织排放控制标准》（GB 37822-2019）。</w:t>
                  </w:r>
                </w:p>
              </w:tc>
              <w:tc>
                <w:tcPr>
                  <w:tcW w:w="1487" w:type="pct"/>
                  <w:vAlign w:val="center"/>
                </w:tcPr>
                <w:p w14:paraId="020E9F74">
                  <w:pPr>
                    <w:ind w:firstLine="420" w:firstLineChars="200"/>
                    <w:jc w:val="both"/>
                    <w:rPr>
                      <w:rFonts w:hint="eastAsia" w:eastAsia="宋体"/>
                      <w:color w:val="auto"/>
                      <w:szCs w:val="21"/>
                      <w:lang w:eastAsia="zh-CN"/>
                    </w:rPr>
                  </w:pPr>
                  <w:r>
                    <w:rPr>
                      <w:rFonts w:hint="eastAsia"/>
                      <w:color w:val="auto"/>
                      <w:szCs w:val="21"/>
                    </w:rPr>
                    <w:t>企业无组织废气满足相关标准要求</w:t>
                  </w:r>
                  <w:r>
                    <w:rPr>
                      <w:rFonts w:hint="eastAsia"/>
                      <w:color w:val="auto"/>
                      <w:szCs w:val="21"/>
                      <w:lang w:eastAsia="zh-CN"/>
                    </w:rPr>
                    <w:t>。</w:t>
                  </w:r>
                </w:p>
              </w:tc>
              <w:tc>
                <w:tcPr>
                  <w:tcW w:w="365" w:type="pct"/>
                  <w:vAlign w:val="center"/>
                </w:tcPr>
                <w:p w14:paraId="09C02069">
                  <w:pPr>
                    <w:jc w:val="center"/>
                    <w:rPr>
                      <w:color w:val="auto"/>
                      <w:szCs w:val="21"/>
                    </w:rPr>
                  </w:pPr>
                  <w:r>
                    <w:rPr>
                      <w:rFonts w:hint="eastAsia"/>
                      <w:color w:val="auto"/>
                      <w:szCs w:val="21"/>
                    </w:rPr>
                    <w:t>符合</w:t>
                  </w:r>
                </w:p>
              </w:tc>
            </w:tr>
            <w:tr w14:paraId="3CB4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restart"/>
                  <w:tcBorders>
                    <w:top w:val="single" w:color="auto" w:sz="4" w:space="0"/>
                  </w:tcBorders>
                  <w:vAlign w:val="center"/>
                </w:tcPr>
                <w:p w14:paraId="7361D07B">
                  <w:pPr>
                    <w:jc w:val="center"/>
                    <w:rPr>
                      <w:color w:val="auto"/>
                      <w:szCs w:val="21"/>
                    </w:rPr>
                  </w:pPr>
                  <w:r>
                    <w:rPr>
                      <w:rFonts w:hint="eastAsia"/>
                      <w:color w:val="auto"/>
                      <w:szCs w:val="21"/>
                    </w:rPr>
                    <w:t>提升污染物处理水平</w:t>
                  </w:r>
                </w:p>
              </w:tc>
              <w:tc>
                <w:tcPr>
                  <w:tcW w:w="291" w:type="pct"/>
                  <w:vAlign w:val="center"/>
                </w:tcPr>
                <w:p w14:paraId="39503A65">
                  <w:pPr>
                    <w:jc w:val="center"/>
                    <w:rPr>
                      <w:color w:val="auto"/>
                      <w:szCs w:val="21"/>
                    </w:rPr>
                  </w:pPr>
                  <w:r>
                    <w:rPr>
                      <w:color w:val="auto"/>
                      <w:szCs w:val="21"/>
                    </w:rPr>
                    <w:t>13</w:t>
                  </w:r>
                </w:p>
              </w:tc>
              <w:tc>
                <w:tcPr>
                  <w:tcW w:w="2504" w:type="pct"/>
                  <w:vAlign w:val="center"/>
                </w:tcPr>
                <w:p w14:paraId="5B8EC616">
                  <w:pPr>
                    <w:jc w:val="center"/>
                    <w:rPr>
                      <w:color w:val="auto"/>
                      <w:szCs w:val="21"/>
                    </w:rPr>
                  </w:pPr>
                  <w:r>
                    <w:rPr>
                      <w:rFonts w:hint="eastAsia"/>
                      <w:color w:val="auto"/>
                      <w:szCs w:val="21"/>
                    </w:rPr>
                    <w:t>禁止将 UV 涂料/水性涂料废气与溶剂型涂料废气混合处理。</w:t>
                  </w:r>
                </w:p>
              </w:tc>
              <w:tc>
                <w:tcPr>
                  <w:tcW w:w="1487" w:type="pct"/>
                  <w:vAlign w:val="center"/>
                </w:tcPr>
                <w:p w14:paraId="4D13693E">
                  <w:pPr>
                    <w:ind w:firstLine="420" w:firstLineChars="200"/>
                    <w:jc w:val="both"/>
                    <w:rPr>
                      <w:rFonts w:hint="eastAsia" w:eastAsia="宋体"/>
                      <w:color w:val="auto"/>
                      <w:szCs w:val="21"/>
                      <w:lang w:val="en-US" w:eastAsia="zh-CN"/>
                    </w:rPr>
                  </w:pPr>
                  <w:r>
                    <w:rPr>
                      <w:rFonts w:hint="eastAsia" w:eastAsia="宋体"/>
                      <w:color w:val="auto"/>
                      <w:szCs w:val="21"/>
                      <w:lang w:val="en-US" w:eastAsia="zh-CN"/>
                    </w:rPr>
                    <w:t>现有</w:t>
                  </w:r>
                  <w:r>
                    <w:rPr>
                      <w:rFonts w:hint="eastAsia" w:eastAsia="宋体"/>
                      <w:color w:val="auto"/>
                      <w:szCs w:val="21"/>
                      <w:lang w:eastAsia="zh-CN"/>
                    </w:rPr>
                    <w:t>项目</w:t>
                  </w:r>
                  <w:r>
                    <w:rPr>
                      <w:rFonts w:hint="eastAsia"/>
                      <w:color w:val="auto"/>
                      <w:szCs w:val="21"/>
                      <w:lang w:eastAsia="zh-CN"/>
                    </w:rPr>
                    <w:t>不涉及</w:t>
                  </w:r>
                </w:p>
              </w:tc>
              <w:tc>
                <w:tcPr>
                  <w:tcW w:w="365" w:type="pct"/>
                  <w:vAlign w:val="center"/>
                </w:tcPr>
                <w:p w14:paraId="6F17AB73">
                  <w:pPr>
                    <w:jc w:val="center"/>
                    <w:rPr>
                      <w:color w:val="auto"/>
                      <w:szCs w:val="21"/>
                    </w:rPr>
                  </w:pPr>
                  <w:r>
                    <w:rPr>
                      <w:rFonts w:hint="eastAsia"/>
                      <w:color w:val="auto"/>
                      <w:szCs w:val="21"/>
                    </w:rPr>
                    <w:t>符合</w:t>
                  </w:r>
                </w:p>
              </w:tc>
            </w:tr>
            <w:tr w14:paraId="448D6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3E782EB1">
                  <w:pPr>
                    <w:jc w:val="center"/>
                    <w:rPr>
                      <w:color w:val="auto"/>
                      <w:szCs w:val="21"/>
                    </w:rPr>
                  </w:pPr>
                </w:p>
              </w:tc>
              <w:tc>
                <w:tcPr>
                  <w:tcW w:w="291" w:type="pct"/>
                  <w:vAlign w:val="center"/>
                </w:tcPr>
                <w:p w14:paraId="3C9260E0">
                  <w:pPr>
                    <w:jc w:val="center"/>
                    <w:rPr>
                      <w:color w:val="auto"/>
                      <w:szCs w:val="21"/>
                    </w:rPr>
                  </w:pPr>
                  <w:r>
                    <w:rPr>
                      <w:color w:val="auto"/>
                      <w:szCs w:val="21"/>
                    </w:rPr>
                    <w:t>14</w:t>
                  </w:r>
                </w:p>
              </w:tc>
              <w:tc>
                <w:tcPr>
                  <w:tcW w:w="2504" w:type="pct"/>
                  <w:vAlign w:val="center"/>
                </w:tcPr>
                <w:p w14:paraId="10A4CFD6">
                  <w:pPr>
                    <w:jc w:val="center"/>
                    <w:rPr>
                      <w:color w:val="auto"/>
                      <w:szCs w:val="21"/>
                    </w:rPr>
                  </w:pPr>
                  <w:r>
                    <w:rPr>
                      <w:rFonts w:hint="eastAsia"/>
                      <w:color w:val="auto"/>
                      <w:szCs w:val="21"/>
                    </w:rPr>
                    <w:t>UV 涂料废气应采用“过滤+活性炭吸附抛弃法”、“过滤+低温等离子+喷淋”去除恶臭气体，每万立方米/小时的低温等离子体，臭气浓度处理效率不低于 60%。严禁使用低温等离子、水喷淋等单一低效废气处理设施及 UV 光氧处理设施。</w:t>
                  </w:r>
                </w:p>
              </w:tc>
              <w:tc>
                <w:tcPr>
                  <w:tcW w:w="1487" w:type="pct"/>
                  <w:vAlign w:val="center"/>
                </w:tcPr>
                <w:p w14:paraId="21093F68">
                  <w:pPr>
                    <w:jc w:val="center"/>
                    <w:rPr>
                      <w:color w:val="auto"/>
                      <w:szCs w:val="21"/>
                    </w:rPr>
                  </w:pPr>
                  <w:r>
                    <w:rPr>
                      <w:rFonts w:hint="eastAsia" w:eastAsia="宋体"/>
                      <w:color w:val="auto"/>
                      <w:szCs w:val="21"/>
                      <w:lang w:val="en-US" w:eastAsia="zh-CN"/>
                    </w:rPr>
                    <w:t>现有</w:t>
                  </w:r>
                  <w:r>
                    <w:rPr>
                      <w:rFonts w:hint="eastAsia" w:eastAsia="宋体"/>
                      <w:color w:val="auto"/>
                      <w:szCs w:val="21"/>
                      <w:lang w:eastAsia="zh-CN"/>
                    </w:rPr>
                    <w:t>项目</w:t>
                  </w:r>
                  <w:r>
                    <w:rPr>
                      <w:rFonts w:hint="eastAsia"/>
                      <w:color w:val="auto"/>
                      <w:szCs w:val="21"/>
                    </w:rPr>
                    <w:t>不涉及</w:t>
                  </w:r>
                </w:p>
              </w:tc>
              <w:tc>
                <w:tcPr>
                  <w:tcW w:w="365" w:type="pct"/>
                  <w:vAlign w:val="center"/>
                </w:tcPr>
                <w:p w14:paraId="59A102A2">
                  <w:pPr>
                    <w:jc w:val="center"/>
                    <w:rPr>
                      <w:color w:val="auto"/>
                      <w:szCs w:val="21"/>
                    </w:rPr>
                  </w:pPr>
                  <w:r>
                    <w:rPr>
                      <w:rFonts w:hint="eastAsia"/>
                      <w:color w:val="auto"/>
                      <w:szCs w:val="21"/>
                    </w:rPr>
                    <w:t>/</w:t>
                  </w:r>
                </w:p>
              </w:tc>
            </w:tr>
            <w:tr w14:paraId="1C38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443B93BC">
                  <w:pPr>
                    <w:jc w:val="center"/>
                    <w:rPr>
                      <w:color w:val="auto"/>
                      <w:szCs w:val="21"/>
                    </w:rPr>
                  </w:pPr>
                </w:p>
              </w:tc>
              <w:tc>
                <w:tcPr>
                  <w:tcW w:w="291" w:type="pct"/>
                  <w:vAlign w:val="center"/>
                </w:tcPr>
                <w:p w14:paraId="587779D7">
                  <w:pPr>
                    <w:jc w:val="center"/>
                    <w:rPr>
                      <w:color w:val="auto"/>
                      <w:szCs w:val="21"/>
                    </w:rPr>
                  </w:pPr>
                  <w:r>
                    <w:rPr>
                      <w:rFonts w:hint="eastAsia"/>
                      <w:color w:val="auto"/>
                      <w:szCs w:val="21"/>
                    </w:rPr>
                    <w:t>15</w:t>
                  </w:r>
                </w:p>
              </w:tc>
              <w:tc>
                <w:tcPr>
                  <w:tcW w:w="2504" w:type="pct"/>
                  <w:vAlign w:val="center"/>
                </w:tcPr>
                <w:p w14:paraId="469E72DB">
                  <w:pPr>
                    <w:jc w:val="center"/>
                    <w:rPr>
                      <w:color w:val="auto"/>
                      <w:szCs w:val="21"/>
                    </w:rPr>
                  </w:pPr>
                  <w:r>
                    <w:rPr>
                      <w:rFonts w:hint="eastAsia"/>
                      <w:color w:val="auto"/>
                      <w:szCs w:val="21"/>
                    </w:rPr>
                    <w:t>采用符合国家有关低 VOCs 水性涂料的，排放浓度稳定达标且排放速率、排放绩效等满足相关规定的，相应生产工序可不要求建设末端治理设施。使用的原辅材料 VOCs含量（质量比）低于 10%的工序，可不要求采取无组织排放收集措施。其他水性涂料废气应采用“水喷淋”或更高效工艺去除恶臭气体，臭气浓度总净化效率不低于 30%。非水溶性组分的废气不得仅采用水或水溶液喷淋吸收方式处理。</w:t>
                  </w:r>
                </w:p>
              </w:tc>
              <w:tc>
                <w:tcPr>
                  <w:tcW w:w="1487" w:type="pct"/>
                  <w:vAlign w:val="center"/>
                </w:tcPr>
                <w:p w14:paraId="37BD6EE2">
                  <w:pPr>
                    <w:spacing w:beforeAutospacing="0"/>
                    <w:ind w:firstLine="420" w:firstLineChars="200"/>
                    <w:jc w:val="both"/>
                    <w:rPr>
                      <w:rFonts w:hint="eastAsia" w:eastAsia="宋体"/>
                      <w:color w:val="auto"/>
                      <w:szCs w:val="21"/>
                      <w:lang w:eastAsia="zh-CN"/>
                    </w:rPr>
                  </w:pPr>
                  <w:r>
                    <w:rPr>
                      <w:rFonts w:hint="eastAsia" w:eastAsia="宋体"/>
                      <w:color w:val="auto"/>
                      <w:szCs w:val="21"/>
                      <w:lang w:val="en-US" w:eastAsia="zh-CN"/>
                    </w:rPr>
                    <w:t>现有</w:t>
                  </w:r>
                  <w:r>
                    <w:rPr>
                      <w:rFonts w:hint="eastAsia" w:eastAsia="宋体"/>
                      <w:color w:val="auto"/>
                      <w:szCs w:val="21"/>
                      <w:lang w:eastAsia="zh-CN"/>
                    </w:rPr>
                    <w:t>项目</w:t>
                  </w:r>
                  <w:r>
                    <w:rPr>
                      <w:rFonts w:hint="eastAsia"/>
                      <w:color w:val="000000" w:themeColor="text1"/>
                      <w:szCs w:val="21"/>
                      <w:lang w:eastAsia="zh-CN"/>
                      <w14:textFill>
                        <w14:solidFill>
                          <w14:schemeClr w14:val="tx1"/>
                        </w14:solidFill>
                      </w14:textFill>
                    </w:rPr>
                    <w:t>符合相关要求。</w:t>
                  </w:r>
                </w:p>
              </w:tc>
              <w:tc>
                <w:tcPr>
                  <w:tcW w:w="365" w:type="pct"/>
                  <w:vAlign w:val="center"/>
                </w:tcPr>
                <w:p w14:paraId="7E4B166E">
                  <w:pPr>
                    <w:jc w:val="center"/>
                    <w:rPr>
                      <w:color w:val="auto"/>
                      <w:szCs w:val="21"/>
                    </w:rPr>
                  </w:pPr>
                  <w:r>
                    <w:rPr>
                      <w:rFonts w:hint="eastAsia"/>
                      <w:color w:val="auto"/>
                      <w:szCs w:val="21"/>
                    </w:rPr>
                    <w:t>符合</w:t>
                  </w:r>
                </w:p>
              </w:tc>
            </w:tr>
            <w:tr w14:paraId="196EF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24D4E098">
                  <w:pPr>
                    <w:jc w:val="center"/>
                    <w:rPr>
                      <w:color w:val="auto"/>
                      <w:szCs w:val="21"/>
                    </w:rPr>
                  </w:pPr>
                </w:p>
              </w:tc>
              <w:tc>
                <w:tcPr>
                  <w:tcW w:w="291" w:type="pct"/>
                  <w:vAlign w:val="center"/>
                </w:tcPr>
                <w:p w14:paraId="1C48D3FA">
                  <w:pPr>
                    <w:jc w:val="center"/>
                    <w:rPr>
                      <w:color w:val="auto"/>
                      <w:szCs w:val="21"/>
                    </w:rPr>
                  </w:pPr>
                  <w:r>
                    <w:rPr>
                      <w:rFonts w:hint="eastAsia"/>
                      <w:color w:val="auto"/>
                      <w:szCs w:val="21"/>
                    </w:rPr>
                    <w:t>16</w:t>
                  </w:r>
                </w:p>
              </w:tc>
              <w:tc>
                <w:tcPr>
                  <w:tcW w:w="2504" w:type="pct"/>
                  <w:vAlign w:val="center"/>
                </w:tcPr>
                <w:p w14:paraId="5F78C734">
                  <w:pPr>
                    <w:jc w:val="center"/>
                    <w:rPr>
                      <w:color w:val="auto"/>
                      <w:szCs w:val="21"/>
                    </w:rPr>
                  </w:pPr>
                  <w:r>
                    <w:rPr>
                      <w:rFonts w:hint="eastAsia"/>
                      <w:color w:val="auto"/>
                      <w:szCs w:val="21"/>
                    </w:rPr>
                    <w:t>喷涂废气优先设置湿式水帘+多级过滤除湿联合等高效的漆雾处理装置。使用溶剂型涂料（含稀释剂）的工序，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487" w:type="pct"/>
                  <w:vAlign w:val="center"/>
                </w:tcPr>
                <w:p w14:paraId="73DE2111">
                  <w:pPr>
                    <w:jc w:val="center"/>
                    <w:rPr>
                      <w:color w:val="auto"/>
                      <w:szCs w:val="21"/>
                    </w:rPr>
                  </w:pPr>
                  <w:r>
                    <w:rPr>
                      <w:rFonts w:hint="eastAsia" w:eastAsia="宋体"/>
                      <w:color w:val="auto"/>
                      <w:szCs w:val="21"/>
                      <w:lang w:val="en-US" w:eastAsia="zh-CN"/>
                    </w:rPr>
                    <w:t>现有</w:t>
                  </w:r>
                  <w:r>
                    <w:rPr>
                      <w:rFonts w:hint="eastAsia" w:eastAsia="宋体"/>
                      <w:color w:val="auto"/>
                      <w:szCs w:val="21"/>
                      <w:lang w:eastAsia="zh-CN"/>
                    </w:rPr>
                    <w:t>项目</w:t>
                  </w:r>
                  <w:r>
                    <w:rPr>
                      <w:rFonts w:hint="eastAsia"/>
                      <w:color w:val="auto"/>
                      <w:lang w:eastAsia="zh-CN"/>
                    </w:rPr>
                    <w:t>不涉及</w:t>
                  </w:r>
                </w:p>
              </w:tc>
              <w:tc>
                <w:tcPr>
                  <w:tcW w:w="365" w:type="pct"/>
                  <w:vAlign w:val="center"/>
                </w:tcPr>
                <w:p w14:paraId="4D018228">
                  <w:pPr>
                    <w:jc w:val="center"/>
                    <w:rPr>
                      <w:color w:val="auto"/>
                      <w:szCs w:val="21"/>
                    </w:rPr>
                  </w:pPr>
                  <w:r>
                    <w:rPr>
                      <w:rFonts w:hint="eastAsia"/>
                      <w:color w:val="auto"/>
                      <w:szCs w:val="21"/>
                    </w:rPr>
                    <w:t>符合</w:t>
                  </w:r>
                </w:p>
              </w:tc>
            </w:tr>
            <w:tr w14:paraId="42D77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610B4860">
                  <w:pPr>
                    <w:jc w:val="center"/>
                    <w:rPr>
                      <w:color w:val="auto"/>
                      <w:szCs w:val="21"/>
                    </w:rPr>
                  </w:pPr>
                </w:p>
              </w:tc>
              <w:tc>
                <w:tcPr>
                  <w:tcW w:w="291" w:type="pct"/>
                  <w:vAlign w:val="center"/>
                </w:tcPr>
                <w:p w14:paraId="6BBEC9B4">
                  <w:pPr>
                    <w:jc w:val="center"/>
                    <w:rPr>
                      <w:color w:val="auto"/>
                      <w:szCs w:val="21"/>
                    </w:rPr>
                  </w:pPr>
                  <w:r>
                    <w:rPr>
                      <w:rFonts w:hint="eastAsia"/>
                      <w:color w:val="auto"/>
                      <w:szCs w:val="21"/>
                    </w:rPr>
                    <w:t>17</w:t>
                  </w:r>
                </w:p>
              </w:tc>
              <w:tc>
                <w:tcPr>
                  <w:tcW w:w="2504" w:type="pct"/>
                  <w:vAlign w:val="center"/>
                </w:tcPr>
                <w:p w14:paraId="5216D220">
                  <w:pPr>
                    <w:jc w:val="center"/>
                    <w:rPr>
                      <w:color w:val="auto"/>
                      <w:szCs w:val="21"/>
                    </w:rPr>
                  </w:pPr>
                  <w:r>
                    <w:rPr>
                      <w:rFonts w:hint="eastAsia"/>
                      <w:color w:val="auto"/>
                      <w:szCs w:val="21"/>
                    </w:rPr>
                    <w:t>溶剂型涂装废气（非甲烷总烃初始排放速率&lt;2kg/h时）VOCs 处理效率不低于 75%，烘干废气（高于 40℃）VOCs处理效率不低于 90%，涂装与烘干混合废气 VOCs 处理效率不低于80%；收集废气中非甲烷总烃初始排放速率≥2kg/h时，应配备有效的 VOCs 治理措施，装置处理效率不低于 80%。</w:t>
                  </w:r>
                </w:p>
              </w:tc>
              <w:tc>
                <w:tcPr>
                  <w:tcW w:w="1487" w:type="pct"/>
                  <w:vAlign w:val="center"/>
                </w:tcPr>
                <w:p w14:paraId="08747EE1">
                  <w:pPr>
                    <w:pStyle w:val="12"/>
                    <w:ind w:firstLine="480" w:firstLineChars="200"/>
                    <w:rPr>
                      <w:color w:val="auto"/>
                      <w:szCs w:val="21"/>
                    </w:rPr>
                  </w:pPr>
                  <w:r>
                    <w:rPr>
                      <w:rFonts w:hint="eastAsia" w:eastAsia="宋体"/>
                      <w:color w:val="auto"/>
                      <w:szCs w:val="21"/>
                      <w:lang w:val="en-US" w:eastAsia="zh-CN"/>
                    </w:rPr>
                    <w:t>现有</w:t>
                  </w:r>
                  <w:r>
                    <w:rPr>
                      <w:rFonts w:hint="eastAsia" w:eastAsia="宋体"/>
                      <w:color w:val="auto"/>
                      <w:szCs w:val="21"/>
                      <w:lang w:eastAsia="zh-CN"/>
                    </w:rPr>
                    <w:t>项目</w:t>
                  </w:r>
                  <w:r>
                    <w:rPr>
                      <w:rFonts w:hint="eastAsia" w:ascii="Times New Roman" w:hAnsi="Times New Roman" w:eastAsia="宋体" w:cs="Times New Roman"/>
                      <w:color w:val="auto"/>
                      <w:kern w:val="2"/>
                      <w:sz w:val="21"/>
                      <w:szCs w:val="21"/>
                      <w:lang w:val="en-US" w:eastAsia="zh-CN" w:bidi="ar-SA"/>
                    </w:rPr>
                    <w:t>不涉及</w:t>
                  </w:r>
                  <w:r>
                    <w:rPr>
                      <w:rFonts w:hint="eastAsia" w:cs="Times New Roman"/>
                      <w:color w:val="auto"/>
                      <w:kern w:val="2"/>
                      <w:sz w:val="21"/>
                      <w:szCs w:val="21"/>
                      <w:lang w:val="en-US" w:eastAsia="zh-CN" w:bidi="ar-SA"/>
                    </w:rPr>
                    <w:t>溶剂型涂装废气。</w:t>
                  </w:r>
                </w:p>
              </w:tc>
              <w:tc>
                <w:tcPr>
                  <w:tcW w:w="365" w:type="pct"/>
                  <w:vAlign w:val="center"/>
                </w:tcPr>
                <w:p w14:paraId="456B6222">
                  <w:pPr>
                    <w:jc w:val="center"/>
                    <w:rPr>
                      <w:color w:val="auto"/>
                      <w:szCs w:val="21"/>
                    </w:rPr>
                  </w:pPr>
                  <w:r>
                    <w:rPr>
                      <w:rFonts w:hint="eastAsia"/>
                      <w:color w:val="auto"/>
                      <w:szCs w:val="21"/>
                    </w:rPr>
                    <w:t>符合</w:t>
                  </w:r>
                </w:p>
              </w:tc>
            </w:tr>
            <w:tr w14:paraId="2F1B1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0C98BDA9">
                  <w:pPr>
                    <w:jc w:val="center"/>
                    <w:rPr>
                      <w:color w:val="auto"/>
                      <w:szCs w:val="21"/>
                    </w:rPr>
                  </w:pPr>
                </w:p>
              </w:tc>
              <w:tc>
                <w:tcPr>
                  <w:tcW w:w="291" w:type="pct"/>
                  <w:vAlign w:val="center"/>
                </w:tcPr>
                <w:p w14:paraId="7EFEB32A">
                  <w:pPr>
                    <w:jc w:val="center"/>
                    <w:rPr>
                      <w:color w:val="auto"/>
                      <w:szCs w:val="21"/>
                    </w:rPr>
                  </w:pPr>
                  <w:r>
                    <w:rPr>
                      <w:rFonts w:hint="eastAsia"/>
                      <w:color w:val="auto"/>
                      <w:szCs w:val="21"/>
                    </w:rPr>
                    <w:t>18</w:t>
                  </w:r>
                </w:p>
              </w:tc>
              <w:tc>
                <w:tcPr>
                  <w:tcW w:w="2504" w:type="pct"/>
                  <w:vAlign w:val="center"/>
                </w:tcPr>
                <w:p w14:paraId="3AE348E6">
                  <w:pPr>
                    <w:jc w:val="center"/>
                    <w:rPr>
                      <w:color w:val="auto"/>
                      <w:szCs w:val="21"/>
                    </w:rPr>
                  </w:pPr>
                  <w:r>
                    <w:rPr>
                      <w:rFonts w:hint="eastAsia"/>
                      <w:color w:val="auto"/>
                      <w:szCs w:val="21"/>
                    </w:rPr>
                    <w:t>木加工及打磨粉尘废气应采用滤筒、布袋等高效除尘工艺处理后达标排放。</w:t>
                  </w:r>
                </w:p>
              </w:tc>
              <w:tc>
                <w:tcPr>
                  <w:tcW w:w="1487" w:type="pct"/>
                  <w:vAlign w:val="center"/>
                </w:tcPr>
                <w:p w14:paraId="21B63CE7">
                  <w:pPr>
                    <w:jc w:val="center"/>
                    <w:rPr>
                      <w:color w:val="auto"/>
                      <w:szCs w:val="21"/>
                    </w:rPr>
                  </w:pPr>
                  <w:r>
                    <w:rPr>
                      <w:rFonts w:hint="eastAsia" w:eastAsia="宋体"/>
                      <w:color w:val="auto"/>
                      <w:szCs w:val="21"/>
                      <w:lang w:val="en-US" w:eastAsia="zh-CN"/>
                    </w:rPr>
                    <w:t>现有</w:t>
                  </w:r>
                  <w:r>
                    <w:rPr>
                      <w:rFonts w:hint="eastAsia" w:eastAsia="宋体"/>
                      <w:color w:val="auto"/>
                      <w:szCs w:val="21"/>
                      <w:lang w:eastAsia="zh-CN"/>
                    </w:rPr>
                    <w:t>项目</w:t>
                  </w:r>
                  <w:r>
                    <w:rPr>
                      <w:rFonts w:hint="eastAsia"/>
                      <w:color w:val="auto"/>
                      <w:szCs w:val="21"/>
                    </w:rPr>
                    <w:t>不涉及</w:t>
                  </w:r>
                </w:p>
              </w:tc>
              <w:tc>
                <w:tcPr>
                  <w:tcW w:w="365" w:type="pct"/>
                  <w:vAlign w:val="center"/>
                </w:tcPr>
                <w:p w14:paraId="524A8BF4">
                  <w:pPr>
                    <w:jc w:val="center"/>
                    <w:rPr>
                      <w:color w:val="auto"/>
                      <w:szCs w:val="21"/>
                    </w:rPr>
                  </w:pPr>
                  <w:r>
                    <w:rPr>
                      <w:rFonts w:hint="eastAsia"/>
                      <w:color w:val="auto"/>
                      <w:szCs w:val="21"/>
                    </w:rPr>
                    <w:t>符合</w:t>
                  </w:r>
                </w:p>
              </w:tc>
            </w:tr>
            <w:tr w14:paraId="6FE33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6CC861CF">
                  <w:pPr>
                    <w:jc w:val="center"/>
                    <w:rPr>
                      <w:color w:val="auto"/>
                      <w:szCs w:val="21"/>
                    </w:rPr>
                  </w:pPr>
                </w:p>
              </w:tc>
              <w:tc>
                <w:tcPr>
                  <w:tcW w:w="291" w:type="pct"/>
                  <w:vAlign w:val="center"/>
                </w:tcPr>
                <w:p w14:paraId="0DD27F5B">
                  <w:pPr>
                    <w:jc w:val="center"/>
                    <w:rPr>
                      <w:color w:val="auto"/>
                      <w:szCs w:val="21"/>
                    </w:rPr>
                  </w:pPr>
                  <w:r>
                    <w:rPr>
                      <w:rFonts w:hint="eastAsia"/>
                      <w:color w:val="auto"/>
                      <w:szCs w:val="21"/>
                    </w:rPr>
                    <w:t>19</w:t>
                  </w:r>
                </w:p>
              </w:tc>
              <w:tc>
                <w:tcPr>
                  <w:tcW w:w="2504" w:type="pct"/>
                  <w:vAlign w:val="center"/>
                </w:tcPr>
                <w:p w14:paraId="5E65C546">
                  <w:pPr>
                    <w:jc w:val="center"/>
                    <w:rPr>
                      <w:color w:val="auto"/>
                      <w:szCs w:val="21"/>
                    </w:rPr>
                  </w:pPr>
                  <w:r>
                    <w:rPr>
                      <w:rFonts w:hint="eastAsia"/>
                      <w:color w:val="auto"/>
                      <w:szCs w:val="21"/>
                    </w:rPr>
                    <w:t>经处理后排放的废气应满足《大气污染物综合排放标准》（GB16297-1996）、《恶臭污染物排放标准》（GB14554-93）中 15 米排气筒有组织排放要求和厂界要求，其中臭气浓度应不高于 1000（无量纲）。涂装工序产生的废气经处理后应满足浙江省地方标准《工业涂装工序大气污染物排放标准》（DB33/2146-2018）中的特别排放限值要求。</w:t>
                  </w:r>
                </w:p>
              </w:tc>
              <w:tc>
                <w:tcPr>
                  <w:tcW w:w="1487" w:type="pct"/>
                  <w:vAlign w:val="center"/>
                </w:tcPr>
                <w:p w14:paraId="373CDDAA">
                  <w:pPr>
                    <w:ind w:firstLine="420" w:firstLineChars="200"/>
                    <w:jc w:val="both"/>
                    <w:rPr>
                      <w:rFonts w:hint="eastAsia" w:eastAsia="宋体"/>
                      <w:color w:val="auto"/>
                      <w:szCs w:val="21"/>
                      <w:lang w:eastAsia="zh-CN"/>
                    </w:rPr>
                  </w:pPr>
                  <w:r>
                    <w:rPr>
                      <w:rFonts w:hint="eastAsia" w:eastAsia="宋体"/>
                      <w:color w:val="auto"/>
                      <w:szCs w:val="21"/>
                      <w:lang w:val="en-US" w:eastAsia="zh-CN"/>
                    </w:rPr>
                    <w:t>现有</w:t>
                  </w:r>
                  <w:r>
                    <w:rPr>
                      <w:rFonts w:hint="eastAsia" w:eastAsia="宋体"/>
                      <w:color w:val="auto"/>
                      <w:szCs w:val="21"/>
                      <w:lang w:eastAsia="zh-CN"/>
                    </w:rPr>
                    <w:t>项目</w:t>
                  </w:r>
                  <w:r>
                    <w:rPr>
                      <w:rFonts w:hint="eastAsia"/>
                      <w:color w:val="auto"/>
                      <w:szCs w:val="21"/>
                    </w:rPr>
                    <w:t>符合相关要求</w:t>
                  </w:r>
                  <w:r>
                    <w:rPr>
                      <w:rFonts w:hint="eastAsia"/>
                      <w:color w:val="auto"/>
                      <w:szCs w:val="21"/>
                      <w:lang w:eastAsia="zh-CN"/>
                    </w:rPr>
                    <w:t>。</w:t>
                  </w:r>
                </w:p>
              </w:tc>
              <w:tc>
                <w:tcPr>
                  <w:tcW w:w="365" w:type="pct"/>
                  <w:vAlign w:val="center"/>
                </w:tcPr>
                <w:p w14:paraId="366ED9C2">
                  <w:pPr>
                    <w:jc w:val="center"/>
                    <w:rPr>
                      <w:color w:val="auto"/>
                      <w:szCs w:val="21"/>
                    </w:rPr>
                  </w:pPr>
                  <w:r>
                    <w:rPr>
                      <w:rFonts w:hint="eastAsia"/>
                      <w:color w:val="auto"/>
                      <w:szCs w:val="21"/>
                    </w:rPr>
                    <w:t>符合</w:t>
                  </w:r>
                </w:p>
              </w:tc>
            </w:tr>
            <w:tr w14:paraId="18D21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1E053743">
                  <w:pPr>
                    <w:jc w:val="center"/>
                    <w:rPr>
                      <w:color w:val="auto"/>
                      <w:szCs w:val="21"/>
                    </w:rPr>
                  </w:pPr>
                </w:p>
              </w:tc>
              <w:tc>
                <w:tcPr>
                  <w:tcW w:w="291" w:type="pct"/>
                  <w:vAlign w:val="center"/>
                </w:tcPr>
                <w:p w14:paraId="282C6859">
                  <w:pPr>
                    <w:jc w:val="center"/>
                    <w:rPr>
                      <w:color w:val="auto"/>
                      <w:szCs w:val="21"/>
                    </w:rPr>
                  </w:pPr>
                  <w:r>
                    <w:rPr>
                      <w:rFonts w:hint="eastAsia"/>
                      <w:color w:val="auto"/>
                      <w:szCs w:val="21"/>
                    </w:rPr>
                    <w:t>20</w:t>
                  </w:r>
                </w:p>
              </w:tc>
              <w:tc>
                <w:tcPr>
                  <w:tcW w:w="2504" w:type="pct"/>
                </w:tcPr>
                <w:p w14:paraId="08E7E6D0">
                  <w:pPr>
                    <w:rPr>
                      <w:color w:val="auto"/>
                      <w:szCs w:val="21"/>
                    </w:rPr>
                  </w:pPr>
                  <w:r>
                    <w:rPr>
                      <w:rFonts w:hint="eastAsia"/>
                      <w:color w:val="auto"/>
                      <w:szCs w:val="21"/>
                    </w:rPr>
                    <w:t>废气处理设施配套安装独立电表，安装用电全过程监控并与属地生态环境部门联网。</w:t>
                  </w:r>
                </w:p>
              </w:tc>
              <w:tc>
                <w:tcPr>
                  <w:tcW w:w="1487" w:type="pct"/>
                  <w:vAlign w:val="center"/>
                </w:tcPr>
                <w:p w14:paraId="11D8196F">
                  <w:pPr>
                    <w:ind w:firstLine="420" w:firstLineChars="200"/>
                    <w:jc w:val="both"/>
                    <w:rPr>
                      <w:color w:val="auto"/>
                      <w:szCs w:val="21"/>
                    </w:rPr>
                  </w:pPr>
                  <w:r>
                    <w:rPr>
                      <w:rFonts w:hint="eastAsia" w:eastAsia="宋体"/>
                      <w:color w:val="auto"/>
                      <w:szCs w:val="21"/>
                      <w:lang w:val="en-US" w:eastAsia="zh-CN"/>
                    </w:rPr>
                    <w:t>企业已</w:t>
                  </w:r>
                  <w:r>
                    <w:rPr>
                      <w:rFonts w:hint="eastAsia" w:ascii="Times New Roman" w:hAnsi="Times New Roman" w:eastAsia="宋体" w:cs="Times New Roman"/>
                      <w:color w:val="auto"/>
                      <w:szCs w:val="21"/>
                      <w:lang w:eastAsia="zh-CN"/>
                    </w:rPr>
                    <w:t>针对</w:t>
                  </w:r>
                  <w:r>
                    <w:rPr>
                      <w:rFonts w:hint="eastAsia" w:ascii="Times New Roman" w:hAnsi="Times New Roman" w:eastAsia="宋体" w:cs="Times New Roman"/>
                      <w:color w:val="auto"/>
                      <w:szCs w:val="21"/>
                    </w:rPr>
                    <w:t>废气处理设施配套安装独立电表</w:t>
                  </w:r>
                  <w:r>
                    <w:rPr>
                      <w:rFonts w:hint="eastAsia" w:ascii="Times New Roman" w:hAnsi="Times New Roman" w:eastAsia="宋体" w:cs="Times New Roman"/>
                      <w:color w:val="auto"/>
                      <w:szCs w:val="21"/>
                      <w:lang w:eastAsia="zh-CN"/>
                    </w:rPr>
                    <w:t>。</w:t>
                  </w:r>
                </w:p>
              </w:tc>
              <w:tc>
                <w:tcPr>
                  <w:tcW w:w="365" w:type="pct"/>
                  <w:vAlign w:val="center"/>
                </w:tcPr>
                <w:p w14:paraId="5EAC0A0C">
                  <w:pPr>
                    <w:jc w:val="center"/>
                    <w:rPr>
                      <w:color w:val="auto"/>
                      <w:szCs w:val="21"/>
                    </w:rPr>
                  </w:pPr>
                  <w:r>
                    <w:rPr>
                      <w:rFonts w:hint="eastAsia"/>
                      <w:color w:val="auto"/>
                      <w:szCs w:val="21"/>
                    </w:rPr>
                    <w:t>符合</w:t>
                  </w:r>
                </w:p>
              </w:tc>
            </w:tr>
            <w:tr w14:paraId="1A018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restart"/>
                  <w:vAlign w:val="center"/>
                </w:tcPr>
                <w:p w14:paraId="4BABAAD4">
                  <w:pPr>
                    <w:jc w:val="center"/>
                    <w:rPr>
                      <w:color w:val="auto"/>
                      <w:szCs w:val="21"/>
                    </w:rPr>
                  </w:pPr>
                  <w:r>
                    <w:rPr>
                      <w:rFonts w:hint="eastAsia"/>
                      <w:color w:val="auto"/>
                      <w:szCs w:val="21"/>
                    </w:rPr>
                    <w:t>加强日常管理</w:t>
                  </w:r>
                </w:p>
              </w:tc>
              <w:tc>
                <w:tcPr>
                  <w:tcW w:w="291" w:type="pct"/>
                  <w:vAlign w:val="center"/>
                </w:tcPr>
                <w:p w14:paraId="6EFD28B6">
                  <w:pPr>
                    <w:jc w:val="center"/>
                    <w:rPr>
                      <w:color w:val="auto"/>
                      <w:szCs w:val="21"/>
                    </w:rPr>
                  </w:pPr>
                  <w:r>
                    <w:rPr>
                      <w:rFonts w:hint="eastAsia"/>
                      <w:color w:val="auto"/>
                      <w:szCs w:val="21"/>
                    </w:rPr>
                    <w:t>21</w:t>
                  </w:r>
                </w:p>
              </w:tc>
              <w:tc>
                <w:tcPr>
                  <w:tcW w:w="2504" w:type="pct"/>
                  <w:vAlign w:val="center"/>
                </w:tcPr>
                <w:p w14:paraId="1369D4B4">
                  <w:pPr>
                    <w:jc w:val="center"/>
                    <w:rPr>
                      <w:color w:val="auto"/>
                      <w:szCs w:val="21"/>
                    </w:rPr>
                  </w:pPr>
                  <w:r>
                    <w:rPr>
                      <w:rFonts w:hint="eastAsia"/>
                      <w:color w:val="auto"/>
                      <w:szCs w:val="21"/>
                    </w:rPr>
                    <w:t>设计含 VOCs 原辅材料使用、设施运行管理、设施维护保养等管理台账，相关人员按实进行填写备查。定期更换干式过滤材料；定期更换水喷淋塔的循环液，原则上更换周期不低于 2 次/周；定期清理低温等离子体等处理设施，原则上清理频率不低于 1 次/月；定期更换紫外灯管、吸附剂、催化剂等耗材。</w:t>
                  </w:r>
                </w:p>
              </w:tc>
              <w:tc>
                <w:tcPr>
                  <w:tcW w:w="1487" w:type="pct"/>
                  <w:vAlign w:val="center"/>
                </w:tcPr>
                <w:p w14:paraId="483E2EDE">
                  <w:pPr>
                    <w:ind w:firstLine="420" w:firstLineChars="200"/>
                    <w:jc w:val="both"/>
                    <w:rPr>
                      <w:rFonts w:hint="eastAsia" w:eastAsia="宋体"/>
                      <w:color w:val="auto"/>
                      <w:szCs w:val="21"/>
                      <w:lang w:val="en-US" w:eastAsia="zh-CN"/>
                    </w:rPr>
                  </w:pPr>
                  <w:r>
                    <w:rPr>
                      <w:rFonts w:hint="eastAsia" w:eastAsia="宋体"/>
                      <w:color w:val="auto"/>
                      <w:szCs w:val="21"/>
                      <w:lang w:val="en-US" w:eastAsia="zh-CN"/>
                    </w:rPr>
                    <w:t>企业已</w:t>
                  </w:r>
                  <w:r>
                    <w:rPr>
                      <w:rFonts w:hint="eastAsia"/>
                      <w:color w:val="auto"/>
                      <w:szCs w:val="21"/>
                    </w:rPr>
                    <w:t>建立相关环保制度</w:t>
                  </w:r>
                  <w:r>
                    <w:rPr>
                      <w:rFonts w:hint="eastAsia"/>
                      <w:color w:val="auto"/>
                      <w:szCs w:val="21"/>
                      <w:lang w:eastAsia="zh-CN"/>
                    </w:rPr>
                    <w:t>。</w:t>
                  </w:r>
                </w:p>
              </w:tc>
              <w:tc>
                <w:tcPr>
                  <w:tcW w:w="365" w:type="pct"/>
                  <w:vAlign w:val="center"/>
                </w:tcPr>
                <w:p w14:paraId="25F5AAD2">
                  <w:pPr>
                    <w:jc w:val="center"/>
                    <w:rPr>
                      <w:color w:val="auto"/>
                      <w:szCs w:val="21"/>
                    </w:rPr>
                  </w:pPr>
                  <w:r>
                    <w:rPr>
                      <w:rFonts w:hint="eastAsia"/>
                      <w:color w:val="auto"/>
                      <w:szCs w:val="21"/>
                    </w:rPr>
                    <w:t>符合</w:t>
                  </w:r>
                </w:p>
              </w:tc>
            </w:tr>
            <w:tr w14:paraId="7DB55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0612D13F">
                  <w:pPr>
                    <w:jc w:val="center"/>
                    <w:rPr>
                      <w:color w:val="auto"/>
                      <w:szCs w:val="21"/>
                    </w:rPr>
                  </w:pPr>
                </w:p>
              </w:tc>
              <w:tc>
                <w:tcPr>
                  <w:tcW w:w="291" w:type="pct"/>
                  <w:vAlign w:val="center"/>
                </w:tcPr>
                <w:p w14:paraId="0D6FA379">
                  <w:pPr>
                    <w:jc w:val="center"/>
                    <w:rPr>
                      <w:color w:val="auto"/>
                      <w:szCs w:val="21"/>
                    </w:rPr>
                  </w:pPr>
                  <w:r>
                    <w:rPr>
                      <w:rFonts w:hint="eastAsia"/>
                      <w:color w:val="auto"/>
                      <w:szCs w:val="21"/>
                    </w:rPr>
                    <w:t>22</w:t>
                  </w:r>
                </w:p>
              </w:tc>
              <w:tc>
                <w:tcPr>
                  <w:tcW w:w="2504" w:type="pct"/>
                  <w:vAlign w:val="center"/>
                </w:tcPr>
                <w:p w14:paraId="319D0965">
                  <w:pPr>
                    <w:jc w:val="center"/>
                    <w:rPr>
                      <w:color w:val="auto"/>
                      <w:szCs w:val="21"/>
                    </w:rPr>
                  </w:pPr>
                  <w:r>
                    <w:rPr>
                      <w:rFonts w:hint="eastAsia"/>
                      <w:color w:val="auto"/>
                      <w:szCs w:val="21"/>
                    </w:rPr>
                    <w:t>定期委托有资质的第三方进行监测，已申领新版排污许可证的按许可证要求执行，未申领的每年监测不少于 1次。监测要求有：对每套废气处理设施的进出口和厂界进行监测；每个采样点监测 2 个周期，每个周期 3 个样品；建议监测特征因子、非甲烷总烃和臭气浓度。</w:t>
                  </w:r>
                </w:p>
              </w:tc>
              <w:tc>
                <w:tcPr>
                  <w:tcW w:w="1487" w:type="pct"/>
                  <w:vAlign w:val="center"/>
                </w:tcPr>
                <w:p w14:paraId="6303F578">
                  <w:pPr>
                    <w:ind w:firstLine="420" w:firstLineChars="200"/>
                    <w:jc w:val="both"/>
                    <w:rPr>
                      <w:rFonts w:hint="eastAsia" w:eastAsia="宋体"/>
                      <w:color w:val="auto"/>
                      <w:szCs w:val="21"/>
                      <w:lang w:eastAsia="zh-CN"/>
                    </w:rPr>
                  </w:pPr>
                  <w:r>
                    <w:rPr>
                      <w:rFonts w:hint="eastAsia" w:eastAsia="宋体"/>
                      <w:color w:val="auto"/>
                      <w:szCs w:val="21"/>
                      <w:lang w:val="en-US" w:eastAsia="zh-CN"/>
                    </w:rPr>
                    <w:t>企业已</w:t>
                  </w:r>
                  <w:r>
                    <w:rPr>
                      <w:rFonts w:hint="eastAsia"/>
                      <w:color w:val="auto"/>
                      <w:szCs w:val="21"/>
                    </w:rPr>
                    <w:t>落实监测制度</w:t>
                  </w:r>
                  <w:r>
                    <w:rPr>
                      <w:rFonts w:hint="eastAsia"/>
                      <w:color w:val="auto"/>
                      <w:szCs w:val="21"/>
                      <w:lang w:eastAsia="zh-CN"/>
                    </w:rPr>
                    <w:t>。</w:t>
                  </w:r>
                </w:p>
              </w:tc>
              <w:tc>
                <w:tcPr>
                  <w:tcW w:w="365" w:type="pct"/>
                  <w:vAlign w:val="center"/>
                </w:tcPr>
                <w:p w14:paraId="2AC30D09">
                  <w:pPr>
                    <w:jc w:val="center"/>
                    <w:rPr>
                      <w:color w:val="auto"/>
                      <w:szCs w:val="21"/>
                    </w:rPr>
                  </w:pPr>
                  <w:r>
                    <w:rPr>
                      <w:rFonts w:hint="eastAsia"/>
                      <w:color w:val="auto"/>
                      <w:szCs w:val="21"/>
                    </w:rPr>
                    <w:t>符合</w:t>
                  </w:r>
                </w:p>
              </w:tc>
            </w:tr>
            <w:tr w14:paraId="26B24D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17332FF0">
                  <w:pPr>
                    <w:jc w:val="center"/>
                    <w:rPr>
                      <w:color w:val="auto"/>
                      <w:szCs w:val="21"/>
                    </w:rPr>
                  </w:pPr>
                </w:p>
              </w:tc>
              <w:tc>
                <w:tcPr>
                  <w:tcW w:w="291" w:type="pct"/>
                  <w:vAlign w:val="center"/>
                </w:tcPr>
                <w:p w14:paraId="46B878F5">
                  <w:pPr>
                    <w:jc w:val="center"/>
                    <w:rPr>
                      <w:color w:val="auto"/>
                      <w:szCs w:val="21"/>
                    </w:rPr>
                  </w:pPr>
                  <w:r>
                    <w:rPr>
                      <w:rFonts w:hint="eastAsia"/>
                      <w:color w:val="auto"/>
                      <w:szCs w:val="21"/>
                    </w:rPr>
                    <w:t>23</w:t>
                  </w:r>
                </w:p>
              </w:tc>
              <w:tc>
                <w:tcPr>
                  <w:tcW w:w="2504" w:type="pct"/>
                  <w:vAlign w:val="center"/>
                </w:tcPr>
                <w:p w14:paraId="42D98060">
                  <w:pPr>
                    <w:jc w:val="center"/>
                    <w:rPr>
                      <w:color w:val="auto"/>
                      <w:szCs w:val="21"/>
                    </w:rPr>
                  </w:pPr>
                  <w:r>
                    <w:rPr>
                      <w:rFonts w:hint="eastAsia"/>
                      <w:color w:val="auto"/>
                      <w:szCs w:val="21"/>
                    </w:rPr>
                    <w:t>进一步加强企业固废管理，生产过程中产生的各类固体废弃物应集中收集、分类存放并规范处置，企业必须规范设置固废及危废暂存库，暂存场所必须采取防渗防雨防漏措施。生产过程中的废胶水桶、漆渣、更换的活性炭等危险废物，必须按照危险废物规范管理要求妥善处置，严禁随意倾倒或焚烧。建立固废管理制度和台账，强化企业内部管理。</w:t>
                  </w:r>
                </w:p>
              </w:tc>
              <w:tc>
                <w:tcPr>
                  <w:tcW w:w="1487" w:type="pct"/>
                  <w:vAlign w:val="center"/>
                </w:tcPr>
                <w:p w14:paraId="2A6E80A6">
                  <w:pPr>
                    <w:ind w:firstLine="420" w:firstLineChars="200"/>
                    <w:jc w:val="both"/>
                    <w:rPr>
                      <w:rFonts w:hint="eastAsia" w:eastAsia="宋体"/>
                      <w:color w:val="auto"/>
                      <w:szCs w:val="21"/>
                      <w:lang w:eastAsia="zh-CN"/>
                    </w:rPr>
                  </w:pPr>
                  <w:r>
                    <w:rPr>
                      <w:rFonts w:hint="eastAsia"/>
                      <w:color w:val="auto"/>
                      <w:szCs w:val="21"/>
                    </w:rPr>
                    <w:t>企业</w:t>
                  </w:r>
                  <w:r>
                    <w:rPr>
                      <w:rFonts w:hint="eastAsia"/>
                      <w:color w:val="auto"/>
                      <w:szCs w:val="21"/>
                      <w:lang w:val="en-US" w:eastAsia="zh-CN"/>
                    </w:rPr>
                    <w:t>已</w:t>
                  </w:r>
                  <w:r>
                    <w:rPr>
                      <w:rFonts w:hint="eastAsia"/>
                      <w:color w:val="auto"/>
                      <w:szCs w:val="21"/>
                    </w:rPr>
                    <w:t>建设危废仓库并落实固废管理制度</w:t>
                  </w:r>
                  <w:r>
                    <w:rPr>
                      <w:rFonts w:hint="eastAsia"/>
                      <w:color w:val="auto"/>
                      <w:szCs w:val="21"/>
                      <w:lang w:eastAsia="zh-CN"/>
                    </w:rPr>
                    <w:t>。</w:t>
                  </w:r>
                </w:p>
              </w:tc>
              <w:tc>
                <w:tcPr>
                  <w:tcW w:w="365" w:type="pct"/>
                  <w:vAlign w:val="center"/>
                </w:tcPr>
                <w:p w14:paraId="7F3DC759">
                  <w:pPr>
                    <w:jc w:val="center"/>
                    <w:rPr>
                      <w:color w:val="auto"/>
                      <w:szCs w:val="21"/>
                    </w:rPr>
                  </w:pPr>
                  <w:r>
                    <w:rPr>
                      <w:rFonts w:hint="eastAsia"/>
                      <w:color w:val="auto"/>
                      <w:szCs w:val="21"/>
                    </w:rPr>
                    <w:t>符合</w:t>
                  </w:r>
                </w:p>
              </w:tc>
            </w:tr>
            <w:tr w14:paraId="631ED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3EED546A">
                  <w:pPr>
                    <w:jc w:val="center"/>
                    <w:rPr>
                      <w:color w:val="auto"/>
                      <w:szCs w:val="21"/>
                    </w:rPr>
                  </w:pPr>
                </w:p>
              </w:tc>
              <w:tc>
                <w:tcPr>
                  <w:tcW w:w="291" w:type="pct"/>
                  <w:vAlign w:val="center"/>
                </w:tcPr>
                <w:p w14:paraId="2F484152">
                  <w:pPr>
                    <w:jc w:val="center"/>
                    <w:rPr>
                      <w:color w:val="auto"/>
                      <w:szCs w:val="21"/>
                    </w:rPr>
                  </w:pPr>
                  <w:r>
                    <w:rPr>
                      <w:rFonts w:hint="eastAsia"/>
                      <w:color w:val="auto"/>
                      <w:szCs w:val="21"/>
                    </w:rPr>
                    <w:t>24</w:t>
                  </w:r>
                </w:p>
              </w:tc>
              <w:tc>
                <w:tcPr>
                  <w:tcW w:w="2504" w:type="pct"/>
                  <w:vAlign w:val="center"/>
                </w:tcPr>
                <w:p w14:paraId="149FA508">
                  <w:pPr>
                    <w:jc w:val="center"/>
                    <w:rPr>
                      <w:color w:val="auto"/>
                      <w:szCs w:val="21"/>
                    </w:rPr>
                  </w:pPr>
                  <w:r>
                    <w:rPr>
                      <w:rFonts w:hint="eastAsia"/>
                      <w:color w:val="auto"/>
                      <w:szCs w:val="21"/>
                    </w:rPr>
                    <w:t>设计含 VOCs原辅材料使用、设施运行管理、设施维护保养等管理台账，相关人员按实进行填写备查。</w:t>
                  </w:r>
                </w:p>
              </w:tc>
              <w:tc>
                <w:tcPr>
                  <w:tcW w:w="1487" w:type="pct"/>
                  <w:vAlign w:val="center"/>
                </w:tcPr>
                <w:p w14:paraId="6EC50F59">
                  <w:pPr>
                    <w:ind w:firstLine="420" w:firstLineChars="200"/>
                    <w:jc w:val="both"/>
                    <w:rPr>
                      <w:rFonts w:hint="eastAsia" w:eastAsia="宋体"/>
                      <w:color w:val="auto"/>
                      <w:szCs w:val="21"/>
                      <w:lang w:eastAsia="zh-CN"/>
                    </w:rPr>
                  </w:pPr>
                  <w:r>
                    <w:rPr>
                      <w:rFonts w:hint="eastAsia"/>
                      <w:color w:val="auto"/>
                      <w:szCs w:val="21"/>
                    </w:rPr>
                    <w:t>企业</w:t>
                  </w:r>
                  <w:r>
                    <w:rPr>
                      <w:rFonts w:hint="eastAsia"/>
                      <w:color w:val="auto"/>
                      <w:szCs w:val="21"/>
                      <w:lang w:val="en-US" w:eastAsia="zh-CN"/>
                    </w:rPr>
                    <w:t>已</w:t>
                  </w:r>
                  <w:r>
                    <w:rPr>
                      <w:rFonts w:hint="eastAsia"/>
                      <w:color w:val="auto"/>
                      <w:szCs w:val="21"/>
                    </w:rPr>
                    <w:t>按要求建立相关台账</w:t>
                  </w:r>
                  <w:r>
                    <w:rPr>
                      <w:rFonts w:hint="eastAsia"/>
                      <w:color w:val="auto"/>
                      <w:szCs w:val="21"/>
                      <w:lang w:eastAsia="zh-CN"/>
                    </w:rPr>
                    <w:t>。</w:t>
                  </w:r>
                </w:p>
              </w:tc>
              <w:tc>
                <w:tcPr>
                  <w:tcW w:w="365" w:type="pct"/>
                  <w:vAlign w:val="center"/>
                </w:tcPr>
                <w:p w14:paraId="71F05B49">
                  <w:pPr>
                    <w:jc w:val="center"/>
                    <w:rPr>
                      <w:color w:val="auto"/>
                      <w:szCs w:val="21"/>
                    </w:rPr>
                  </w:pPr>
                  <w:r>
                    <w:rPr>
                      <w:rFonts w:hint="eastAsia"/>
                      <w:color w:val="auto"/>
                      <w:szCs w:val="21"/>
                    </w:rPr>
                    <w:t>符合</w:t>
                  </w:r>
                </w:p>
              </w:tc>
            </w:tr>
            <w:tr w14:paraId="12514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52" w:type="pct"/>
                  <w:vMerge w:val="continue"/>
                  <w:vAlign w:val="center"/>
                </w:tcPr>
                <w:p w14:paraId="6FA4FF8B">
                  <w:pPr>
                    <w:jc w:val="center"/>
                    <w:rPr>
                      <w:color w:val="auto"/>
                      <w:szCs w:val="21"/>
                    </w:rPr>
                  </w:pPr>
                </w:p>
              </w:tc>
              <w:tc>
                <w:tcPr>
                  <w:tcW w:w="291" w:type="pct"/>
                  <w:vAlign w:val="center"/>
                </w:tcPr>
                <w:p w14:paraId="6B8C476B">
                  <w:pPr>
                    <w:jc w:val="center"/>
                    <w:rPr>
                      <w:color w:val="auto"/>
                      <w:szCs w:val="21"/>
                    </w:rPr>
                  </w:pPr>
                  <w:r>
                    <w:rPr>
                      <w:rFonts w:hint="eastAsia"/>
                      <w:color w:val="auto"/>
                      <w:szCs w:val="21"/>
                    </w:rPr>
                    <w:t>25</w:t>
                  </w:r>
                </w:p>
              </w:tc>
              <w:tc>
                <w:tcPr>
                  <w:tcW w:w="2504" w:type="pct"/>
                  <w:vAlign w:val="center"/>
                </w:tcPr>
                <w:p w14:paraId="04839E72">
                  <w:pPr>
                    <w:jc w:val="center"/>
                    <w:rPr>
                      <w:color w:val="auto"/>
                      <w:szCs w:val="21"/>
                    </w:rPr>
                  </w:pPr>
                  <w:r>
                    <w:rPr>
                      <w:rFonts w:hint="eastAsia"/>
                      <w:color w:val="auto"/>
                      <w:szCs w:val="21"/>
                    </w:rPr>
                    <w:t>积极消除废气、臭气产生扰民的隐患点，将投诉降到零。</w:t>
                  </w:r>
                </w:p>
              </w:tc>
              <w:tc>
                <w:tcPr>
                  <w:tcW w:w="1487" w:type="pct"/>
                  <w:vAlign w:val="center"/>
                </w:tcPr>
                <w:p w14:paraId="68F4D297">
                  <w:pPr>
                    <w:ind w:firstLine="420" w:firstLineChars="200"/>
                    <w:jc w:val="both"/>
                    <w:rPr>
                      <w:color w:val="auto"/>
                      <w:szCs w:val="21"/>
                    </w:rPr>
                  </w:pPr>
                  <w:r>
                    <w:rPr>
                      <w:rFonts w:hint="eastAsia"/>
                      <w:color w:val="auto"/>
                      <w:szCs w:val="21"/>
                    </w:rPr>
                    <w:t>企业无相关投诉</w:t>
                  </w:r>
                </w:p>
              </w:tc>
              <w:tc>
                <w:tcPr>
                  <w:tcW w:w="365" w:type="pct"/>
                  <w:vAlign w:val="center"/>
                </w:tcPr>
                <w:p w14:paraId="2B9ABD98">
                  <w:pPr>
                    <w:jc w:val="center"/>
                    <w:rPr>
                      <w:color w:val="auto"/>
                      <w:szCs w:val="21"/>
                    </w:rPr>
                  </w:pPr>
                  <w:r>
                    <w:rPr>
                      <w:rFonts w:hint="eastAsia"/>
                      <w:color w:val="auto"/>
                      <w:szCs w:val="21"/>
                    </w:rPr>
                    <w:t>符合</w:t>
                  </w:r>
                </w:p>
              </w:tc>
            </w:tr>
          </w:tbl>
          <w:p w14:paraId="48B24998">
            <w:pPr>
              <w:spacing w:line="440" w:lineRule="exact"/>
              <w:rPr>
                <w:b/>
                <w:bCs/>
                <w:color w:val="auto"/>
                <w:sz w:val="24"/>
              </w:rPr>
            </w:pPr>
            <w:r>
              <w:rPr>
                <w:rFonts w:hint="eastAsia"/>
                <w:b/>
                <w:bCs/>
                <w:color w:val="auto"/>
                <w:sz w:val="24"/>
                <w:lang w:val="en-US" w:eastAsia="zh-CN"/>
              </w:rPr>
              <w:t>2.2.9</w:t>
            </w:r>
            <w:r>
              <w:rPr>
                <w:rFonts w:hint="eastAsia"/>
                <w:b/>
                <w:bCs/>
                <w:color w:val="auto"/>
                <w:sz w:val="24"/>
              </w:rPr>
              <w:t>现有项目存在问题及整改建议</w:t>
            </w:r>
          </w:p>
          <w:p w14:paraId="0EBF4DA8">
            <w:pPr>
              <w:spacing w:line="440" w:lineRule="exact"/>
              <w:ind w:firstLine="480" w:firstLineChars="200"/>
              <w:jc w:val="left"/>
              <w:rPr>
                <w:rFonts w:hint="eastAsia"/>
                <w:color w:val="auto"/>
                <w:sz w:val="24"/>
                <w:lang w:val="en-US" w:eastAsia="zh-CN"/>
              </w:rPr>
            </w:pPr>
            <w:r>
              <w:rPr>
                <w:rFonts w:hint="eastAsia"/>
                <w:color w:val="auto"/>
                <w:sz w:val="24"/>
                <w:lang w:val="en-US" w:eastAsia="zh-CN"/>
              </w:rPr>
              <w:t>根据《</w:t>
            </w:r>
            <w:r>
              <w:rPr>
                <w:rFonts w:hint="eastAsia" w:cs="Times New Roman"/>
                <w:color w:val="auto"/>
                <w:sz w:val="24"/>
                <w:lang w:val="en-US" w:eastAsia="zh-CN"/>
              </w:rPr>
              <w:t>安吉联红五金制品厂年产100万套家具塑料配件、30万套家具金属配件项目</w:t>
            </w:r>
            <w:r>
              <w:rPr>
                <w:rFonts w:hint="eastAsia"/>
                <w:color w:val="auto"/>
                <w:sz w:val="24"/>
                <w:lang w:val="en-US" w:eastAsia="zh-CN"/>
              </w:rPr>
              <w:t>竣工环境保护验收意见》结论如下。</w:t>
            </w:r>
          </w:p>
          <w:p w14:paraId="0A1768E6">
            <w:pPr>
              <w:spacing w:line="440" w:lineRule="exact"/>
              <w:ind w:firstLine="480" w:firstLineChars="200"/>
              <w:jc w:val="left"/>
              <w:rPr>
                <w:rFonts w:hint="eastAsia"/>
                <w:color w:val="auto"/>
                <w:sz w:val="24"/>
                <w:lang w:val="en-US" w:eastAsia="zh-CN"/>
              </w:rPr>
            </w:pPr>
            <w:r>
              <w:rPr>
                <w:rFonts w:hint="eastAsia" w:cs="Times New Roman"/>
                <w:color w:val="auto"/>
                <w:sz w:val="24"/>
                <w:lang w:val="en-US" w:eastAsia="zh-CN"/>
              </w:rPr>
              <w:t>安吉联红五金制品厂年产100万套家具塑料配件、30万套家具金属配件项目</w:t>
            </w:r>
            <w:r>
              <w:rPr>
                <w:rFonts w:hint="eastAsia"/>
                <w:color w:val="auto"/>
                <w:sz w:val="24"/>
                <w:lang w:val="en-US" w:eastAsia="zh-CN"/>
              </w:rPr>
              <w:t>建设环保手续齐全，根据竣工环境保护验收监测报告及环境保护设施现场检查情况，企业已落实各项环境保护设施，符合竣工环境保护验收条件，验收合格。企业后续要求：</w:t>
            </w:r>
          </w:p>
          <w:p w14:paraId="7F22F736">
            <w:pPr>
              <w:spacing w:line="440" w:lineRule="exact"/>
              <w:ind w:firstLine="480" w:firstLineChars="200"/>
              <w:jc w:val="left"/>
              <w:rPr>
                <w:rFonts w:hint="eastAsia"/>
                <w:color w:val="auto"/>
                <w:sz w:val="24"/>
                <w:lang w:val="en-US" w:eastAsia="zh-CN"/>
              </w:rPr>
            </w:pPr>
            <w:r>
              <w:rPr>
                <w:rFonts w:hint="eastAsia"/>
                <w:color w:val="auto"/>
                <w:sz w:val="24"/>
                <w:lang w:val="en-US" w:eastAsia="zh-CN"/>
              </w:rPr>
              <w:t>1、完善危废仓库和一般固废暂存场所的建设；</w:t>
            </w:r>
          </w:p>
          <w:p w14:paraId="6C8CF30B">
            <w:pPr>
              <w:spacing w:line="440" w:lineRule="exact"/>
              <w:ind w:firstLine="480" w:firstLineChars="200"/>
              <w:jc w:val="left"/>
              <w:rPr>
                <w:rFonts w:hint="eastAsia"/>
                <w:color w:val="auto"/>
                <w:sz w:val="24"/>
                <w:lang w:val="en-US" w:eastAsia="zh-CN"/>
              </w:rPr>
            </w:pPr>
            <w:r>
              <w:rPr>
                <w:rFonts w:hint="eastAsia"/>
                <w:color w:val="auto"/>
                <w:sz w:val="24"/>
                <w:lang w:val="en-US" w:eastAsia="zh-CN"/>
              </w:rPr>
              <w:t>2、完善生产设施和各类环保设施的长效运行，完善各类标识标牌，完善企业环保管理制度；</w:t>
            </w:r>
          </w:p>
          <w:p w14:paraId="65F112CD">
            <w:pPr>
              <w:spacing w:line="440" w:lineRule="exact"/>
              <w:ind w:firstLine="480" w:firstLineChars="200"/>
              <w:jc w:val="left"/>
              <w:rPr>
                <w:rFonts w:hint="default" w:eastAsia="宋体"/>
                <w:color w:val="auto"/>
                <w:sz w:val="24"/>
                <w:lang w:val="en-US" w:eastAsia="zh-CN"/>
              </w:rPr>
            </w:pPr>
            <w:r>
              <w:rPr>
                <w:rFonts w:hint="eastAsia"/>
                <w:color w:val="auto"/>
                <w:sz w:val="24"/>
                <w:lang w:val="en-US" w:eastAsia="zh-CN"/>
              </w:rPr>
              <w:t>3、VOC</w:t>
            </w:r>
            <w:r>
              <w:rPr>
                <w:rFonts w:hint="eastAsia"/>
                <w:color w:val="auto"/>
                <w:sz w:val="24"/>
                <w:vertAlign w:val="subscript"/>
                <w:lang w:val="en-US" w:eastAsia="zh-CN"/>
              </w:rPr>
              <w:t>S</w:t>
            </w:r>
            <w:r>
              <w:rPr>
                <w:rFonts w:hint="eastAsia"/>
                <w:color w:val="auto"/>
                <w:sz w:val="24"/>
                <w:lang w:val="en-US" w:eastAsia="zh-CN"/>
              </w:rPr>
              <w:t>废气按照生态环境部门相关要求继续深化整治。</w:t>
            </w:r>
          </w:p>
          <w:p w14:paraId="7B5E2532">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eastAsia="宋体"/>
                <w:b/>
                <w:bCs/>
                <w:color w:val="auto"/>
                <w:sz w:val="24"/>
                <w:lang w:val="en-US" w:eastAsia="zh-CN"/>
              </w:rPr>
            </w:pPr>
            <w:r>
              <w:rPr>
                <w:rFonts w:hint="eastAsia" w:ascii="宋体" w:hAnsi="宋体" w:cs="宋体"/>
                <w:color w:val="auto"/>
                <w:sz w:val="24"/>
                <w:szCs w:val="24"/>
                <w:lang w:val="en-US" w:eastAsia="zh-CN"/>
              </w:rPr>
              <w:t>由于</w:t>
            </w:r>
            <w:r>
              <w:rPr>
                <w:rFonts w:hint="eastAsia" w:ascii="宋体" w:hAnsi="宋体" w:cs="宋体"/>
                <w:color w:val="auto"/>
                <w:sz w:val="24"/>
                <w:szCs w:val="24"/>
                <w:lang w:eastAsia="zh-CN"/>
              </w:rPr>
              <w:t>现有</w:t>
            </w:r>
            <w:r>
              <w:rPr>
                <w:rFonts w:ascii="宋体" w:hAnsi="宋体" w:eastAsia="宋体" w:cs="宋体"/>
                <w:color w:val="auto"/>
                <w:sz w:val="24"/>
                <w:szCs w:val="24"/>
              </w:rPr>
              <w:t>项目</w:t>
            </w:r>
            <w:r>
              <w:rPr>
                <w:rFonts w:hint="eastAsia" w:ascii="宋体" w:hAnsi="宋体" w:cs="宋体"/>
                <w:color w:val="auto"/>
                <w:sz w:val="24"/>
                <w:szCs w:val="24"/>
                <w:lang w:eastAsia="zh-CN"/>
              </w:rPr>
              <w:t>已</w:t>
            </w:r>
            <w:r>
              <w:rPr>
                <w:rFonts w:ascii="宋体" w:hAnsi="宋体" w:eastAsia="宋体" w:cs="宋体"/>
                <w:color w:val="auto"/>
                <w:sz w:val="24"/>
                <w:szCs w:val="24"/>
              </w:rPr>
              <w:t>关停，</w:t>
            </w:r>
            <w:r>
              <w:rPr>
                <w:rFonts w:hint="eastAsia" w:ascii="宋体" w:hAnsi="宋体" w:cs="宋体"/>
                <w:color w:val="auto"/>
                <w:sz w:val="24"/>
                <w:szCs w:val="24"/>
                <w:lang w:eastAsia="zh-CN"/>
              </w:rPr>
              <w:t>不再生产</w:t>
            </w:r>
            <w:r>
              <w:rPr>
                <w:rFonts w:ascii="宋体" w:hAnsi="宋体" w:eastAsia="宋体" w:cs="宋体"/>
                <w:color w:val="auto"/>
                <w:sz w:val="24"/>
                <w:szCs w:val="24"/>
              </w:rPr>
              <w:t>，因此将不再产生废水、废气、固废和设备噪声等环境污染物</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因此无相应整改建议。</w:t>
            </w:r>
          </w:p>
          <w:p w14:paraId="4016C63D">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color w:val="auto"/>
              </w:rPr>
            </w:pPr>
            <w:r>
              <w:rPr>
                <w:rFonts w:hint="eastAsia"/>
                <w:b/>
                <w:bCs/>
                <w:color w:val="auto"/>
                <w:sz w:val="24"/>
                <w:lang w:val="en-US" w:eastAsia="zh-CN"/>
              </w:rPr>
              <w:t xml:space="preserve">2.2.10 </w:t>
            </w:r>
            <w:r>
              <w:rPr>
                <w:rFonts w:hint="eastAsia" w:ascii="Times New Roman" w:hAnsi="Times New Roman" w:eastAsia="宋体" w:cs="Times New Roman"/>
                <w:b/>
                <w:bCs/>
                <w:color w:val="auto"/>
                <w:kern w:val="2"/>
                <w:sz w:val="24"/>
                <w:szCs w:val="24"/>
                <w:lang w:val="en-US" w:eastAsia="zh-CN" w:bidi="ar-SA"/>
              </w:rPr>
              <w:t>现有项目关停后的环境管理要求</w:t>
            </w:r>
          </w:p>
          <w:p w14:paraId="78483B57">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eastAsia="宋体"/>
                <w:color w:val="auto"/>
                <w:lang w:eastAsia="zh-CN"/>
              </w:rPr>
            </w:pPr>
            <w:r>
              <w:rPr>
                <w:rFonts w:ascii="宋体" w:hAnsi="宋体" w:eastAsia="宋体" w:cs="宋体"/>
                <w:color w:val="auto"/>
                <w:sz w:val="24"/>
                <w:szCs w:val="24"/>
              </w:rPr>
              <w:t>企业此次搬迁拟将</w:t>
            </w:r>
            <w:r>
              <w:rPr>
                <w:rFonts w:hint="eastAsia" w:ascii="宋体" w:hAnsi="宋体" w:cs="宋体"/>
                <w:color w:val="auto"/>
                <w:sz w:val="24"/>
                <w:szCs w:val="24"/>
                <w:lang w:eastAsia="zh-CN"/>
              </w:rPr>
              <w:t>现有</w:t>
            </w:r>
            <w:r>
              <w:rPr>
                <w:rFonts w:ascii="宋体" w:hAnsi="宋体" w:eastAsia="宋体" w:cs="宋体"/>
                <w:color w:val="auto"/>
                <w:sz w:val="24"/>
                <w:szCs w:val="24"/>
              </w:rPr>
              <w:t>项目的所有设备及原材料搬至本项目</w:t>
            </w:r>
            <w:r>
              <w:rPr>
                <w:rFonts w:hint="eastAsia" w:ascii="宋体" w:hAnsi="宋体" w:cs="宋体"/>
                <w:color w:val="auto"/>
                <w:sz w:val="24"/>
                <w:szCs w:val="24"/>
                <w:lang w:eastAsia="zh-CN"/>
              </w:rPr>
              <w:t>厂区</w:t>
            </w:r>
            <w:r>
              <w:rPr>
                <w:rFonts w:ascii="宋体" w:hAnsi="宋体" w:eastAsia="宋体" w:cs="宋体"/>
                <w:color w:val="auto"/>
                <w:sz w:val="24"/>
                <w:szCs w:val="24"/>
              </w:rPr>
              <w:t>。</w:t>
            </w:r>
            <w:r>
              <w:rPr>
                <w:rFonts w:hint="eastAsia" w:ascii="宋体" w:hAnsi="宋体" w:cs="宋体"/>
                <w:color w:val="auto"/>
                <w:sz w:val="24"/>
                <w:szCs w:val="24"/>
                <w:lang w:eastAsia="zh-CN"/>
              </w:rPr>
              <w:t>现有</w:t>
            </w:r>
            <w:r>
              <w:rPr>
                <w:rFonts w:ascii="宋体" w:hAnsi="宋体" w:eastAsia="宋体" w:cs="宋体"/>
                <w:color w:val="auto"/>
                <w:sz w:val="24"/>
                <w:szCs w:val="24"/>
              </w:rPr>
              <w:t>项目</w:t>
            </w:r>
            <w:r>
              <w:rPr>
                <w:rFonts w:hint="eastAsia" w:ascii="宋体" w:hAnsi="宋体" w:cs="宋体"/>
                <w:color w:val="auto"/>
                <w:sz w:val="24"/>
                <w:szCs w:val="24"/>
                <w:lang w:eastAsia="zh-CN"/>
              </w:rPr>
              <w:t>已</w:t>
            </w:r>
            <w:r>
              <w:rPr>
                <w:rFonts w:ascii="宋体" w:hAnsi="宋体" w:eastAsia="宋体" w:cs="宋体"/>
                <w:color w:val="auto"/>
                <w:sz w:val="24"/>
                <w:szCs w:val="24"/>
              </w:rPr>
              <w:t>关停，</w:t>
            </w:r>
            <w:r>
              <w:rPr>
                <w:rFonts w:hint="eastAsia" w:ascii="宋体" w:hAnsi="宋体" w:cs="宋体"/>
                <w:color w:val="auto"/>
                <w:sz w:val="24"/>
                <w:szCs w:val="24"/>
                <w:lang w:eastAsia="zh-CN"/>
              </w:rPr>
              <w:t>不再生产</w:t>
            </w:r>
            <w:r>
              <w:rPr>
                <w:rFonts w:ascii="宋体" w:hAnsi="宋体" w:eastAsia="宋体" w:cs="宋体"/>
                <w:color w:val="auto"/>
                <w:sz w:val="24"/>
                <w:szCs w:val="24"/>
              </w:rPr>
              <w:t>，因此将不再产生废水、废气、固废和设备噪声等环境污染物。遗留的固废按照按运营期的要求处理，</w:t>
            </w:r>
            <w:r>
              <w:rPr>
                <w:rFonts w:hint="eastAsia" w:ascii="宋体" w:hAnsi="宋体" w:cs="宋体"/>
                <w:color w:val="auto"/>
                <w:sz w:val="24"/>
                <w:szCs w:val="24"/>
                <w:lang w:eastAsia="zh-CN"/>
              </w:rPr>
              <w:t>现有</w:t>
            </w:r>
            <w:r>
              <w:rPr>
                <w:rFonts w:ascii="宋体" w:hAnsi="宋体" w:eastAsia="宋体" w:cs="宋体"/>
                <w:color w:val="auto"/>
                <w:sz w:val="24"/>
                <w:szCs w:val="24"/>
              </w:rPr>
              <w:t>项目中未产生持久性污染物，污染物不会对地下水和土壤造成影响。采取上述处理方法后，</w:t>
            </w:r>
            <w:r>
              <w:rPr>
                <w:rFonts w:hint="eastAsia" w:ascii="宋体" w:hAnsi="宋体" w:cs="宋体"/>
                <w:color w:val="auto"/>
                <w:sz w:val="24"/>
                <w:szCs w:val="24"/>
                <w:lang w:eastAsia="zh-CN"/>
              </w:rPr>
              <w:t>现有</w:t>
            </w:r>
            <w:r>
              <w:rPr>
                <w:rFonts w:ascii="宋体" w:hAnsi="宋体" w:eastAsia="宋体" w:cs="宋体"/>
                <w:color w:val="auto"/>
                <w:sz w:val="24"/>
                <w:szCs w:val="24"/>
              </w:rPr>
              <w:t>项目关停后对环境基本无影响。</w:t>
            </w:r>
            <w:r>
              <w:rPr>
                <w:rFonts w:hint="eastAsia" w:ascii="宋体" w:hAnsi="宋体" w:cs="宋体"/>
                <w:color w:val="auto"/>
                <w:sz w:val="24"/>
                <w:szCs w:val="24"/>
                <w:lang w:eastAsia="zh-CN"/>
              </w:rPr>
              <w:t>现有厂区所在厂房仍将为工业企业所使用，不改变土地使用性质。</w:t>
            </w:r>
          </w:p>
          <w:p w14:paraId="3B232FED">
            <w:pPr>
              <w:spacing w:line="440" w:lineRule="exact"/>
              <w:rPr>
                <w:rFonts w:hint="eastAsia"/>
                <w:b/>
                <w:bCs/>
                <w:color w:val="auto"/>
                <w:sz w:val="24"/>
                <w:lang w:val="en-US" w:eastAsia="zh-CN"/>
              </w:rPr>
            </w:pPr>
            <w:r>
              <w:rPr>
                <w:rFonts w:hint="eastAsia" w:ascii="宋体" w:hAnsi="宋体" w:eastAsia="宋体" w:cs="宋体"/>
                <w:color w:val="auto"/>
                <w:sz w:val="24"/>
                <w:szCs w:val="24"/>
                <w:lang w:eastAsia="zh-CN"/>
              </w:rPr>
              <w:t>在项目退役期</w:t>
            </w:r>
            <w:r>
              <w:rPr>
                <w:rFonts w:ascii="宋体" w:hAnsi="宋体" w:eastAsia="宋体" w:cs="宋体"/>
                <w:color w:val="auto"/>
                <w:sz w:val="24"/>
                <w:szCs w:val="24"/>
              </w:rPr>
              <w:t>拆除活动污染防治应按照《企业拆除活动污染防治技术规定（试行）》的要求执行</w:t>
            </w:r>
            <w:r>
              <w:rPr>
                <w:rFonts w:hint="eastAsia" w:ascii="宋体" w:hAnsi="宋体" w:cs="宋体"/>
                <w:color w:val="auto"/>
                <w:sz w:val="24"/>
                <w:szCs w:val="24"/>
                <w:lang w:eastAsia="zh-CN"/>
              </w:rPr>
              <w:t>，若</w:t>
            </w:r>
            <w:r>
              <w:rPr>
                <w:rFonts w:ascii="宋体" w:hAnsi="宋体" w:eastAsia="宋体" w:cs="宋体"/>
                <w:color w:val="auto"/>
                <w:sz w:val="24"/>
                <w:szCs w:val="24"/>
              </w:rPr>
              <w:t>场地土壤和地下水污染状况</w:t>
            </w:r>
            <w:r>
              <w:rPr>
                <w:rFonts w:hint="eastAsia" w:ascii="宋体" w:hAnsi="宋体" w:cs="宋体"/>
                <w:color w:val="auto"/>
                <w:sz w:val="24"/>
                <w:szCs w:val="24"/>
                <w:lang w:eastAsia="zh-CN"/>
              </w:rPr>
              <w:t>需进行</w:t>
            </w:r>
            <w:r>
              <w:rPr>
                <w:rFonts w:ascii="宋体" w:hAnsi="宋体" w:eastAsia="宋体" w:cs="宋体"/>
                <w:color w:val="auto"/>
                <w:sz w:val="24"/>
                <w:szCs w:val="24"/>
              </w:rPr>
              <w:t>调查及修复</w:t>
            </w:r>
            <w:r>
              <w:rPr>
                <w:rFonts w:hint="eastAsia" w:ascii="宋体" w:hAnsi="宋体" w:cs="宋体"/>
                <w:color w:val="auto"/>
                <w:sz w:val="24"/>
                <w:szCs w:val="24"/>
                <w:lang w:eastAsia="zh-CN"/>
              </w:rPr>
              <w:t>则</w:t>
            </w:r>
            <w:r>
              <w:rPr>
                <w:rFonts w:ascii="宋体" w:hAnsi="宋体" w:eastAsia="宋体" w:cs="宋体"/>
                <w:color w:val="auto"/>
                <w:sz w:val="24"/>
                <w:szCs w:val="24"/>
              </w:rPr>
              <w:t>按照《污染地块土壤环境管理办法（试行）》等相关要求执行</w:t>
            </w:r>
          </w:p>
          <w:p w14:paraId="589A78FA">
            <w:pPr>
              <w:pStyle w:val="3"/>
              <w:spacing w:line="360" w:lineRule="auto"/>
              <w:rPr>
                <w:rStyle w:val="271"/>
                <w:rFonts w:hint="eastAsia" w:ascii="Times New Roman" w:cs="Times New Roman" w:hAnsiTheme="minorEastAsia" w:eastAsiaTheme="minorEastAsia"/>
                <w:color w:val="auto"/>
                <w:sz w:val="24"/>
                <w:szCs w:val="24"/>
                <w:lang w:eastAsia="zh-CN"/>
              </w:rPr>
            </w:pPr>
          </w:p>
        </w:tc>
      </w:tr>
    </w:tbl>
    <w:p w14:paraId="6E6D75EA">
      <w:pPr>
        <w:pStyle w:val="32"/>
        <w:jc w:val="center"/>
        <w:rPr>
          <w:rFonts w:ascii="Times New Roman" w:hAnsi="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15B28BC">
      <w:pPr>
        <w:pStyle w:val="32"/>
        <w:adjustRightInd w:val="0"/>
        <w:snapToGrid w:val="0"/>
        <w:spacing w:before="0" w:beforeAutospacing="0" w:after="0" w:afterAutospacing="0" w:line="15" w:lineRule="auto"/>
        <w:jc w:val="center"/>
        <w:rPr>
          <w:rFonts w:ascii="Times New Roman" w:hAnsi="Times New Roman"/>
          <w:snapToGrid w:val="0"/>
          <w:color w:val="auto"/>
          <w:sz w:val="30"/>
          <w:szCs w:val="30"/>
        </w:rPr>
      </w:pPr>
    </w:p>
    <w:p w14:paraId="69F6C3A2">
      <w:pPr>
        <w:pStyle w:val="32"/>
        <w:spacing w:before="0" w:beforeAutospacing="0" w:after="0" w:afterAutospacing="0"/>
        <w:jc w:val="center"/>
        <w:outlineLvl w:val="0"/>
        <w:rPr>
          <w:rFonts w:ascii="Times New Roman" w:hAnsi="Times New Roman"/>
          <w:snapToGrid w:val="0"/>
          <w:color w:val="auto"/>
          <w:sz w:val="30"/>
          <w:szCs w:val="30"/>
        </w:rPr>
      </w:pPr>
      <w:bookmarkStart w:id="5" w:name="_Toc15534"/>
      <w:bookmarkStart w:id="6" w:name="_Toc26765"/>
      <w:r>
        <w:rPr>
          <w:rFonts w:ascii="Times New Roman"/>
          <w:snapToGrid w:val="0"/>
          <w:color w:val="auto"/>
          <w:sz w:val="30"/>
          <w:szCs w:val="30"/>
        </w:rPr>
        <w:t>三、区域环境质量现状、环境保护目标及评价标准</w:t>
      </w:r>
      <w:bookmarkEnd w:id="5"/>
      <w:bookmarkEnd w:id="6"/>
    </w:p>
    <w:tbl>
      <w:tblPr>
        <w:tblStyle w:val="37"/>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7"/>
        <w:gridCol w:w="8534"/>
      </w:tblGrid>
      <w:tr w14:paraId="626A9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37" w:type="dxa"/>
            <w:vAlign w:val="center"/>
          </w:tcPr>
          <w:p w14:paraId="27D5EAE3">
            <w:pPr>
              <w:adjustRightInd w:val="0"/>
              <w:snapToGrid w:val="0"/>
              <w:jc w:val="center"/>
              <w:rPr>
                <w:color w:val="auto"/>
                <w:kern w:val="0"/>
                <w:sz w:val="24"/>
              </w:rPr>
            </w:pPr>
            <w:r>
              <w:rPr>
                <w:rFonts w:hAnsi="宋体"/>
                <w:color w:val="auto"/>
                <w:kern w:val="0"/>
                <w:sz w:val="24"/>
              </w:rPr>
              <w:t>区域</w:t>
            </w:r>
          </w:p>
          <w:p w14:paraId="508C299A">
            <w:pPr>
              <w:adjustRightInd w:val="0"/>
              <w:snapToGrid w:val="0"/>
              <w:jc w:val="center"/>
              <w:rPr>
                <w:color w:val="auto"/>
                <w:kern w:val="0"/>
                <w:sz w:val="24"/>
              </w:rPr>
            </w:pPr>
            <w:r>
              <w:rPr>
                <w:rFonts w:hAnsi="宋体"/>
                <w:color w:val="auto"/>
                <w:kern w:val="0"/>
                <w:sz w:val="24"/>
              </w:rPr>
              <w:t>环境</w:t>
            </w:r>
          </w:p>
          <w:p w14:paraId="0EC2A0A1">
            <w:pPr>
              <w:adjustRightInd w:val="0"/>
              <w:snapToGrid w:val="0"/>
              <w:jc w:val="center"/>
              <w:rPr>
                <w:color w:val="auto"/>
                <w:kern w:val="0"/>
                <w:sz w:val="24"/>
              </w:rPr>
            </w:pPr>
            <w:r>
              <w:rPr>
                <w:rFonts w:hAnsi="宋体"/>
                <w:color w:val="auto"/>
                <w:kern w:val="0"/>
                <w:sz w:val="24"/>
              </w:rPr>
              <w:t>质量</w:t>
            </w:r>
          </w:p>
          <w:p w14:paraId="4A23BAD4">
            <w:pPr>
              <w:adjustRightInd w:val="0"/>
              <w:snapToGrid w:val="0"/>
              <w:jc w:val="center"/>
              <w:rPr>
                <w:color w:val="auto"/>
                <w:kern w:val="0"/>
                <w:szCs w:val="21"/>
              </w:rPr>
            </w:pPr>
            <w:r>
              <w:rPr>
                <w:rFonts w:hAnsi="宋体"/>
                <w:color w:val="auto"/>
                <w:kern w:val="0"/>
                <w:sz w:val="24"/>
              </w:rPr>
              <w:t>现状</w:t>
            </w:r>
          </w:p>
        </w:tc>
        <w:tc>
          <w:tcPr>
            <w:tcW w:w="8534" w:type="dxa"/>
            <w:vAlign w:val="center"/>
          </w:tcPr>
          <w:p w14:paraId="56A9DE6D">
            <w:pPr>
              <w:adjustRightInd w:val="0"/>
              <w:snapToGrid w:val="0"/>
              <w:spacing w:line="440" w:lineRule="exact"/>
              <w:jc w:val="left"/>
              <w:rPr>
                <w:rFonts w:hAnsi="宋体"/>
                <w:b/>
                <w:color w:val="auto"/>
                <w:kern w:val="0"/>
                <w:sz w:val="24"/>
              </w:rPr>
            </w:pPr>
            <w:r>
              <w:rPr>
                <w:rFonts w:hint="eastAsia" w:hAnsi="宋体"/>
                <w:b/>
                <w:color w:val="auto"/>
                <w:kern w:val="0"/>
                <w:sz w:val="24"/>
              </w:rPr>
              <w:t>3.1区域环境质量现状</w:t>
            </w:r>
          </w:p>
          <w:p w14:paraId="1FA864F9">
            <w:pPr>
              <w:adjustRightInd w:val="0"/>
              <w:snapToGrid w:val="0"/>
              <w:spacing w:line="440" w:lineRule="exact"/>
              <w:jc w:val="left"/>
              <w:rPr>
                <w:b/>
                <w:color w:val="auto"/>
                <w:kern w:val="0"/>
                <w:sz w:val="24"/>
              </w:rPr>
            </w:pPr>
            <w:r>
              <w:rPr>
                <w:rFonts w:hint="eastAsia" w:hAnsi="宋体"/>
                <w:b/>
                <w:color w:val="auto"/>
                <w:kern w:val="0"/>
                <w:sz w:val="24"/>
              </w:rPr>
              <w:t xml:space="preserve">3.1.1 </w:t>
            </w:r>
            <w:r>
              <w:rPr>
                <w:rFonts w:hAnsi="宋体"/>
                <w:b/>
                <w:color w:val="auto"/>
                <w:kern w:val="0"/>
                <w:sz w:val="24"/>
              </w:rPr>
              <w:t>环境空气</w:t>
            </w:r>
          </w:p>
          <w:p w14:paraId="30A1B3AC">
            <w:pPr>
              <w:adjustRightInd w:val="0"/>
              <w:snapToGrid w:val="0"/>
              <w:spacing w:line="440" w:lineRule="exact"/>
              <w:jc w:val="left"/>
              <w:rPr>
                <w:b/>
                <w:bCs/>
                <w:color w:val="auto"/>
                <w:sz w:val="24"/>
              </w:rPr>
            </w:pPr>
            <w:r>
              <w:rPr>
                <w:rFonts w:hint="eastAsia"/>
                <w:b/>
                <w:bCs/>
                <w:color w:val="auto"/>
                <w:sz w:val="24"/>
              </w:rPr>
              <w:t>（1）</w:t>
            </w:r>
            <w:r>
              <w:rPr>
                <w:rFonts w:hAnsi="宋体"/>
                <w:b/>
                <w:bCs/>
                <w:color w:val="auto"/>
                <w:sz w:val="24"/>
              </w:rPr>
              <w:t>区域达标判断</w:t>
            </w:r>
          </w:p>
          <w:p w14:paraId="5E0D62BE">
            <w:pPr>
              <w:autoSpaceDE w:val="0"/>
              <w:autoSpaceDN w:val="0"/>
              <w:adjustRightInd w:val="0"/>
              <w:spacing w:line="440" w:lineRule="exact"/>
              <w:ind w:firstLine="480" w:firstLineChars="200"/>
              <w:rPr>
                <w:color w:val="auto"/>
                <w:sz w:val="24"/>
              </w:rPr>
            </w:pPr>
            <w:r>
              <w:rPr>
                <w:rFonts w:hint="eastAsia"/>
                <w:color w:val="auto"/>
                <w:sz w:val="24"/>
              </w:rPr>
              <w:t>按照《湖州市环境空气质量功能区划》中的有关规定，项目所在地区域环境空气为二类功能区。</w:t>
            </w:r>
          </w:p>
          <w:p w14:paraId="52C90A31">
            <w:pPr>
              <w:autoSpaceDE w:val="0"/>
              <w:autoSpaceDN w:val="0"/>
              <w:adjustRightInd w:val="0"/>
              <w:spacing w:line="440" w:lineRule="exact"/>
              <w:ind w:firstLine="480" w:firstLineChars="200"/>
              <w:rPr>
                <w:color w:val="auto"/>
                <w:kern w:val="0"/>
                <w:sz w:val="24"/>
              </w:rPr>
            </w:pPr>
            <w:r>
              <w:rPr>
                <w:rFonts w:hint="eastAsia"/>
                <w:color w:val="auto"/>
                <w:sz w:val="24"/>
              </w:rPr>
              <w:t>根据《202</w:t>
            </w:r>
            <w:r>
              <w:rPr>
                <w:rFonts w:hint="eastAsia"/>
                <w:color w:val="auto"/>
                <w:sz w:val="24"/>
                <w:lang w:val="en-US" w:eastAsia="zh-CN"/>
              </w:rPr>
              <w:t>3</w:t>
            </w:r>
            <w:r>
              <w:rPr>
                <w:rFonts w:hint="eastAsia"/>
                <w:color w:val="auto"/>
                <w:sz w:val="24"/>
              </w:rPr>
              <w:t>年安吉县环境质量报告》（安吉县生态环境监测站）中相关内容，202</w:t>
            </w:r>
            <w:r>
              <w:rPr>
                <w:rFonts w:hint="eastAsia"/>
                <w:color w:val="auto"/>
                <w:sz w:val="24"/>
                <w:lang w:val="en-US" w:eastAsia="zh-CN"/>
              </w:rPr>
              <w:t>3</w:t>
            </w:r>
            <w:r>
              <w:rPr>
                <w:rFonts w:hint="eastAsia"/>
                <w:color w:val="auto"/>
                <w:sz w:val="24"/>
              </w:rPr>
              <w:t>年安吉县环境空气监测数据年度统计结果参见表</w:t>
            </w:r>
            <w:r>
              <w:rPr>
                <w:color w:val="auto"/>
                <w:sz w:val="24"/>
              </w:rPr>
              <w:t>3-</w:t>
            </w:r>
            <w:r>
              <w:rPr>
                <w:rFonts w:hint="eastAsia"/>
                <w:color w:val="auto"/>
                <w:sz w:val="24"/>
              </w:rPr>
              <w:t>1</w:t>
            </w:r>
            <w:r>
              <w:rPr>
                <w:color w:val="auto"/>
                <w:sz w:val="24"/>
              </w:rPr>
              <w:t>。</w:t>
            </w:r>
          </w:p>
          <w:p w14:paraId="730D84D0">
            <w:pPr>
              <w:spacing w:line="440" w:lineRule="exact"/>
              <w:jc w:val="center"/>
              <w:rPr>
                <w:b/>
                <w:color w:val="auto"/>
                <w:szCs w:val="21"/>
              </w:rPr>
            </w:pPr>
            <w:r>
              <w:rPr>
                <w:b/>
                <w:color w:val="auto"/>
                <w:szCs w:val="21"/>
              </w:rPr>
              <w:t>表3-</w:t>
            </w:r>
            <w:r>
              <w:rPr>
                <w:rFonts w:hint="eastAsia"/>
                <w:b/>
                <w:color w:val="auto"/>
                <w:szCs w:val="21"/>
              </w:rPr>
              <w:t>1</w:t>
            </w:r>
            <w:r>
              <w:rPr>
                <w:b/>
                <w:color w:val="auto"/>
                <w:szCs w:val="21"/>
              </w:rPr>
              <w:t xml:space="preserve">  </w:t>
            </w:r>
            <w:r>
              <w:rPr>
                <w:rFonts w:hint="eastAsia"/>
                <w:b/>
                <w:color w:val="auto"/>
                <w:szCs w:val="21"/>
              </w:rPr>
              <w:t>202</w:t>
            </w:r>
            <w:r>
              <w:rPr>
                <w:rFonts w:hint="eastAsia"/>
                <w:b/>
                <w:color w:val="auto"/>
                <w:szCs w:val="21"/>
                <w:lang w:val="en-US" w:eastAsia="zh-CN"/>
              </w:rPr>
              <w:t>3</w:t>
            </w:r>
            <w:r>
              <w:rPr>
                <w:rFonts w:hint="eastAsia"/>
                <w:b/>
                <w:color w:val="auto"/>
                <w:szCs w:val="21"/>
              </w:rPr>
              <w:t>年安吉县</w:t>
            </w:r>
            <w:r>
              <w:rPr>
                <w:b/>
                <w:color w:val="auto"/>
                <w:szCs w:val="21"/>
              </w:rPr>
              <w:t>环境空气质量数据</w:t>
            </w:r>
          </w:p>
          <w:tbl>
            <w:tblPr>
              <w:tblStyle w:val="37"/>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2688"/>
              <w:gridCol w:w="1150"/>
              <w:gridCol w:w="1165"/>
              <w:gridCol w:w="1150"/>
              <w:gridCol w:w="1136"/>
            </w:tblGrid>
            <w:tr w14:paraId="66D8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restart"/>
                  <w:noWrap w:val="0"/>
                  <w:vAlign w:val="center"/>
                </w:tcPr>
                <w:p w14:paraId="26A3B20F">
                  <w:pPr>
                    <w:jc w:val="center"/>
                    <w:rPr>
                      <w:b/>
                      <w:bCs/>
                      <w:color w:val="auto"/>
                      <w:szCs w:val="21"/>
                    </w:rPr>
                  </w:pPr>
                  <w:r>
                    <w:rPr>
                      <w:b/>
                      <w:bCs/>
                      <w:color w:val="auto"/>
                      <w:szCs w:val="21"/>
                    </w:rPr>
                    <w:t>污染物</w:t>
                  </w:r>
                </w:p>
              </w:tc>
              <w:tc>
                <w:tcPr>
                  <w:tcW w:w="2595" w:type="dxa"/>
                  <w:vMerge w:val="restart"/>
                  <w:noWrap w:val="0"/>
                  <w:vAlign w:val="center"/>
                </w:tcPr>
                <w:p w14:paraId="566AE13C">
                  <w:pPr>
                    <w:jc w:val="center"/>
                    <w:rPr>
                      <w:b/>
                      <w:bCs/>
                      <w:color w:val="auto"/>
                      <w:szCs w:val="21"/>
                    </w:rPr>
                  </w:pPr>
                  <w:r>
                    <w:rPr>
                      <w:b/>
                      <w:bCs/>
                      <w:color w:val="auto"/>
                      <w:szCs w:val="21"/>
                    </w:rPr>
                    <w:t>年评价指标</w:t>
                  </w:r>
                </w:p>
              </w:tc>
              <w:tc>
                <w:tcPr>
                  <w:tcW w:w="1110" w:type="dxa"/>
                  <w:noWrap w:val="0"/>
                  <w:vAlign w:val="center"/>
                </w:tcPr>
                <w:p w14:paraId="092F24BD">
                  <w:pPr>
                    <w:jc w:val="center"/>
                    <w:rPr>
                      <w:b/>
                      <w:bCs/>
                      <w:color w:val="auto"/>
                      <w:szCs w:val="21"/>
                    </w:rPr>
                  </w:pPr>
                  <w:r>
                    <w:rPr>
                      <w:b/>
                      <w:bCs/>
                      <w:color w:val="auto"/>
                      <w:szCs w:val="21"/>
                    </w:rPr>
                    <w:t>现状浓度</w:t>
                  </w:r>
                </w:p>
              </w:tc>
              <w:tc>
                <w:tcPr>
                  <w:tcW w:w="1125" w:type="dxa"/>
                  <w:noWrap w:val="0"/>
                  <w:vAlign w:val="center"/>
                </w:tcPr>
                <w:p w14:paraId="3477CBB7">
                  <w:pPr>
                    <w:jc w:val="center"/>
                    <w:rPr>
                      <w:b/>
                      <w:bCs/>
                      <w:color w:val="auto"/>
                      <w:szCs w:val="21"/>
                    </w:rPr>
                  </w:pPr>
                  <w:r>
                    <w:rPr>
                      <w:b/>
                      <w:bCs/>
                      <w:color w:val="auto"/>
                      <w:szCs w:val="21"/>
                    </w:rPr>
                    <w:t>二级标准</w:t>
                  </w:r>
                </w:p>
              </w:tc>
              <w:tc>
                <w:tcPr>
                  <w:tcW w:w="1110" w:type="dxa"/>
                  <w:noWrap w:val="0"/>
                  <w:vAlign w:val="center"/>
                </w:tcPr>
                <w:p w14:paraId="26CA5A45">
                  <w:pPr>
                    <w:jc w:val="center"/>
                    <w:rPr>
                      <w:b/>
                      <w:bCs/>
                      <w:color w:val="auto"/>
                      <w:szCs w:val="21"/>
                    </w:rPr>
                  </w:pPr>
                  <w:r>
                    <w:rPr>
                      <w:b/>
                      <w:bCs/>
                      <w:color w:val="auto"/>
                      <w:szCs w:val="21"/>
                    </w:rPr>
                    <w:t>占标率</w:t>
                  </w:r>
                </w:p>
              </w:tc>
              <w:tc>
                <w:tcPr>
                  <w:tcW w:w="1097" w:type="dxa"/>
                  <w:vMerge w:val="restart"/>
                  <w:noWrap w:val="0"/>
                  <w:vAlign w:val="center"/>
                </w:tcPr>
                <w:p w14:paraId="7BD50989">
                  <w:pPr>
                    <w:jc w:val="center"/>
                    <w:rPr>
                      <w:color w:val="auto"/>
                      <w:szCs w:val="21"/>
                    </w:rPr>
                  </w:pPr>
                  <w:r>
                    <w:rPr>
                      <w:b/>
                      <w:bCs/>
                      <w:color w:val="auto"/>
                      <w:szCs w:val="21"/>
                    </w:rPr>
                    <w:t>是否达标</w:t>
                  </w:r>
                </w:p>
              </w:tc>
            </w:tr>
            <w:tr w14:paraId="7ADF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continue"/>
                  <w:noWrap w:val="0"/>
                  <w:vAlign w:val="center"/>
                </w:tcPr>
                <w:p w14:paraId="5D1AABF4">
                  <w:pPr>
                    <w:jc w:val="center"/>
                    <w:rPr>
                      <w:b/>
                      <w:bCs/>
                      <w:color w:val="auto"/>
                      <w:szCs w:val="21"/>
                    </w:rPr>
                  </w:pPr>
                </w:p>
              </w:tc>
              <w:tc>
                <w:tcPr>
                  <w:tcW w:w="2595" w:type="dxa"/>
                  <w:vMerge w:val="continue"/>
                  <w:noWrap w:val="0"/>
                  <w:vAlign w:val="center"/>
                </w:tcPr>
                <w:p w14:paraId="1B4192D4">
                  <w:pPr>
                    <w:jc w:val="center"/>
                    <w:rPr>
                      <w:b/>
                      <w:bCs/>
                      <w:color w:val="auto"/>
                      <w:szCs w:val="21"/>
                    </w:rPr>
                  </w:pPr>
                </w:p>
              </w:tc>
              <w:tc>
                <w:tcPr>
                  <w:tcW w:w="1110" w:type="dxa"/>
                  <w:noWrap w:val="0"/>
                  <w:vAlign w:val="center"/>
                </w:tcPr>
                <w:p w14:paraId="7F49AA7A">
                  <w:pPr>
                    <w:jc w:val="center"/>
                    <w:rPr>
                      <w:b/>
                      <w:bCs/>
                      <w:color w:val="auto"/>
                      <w:szCs w:val="21"/>
                    </w:rPr>
                  </w:pPr>
                  <w:r>
                    <w:rPr>
                      <w:b/>
                      <w:bCs/>
                      <w:color w:val="auto"/>
                      <w:szCs w:val="21"/>
                    </w:rPr>
                    <w:t>μg/m</w:t>
                  </w:r>
                  <w:r>
                    <w:rPr>
                      <w:b/>
                      <w:bCs/>
                      <w:color w:val="auto"/>
                      <w:szCs w:val="21"/>
                      <w:vertAlign w:val="superscript"/>
                    </w:rPr>
                    <w:t>3</w:t>
                  </w:r>
                </w:p>
              </w:tc>
              <w:tc>
                <w:tcPr>
                  <w:tcW w:w="1125" w:type="dxa"/>
                  <w:noWrap w:val="0"/>
                  <w:vAlign w:val="center"/>
                </w:tcPr>
                <w:p w14:paraId="1D2AA891">
                  <w:pPr>
                    <w:jc w:val="center"/>
                    <w:rPr>
                      <w:b/>
                      <w:bCs/>
                      <w:color w:val="auto"/>
                      <w:szCs w:val="21"/>
                    </w:rPr>
                  </w:pPr>
                  <w:r>
                    <w:rPr>
                      <w:b/>
                      <w:bCs/>
                      <w:color w:val="auto"/>
                      <w:szCs w:val="21"/>
                    </w:rPr>
                    <w:t>μg/m</w:t>
                  </w:r>
                  <w:r>
                    <w:rPr>
                      <w:b/>
                      <w:bCs/>
                      <w:color w:val="auto"/>
                      <w:szCs w:val="21"/>
                      <w:vertAlign w:val="superscript"/>
                    </w:rPr>
                    <w:t>3</w:t>
                  </w:r>
                </w:p>
              </w:tc>
              <w:tc>
                <w:tcPr>
                  <w:tcW w:w="1110" w:type="dxa"/>
                  <w:noWrap w:val="0"/>
                  <w:vAlign w:val="center"/>
                </w:tcPr>
                <w:p w14:paraId="43A9B61B">
                  <w:pPr>
                    <w:jc w:val="center"/>
                    <w:rPr>
                      <w:b/>
                      <w:bCs/>
                      <w:color w:val="auto"/>
                      <w:szCs w:val="21"/>
                    </w:rPr>
                  </w:pPr>
                  <w:r>
                    <w:rPr>
                      <w:b/>
                      <w:bCs/>
                      <w:color w:val="auto"/>
                      <w:szCs w:val="21"/>
                    </w:rPr>
                    <w:t>%</w:t>
                  </w:r>
                </w:p>
              </w:tc>
              <w:tc>
                <w:tcPr>
                  <w:tcW w:w="1097" w:type="dxa"/>
                  <w:vMerge w:val="continue"/>
                  <w:noWrap w:val="0"/>
                  <w:vAlign w:val="center"/>
                </w:tcPr>
                <w:p w14:paraId="071FCD82">
                  <w:pPr>
                    <w:jc w:val="center"/>
                    <w:rPr>
                      <w:color w:val="auto"/>
                      <w:szCs w:val="21"/>
                    </w:rPr>
                  </w:pPr>
                </w:p>
              </w:tc>
            </w:tr>
            <w:tr w14:paraId="455D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restart"/>
                  <w:noWrap w:val="0"/>
                  <w:vAlign w:val="center"/>
                </w:tcPr>
                <w:p w14:paraId="7B08CC80">
                  <w:pPr>
                    <w:jc w:val="center"/>
                    <w:rPr>
                      <w:color w:val="auto"/>
                      <w:szCs w:val="21"/>
                    </w:rPr>
                  </w:pPr>
                  <w:r>
                    <w:rPr>
                      <w:color w:val="auto"/>
                      <w:szCs w:val="21"/>
                    </w:rPr>
                    <w:t>SO</w:t>
                  </w:r>
                  <w:r>
                    <w:rPr>
                      <w:color w:val="auto"/>
                      <w:szCs w:val="21"/>
                      <w:vertAlign w:val="subscript"/>
                    </w:rPr>
                    <w:t>2</w:t>
                  </w:r>
                </w:p>
              </w:tc>
              <w:tc>
                <w:tcPr>
                  <w:tcW w:w="2595" w:type="dxa"/>
                  <w:noWrap w:val="0"/>
                  <w:vAlign w:val="center"/>
                </w:tcPr>
                <w:p w14:paraId="4E1C5F7D">
                  <w:pPr>
                    <w:jc w:val="center"/>
                    <w:rPr>
                      <w:color w:val="auto"/>
                      <w:szCs w:val="21"/>
                    </w:rPr>
                  </w:pPr>
                  <w:r>
                    <w:rPr>
                      <w:color w:val="auto"/>
                      <w:szCs w:val="21"/>
                    </w:rPr>
                    <w:t>年平均质量浓度</w:t>
                  </w:r>
                </w:p>
              </w:tc>
              <w:tc>
                <w:tcPr>
                  <w:tcW w:w="1110" w:type="dxa"/>
                  <w:noWrap w:val="0"/>
                  <w:vAlign w:val="center"/>
                </w:tcPr>
                <w:p w14:paraId="60E15173">
                  <w:pPr>
                    <w:jc w:val="center"/>
                    <w:rPr>
                      <w:rFonts w:hint="eastAsia" w:eastAsia="宋体"/>
                      <w:color w:val="auto"/>
                      <w:szCs w:val="21"/>
                      <w:lang w:val="en-US" w:eastAsia="zh-CN"/>
                    </w:rPr>
                  </w:pPr>
                  <w:r>
                    <w:rPr>
                      <w:rFonts w:hint="eastAsia"/>
                      <w:color w:val="auto"/>
                      <w:szCs w:val="21"/>
                      <w:lang w:val="en-US" w:eastAsia="zh-CN"/>
                    </w:rPr>
                    <w:t>5</w:t>
                  </w:r>
                </w:p>
              </w:tc>
              <w:tc>
                <w:tcPr>
                  <w:tcW w:w="1125" w:type="dxa"/>
                  <w:noWrap w:val="0"/>
                  <w:vAlign w:val="center"/>
                </w:tcPr>
                <w:p w14:paraId="275AACD3">
                  <w:pPr>
                    <w:jc w:val="center"/>
                    <w:rPr>
                      <w:color w:val="auto"/>
                      <w:szCs w:val="21"/>
                    </w:rPr>
                  </w:pPr>
                  <w:r>
                    <w:rPr>
                      <w:color w:val="auto"/>
                      <w:szCs w:val="21"/>
                    </w:rPr>
                    <w:t>60</w:t>
                  </w:r>
                </w:p>
              </w:tc>
              <w:tc>
                <w:tcPr>
                  <w:tcW w:w="1110" w:type="dxa"/>
                  <w:noWrap w:val="0"/>
                  <w:vAlign w:val="center"/>
                </w:tcPr>
                <w:p w14:paraId="439FF17A">
                  <w:pPr>
                    <w:widowControl/>
                    <w:jc w:val="center"/>
                    <w:textAlignment w:val="center"/>
                    <w:rPr>
                      <w:rFonts w:hint="default" w:eastAsia="宋体"/>
                      <w:color w:val="auto"/>
                      <w:szCs w:val="21"/>
                      <w:lang w:val="en-US" w:eastAsia="zh-CN"/>
                    </w:rPr>
                  </w:pPr>
                  <w:r>
                    <w:rPr>
                      <w:rFonts w:hint="eastAsia"/>
                      <w:color w:val="auto"/>
                      <w:szCs w:val="21"/>
                      <w:lang w:val="en-US" w:eastAsia="zh-CN"/>
                    </w:rPr>
                    <w:t>8.3</w:t>
                  </w:r>
                </w:p>
              </w:tc>
              <w:tc>
                <w:tcPr>
                  <w:tcW w:w="1097" w:type="dxa"/>
                  <w:vMerge w:val="restart"/>
                  <w:noWrap w:val="0"/>
                  <w:vAlign w:val="center"/>
                </w:tcPr>
                <w:p w14:paraId="1B9880EE">
                  <w:pPr>
                    <w:jc w:val="center"/>
                    <w:rPr>
                      <w:color w:val="auto"/>
                      <w:szCs w:val="21"/>
                    </w:rPr>
                  </w:pPr>
                  <w:r>
                    <w:rPr>
                      <w:color w:val="auto"/>
                      <w:szCs w:val="21"/>
                    </w:rPr>
                    <w:t>达标</w:t>
                  </w:r>
                </w:p>
              </w:tc>
            </w:tr>
            <w:tr w14:paraId="159B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continue"/>
                  <w:noWrap w:val="0"/>
                  <w:vAlign w:val="center"/>
                </w:tcPr>
                <w:p w14:paraId="1A2E63B4">
                  <w:pPr>
                    <w:jc w:val="center"/>
                    <w:rPr>
                      <w:color w:val="auto"/>
                      <w:szCs w:val="21"/>
                    </w:rPr>
                  </w:pPr>
                </w:p>
              </w:tc>
              <w:tc>
                <w:tcPr>
                  <w:tcW w:w="2595" w:type="dxa"/>
                  <w:noWrap w:val="0"/>
                  <w:vAlign w:val="center"/>
                </w:tcPr>
                <w:p w14:paraId="1F372B2F">
                  <w:pPr>
                    <w:jc w:val="center"/>
                    <w:rPr>
                      <w:color w:val="auto"/>
                      <w:szCs w:val="21"/>
                    </w:rPr>
                  </w:pPr>
                  <w:r>
                    <w:rPr>
                      <w:color w:val="auto"/>
                      <w:szCs w:val="21"/>
                    </w:rPr>
                    <w:t>日均浓度第98百分位数</w:t>
                  </w:r>
                </w:p>
              </w:tc>
              <w:tc>
                <w:tcPr>
                  <w:tcW w:w="1110" w:type="dxa"/>
                  <w:noWrap w:val="0"/>
                  <w:vAlign w:val="center"/>
                </w:tcPr>
                <w:p w14:paraId="2BC66D16">
                  <w:pPr>
                    <w:jc w:val="center"/>
                    <w:rPr>
                      <w:rFonts w:hint="eastAsia" w:eastAsia="宋体"/>
                      <w:color w:val="auto"/>
                      <w:szCs w:val="21"/>
                      <w:lang w:val="en-US" w:eastAsia="zh-CN"/>
                    </w:rPr>
                  </w:pPr>
                  <w:r>
                    <w:rPr>
                      <w:rFonts w:hint="eastAsia"/>
                      <w:color w:val="auto"/>
                      <w:szCs w:val="21"/>
                      <w:lang w:val="en-US" w:eastAsia="zh-CN"/>
                    </w:rPr>
                    <w:t>8</w:t>
                  </w:r>
                </w:p>
              </w:tc>
              <w:tc>
                <w:tcPr>
                  <w:tcW w:w="1125" w:type="dxa"/>
                  <w:noWrap w:val="0"/>
                  <w:vAlign w:val="center"/>
                </w:tcPr>
                <w:p w14:paraId="2EDF166F">
                  <w:pPr>
                    <w:jc w:val="center"/>
                    <w:rPr>
                      <w:color w:val="auto"/>
                      <w:szCs w:val="21"/>
                    </w:rPr>
                  </w:pPr>
                  <w:r>
                    <w:rPr>
                      <w:color w:val="auto"/>
                      <w:szCs w:val="21"/>
                    </w:rPr>
                    <w:t>150</w:t>
                  </w:r>
                </w:p>
              </w:tc>
              <w:tc>
                <w:tcPr>
                  <w:tcW w:w="1110" w:type="dxa"/>
                  <w:noWrap w:val="0"/>
                  <w:vAlign w:val="center"/>
                </w:tcPr>
                <w:p w14:paraId="65E86820">
                  <w:pPr>
                    <w:widowControl/>
                    <w:jc w:val="center"/>
                    <w:textAlignment w:val="center"/>
                    <w:rPr>
                      <w:rFonts w:hint="default" w:eastAsia="宋体"/>
                      <w:color w:val="auto"/>
                      <w:szCs w:val="21"/>
                      <w:lang w:val="en-US" w:eastAsia="zh-CN"/>
                    </w:rPr>
                  </w:pPr>
                  <w:r>
                    <w:rPr>
                      <w:rFonts w:hint="eastAsia"/>
                      <w:color w:val="auto"/>
                      <w:szCs w:val="21"/>
                      <w:lang w:val="en-US" w:eastAsia="zh-CN"/>
                    </w:rPr>
                    <w:t>5.3</w:t>
                  </w:r>
                </w:p>
              </w:tc>
              <w:tc>
                <w:tcPr>
                  <w:tcW w:w="1097" w:type="dxa"/>
                  <w:vMerge w:val="continue"/>
                  <w:noWrap w:val="0"/>
                  <w:vAlign w:val="center"/>
                </w:tcPr>
                <w:p w14:paraId="350F6EDF">
                  <w:pPr>
                    <w:jc w:val="center"/>
                    <w:rPr>
                      <w:color w:val="auto"/>
                      <w:szCs w:val="21"/>
                    </w:rPr>
                  </w:pPr>
                </w:p>
              </w:tc>
            </w:tr>
            <w:tr w14:paraId="38AA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restart"/>
                  <w:noWrap w:val="0"/>
                  <w:vAlign w:val="center"/>
                </w:tcPr>
                <w:p w14:paraId="19FF9939">
                  <w:pPr>
                    <w:jc w:val="center"/>
                    <w:rPr>
                      <w:color w:val="auto"/>
                      <w:szCs w:val="21"/>
                    </w:rPr>
                  </w:pPr>
                  <w:r>
                    <w:rPr>
                      <w:color w:val="auto"/>
                      <w:szCs w:val="21"/>
                    </w:rPr>
                    <w:t>NO</w:t>
                  </w:r>
                  <w:r>
                    <w:rPr>
                      <w:color w:val="auto"/>
                      <w:szCs w:val="21"/>
                      <w:vertAlign w:val="subscript"/>
                    </w:rPr>
                    <w:t>2</w:t>
                  </w:r>
                </w:p>
              </w:tc>
              <w:tc>
                <w:tcPr>
                  <w:tcW w:w="2595" w:type="dxa"/>
                  <w:noWrap w:val="0"/>
                  <w:vAlign w:val="center"/>
                </w:tcPr>
                <w:p w14:paraId="43EBAA65">
                  <w:pPr>
                    <w:jc w:val="center"/>
                    <w:rPr>
                      <w:color w:val="auto"/>
                      <w:szCs w:val="21"/>
                    </w:rPr>
                  </w:pPr>
                  <w:r>
                    <w:rPr>
                      <w:color w:val="auto"/>
                      <w:szCs w:val="21"/>
                    </w:rPr>
                    <w:t>年平均质量浓度</w:t>
                  </w:r>
                </w:p>
              </w:tc>
              <w:tc>
                <w:tcPr>
                  <w:tcW w:w="1110" w:type="dxa"/>
                  <w:noWrap w:val="0"/>
                  <w:vAlign w:val="center"/>
                </w:tcPr>
                <w:p w14:paraId="4E3D2DF5">
                  <w:pPr>
                    <w:jc w:val="center"/>
                    <w:rPr>
                      <w:rFonts w:hint="default" w:eastAsia="宋体"/>
                      <w:color w:val="auto"/>
                      <w:szCs w:val="21"/>
                      <w:lang w:val="en-US" w:eastAsia="zh-CN"/>
                    </w:rPr>
                  </w:pPr>
                  <w:r>
                    <w:rPr>
                      <w:rFonts w:hint="eastAsia"/>
                      <w:color w:val="auto"/>
                      <w:szCs w:val="21"/>
                      <w:lang w:val="en-US" w:eastAsia="zh-CN"/>
                    </w:rPr>
                    <w:t>21</w:t>
                  </w:r>
                </w:p>
              </w:tc>
              <w:tc>
                <w:tcPr>
                  <w:tcW w:w="1125" w:type="dxa"/>
                  <w:noWrap w:val="0"/>
                  <w:vAlign w:val="center"/>
                </w:tcPr>
                <w:p w14:paraId="7306BA6E">
                  <w:pPr>
                    <w:jc w:val="center"/>
                    <w:rPr>
                      <w:color w:val="auto"/>
                      <w:szCs w:val="21"/>
                    </w:rPr>
                  </w:pPr>
                  <w:r>
                    <w:rPr>
                      <w:color w:val="auto"/>
                      <w:szCs w:val="21"/>
                    </w:rPr>
                    <w:t>40</w:t>
                  </w:r>
                </w:p>
              </w:tc>
              <w:tc>
                <w:tcPr>
                  <w:tcW w:w="1110" w:type="dxa"/>
                  <w:noWrap w:val="0"/>
                  <w:vAlign w:val="center"/>
                </w:tcPr>
                <w:p w14:paraId="02608795">
                  <w:pPr>
                    <w:widowControl/>
                    <w:jc w:val="center"/>
                    <w:textAlignment w:val="center"/>
                    <w:rPr>
                      <w:rFonts w:hint="default" w:eastAsia="宋体"/>
                      <w:color w:val="auto"/>
                      <w:szCs w:val="21"/>
                      <w:lang w:val="en-US" w:eastAsia="zh-CN"/>
                    </w:rPr>
                  </w:pPr>
                  <w:r>
                    <w:rPr>
                      <w:rFonts w:hint="eastAsia"/>
                      <w:color w:val="auto"/>
                      <w:szCs w:val="21"/>
                      <w:lang w:val="en-US" w:eastAsia="zh-CN"/>
                    </w:rPr>
                    <w:t>52.5</w:t>
                  </w:r>
                </w:p>
              </w:tc>
              <w:tc>
                <w:tcPr>
                  <w:tcW w:w="1097" w:type="dxa"/>
                  <w:vMerge w:val="restart"/>
                  <w:noWrap w:val="0"/>
                  <w:vAlign w:val="center"/>
                </w:tcPr>
                <w:p w14:paraId="6C304CED">
                  <w:pPr>
                    <w:jc w:val="center"/>
                    <w:rPr>
                      <w:color w:val="auto"/>
                      <w:szCs w:val="21"/>
                    </w:rPr>
                  </w:pPr>
                  <w:r>
                    <w:rPr>
                      <w:color w:val="auto"/>
                      <w:szCs w:val="21"/>
                    </w:rPr>
                    <w:t>达标</w:t>
                  </w:r>
                </w:p>
              </w:tc>
            </w:tr>
            <w:tr w14:paraId="3B5D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continue"/>
                  <w:noWrap w:val="0"/>
                  <w:vAlign w:val="center"/>
                </w:tcPr>
                <w:p w14:paraId="5C7C9EAA">
                  <w:pPr>
                    <w:jc w:val="center"/>
                    <w:rPr>
                      <w:color w:val="auto"/>
                      <w:szCs w:val="21"/>
                    </w:rPr>
                  </w:pPr>
                </w:p>
              </w:tc>
              <w:tc>
                <w:tcPr>
                  <w:tcW w:w="2595" w:type="dxa"/>
                  <w:noWrap w:val="0"/>
                  <w:vAlign w:val="center"/>
                </w:tcPr>
                <w:p w14:paraId="4CDA8354">
                  <w:pPr>
                    <w:jc w:val="center"/>
                    <w:rPr>
                      <w:color w:val="auto"/>
                      <w:szCs w:val="21"/>
                    </w:rPr>
                  </w:pPr>
                  <w:r>
                    <w:rPr>
                      <w:color w:val="auto"/>
                      <w:szCs w:val="21"/>
                    </w:rPr>
                    <w:t>日均浓度第98百分位数</w:t>
                  </w:r>
                </w:p>
              </w:tc>
              <w:tc>
                <w:tcPr>
                  <w:tcW w:w="1110" w:type="dxa"/>
                  <w:noWrap w:val="0"/>
                  <w:vAlign w:val="center"/>
                </w:tcPr>
                <w:p w14:paraId="39F51E72">
                  <w:pPr>
                    <w:jc w:val="center"/>
                    <w:rPr>
                      <w:rFonts w:hint="default" w:eastAsia="宋体"/>
                      <w:color w:val="auto"/>
                      <w:szCs w:val="21"/>
                      <w:lang w:val="en-US" w:eastAsia="zh-CN"/>
                    </w:rPr>
                  </w:pPr>
                  <w:r>
                    <w:rPr>
                      <w:rFonts w:hint="eastAsia"/>
                      <w:color w:val="auto"/>
                      <w:szCs w:val="21"/>
                      <w:lang w:val="en-US" w:eastAsia="zh-CN"/>
                    </w:rPr>
                    <w:t>52</w:t>
                  </w:r>
                </w:p>
              </w:tc>
              <w:tc>
                <w:tcPr>
                  <w:tcW w:w="1125" w:type="dxa"/>
                  <w:noWrap w:val="0"/>
                  <w:vAlign w:val="center"/>
                </w:tcPr>
                <w:p w14:paraId="5A68151A">
                  <w:pPr>
                    <w:jc w:val="center"/>
                    <w:rPr>
                      <w:color w:val="auto"/>
                      <w:szCs w:val="21"/>
                    </w:rPr>
                  </w:pPr>
                  <w:r>
                    <w:rPr>
                      <w:color w:val="auto"/>
                      <w:szCs w:val="21"/>
                    </w:rPr>
                    <w:t>80</w:t>
                  </w:r>
                </w:p>
              </w:tc>
              <w:tc>
                <w:tcPr>
                  <w:tcW w:w="1110" w:type="dxa"/>
                  <w:noWrap w:val="0"/>
                  <w:vAlign w:val="center"/>
                </w:tcPr>
                <w:p w14:paraId="69B61E57">
                  <w:pPr>
                    <w:widowControl/>
                    <w:jc w:val="center"/>
                    <w:textAlignment w:val="center"/>
                    <w:rPr>
                      <w:rFonts w:hint="default" w:eastAsia="宋体"/>
                      <w:color w:val="auto"/>
                      <w:szCs w:val="21"/>
                      <w:lang w:val="en-US" w:eastAsia="zh-CN"/>
                    </w:rPr>
                  </w:pPr>
                  <w:r>
                    <w:rPr>
                      <w:rFonts w:hint="eastAsia"/>
                      <w:color w:val="auto"/>
                      <w:szCs w:val="21"/>
                      <w:lang w:val="en-US" w:eastAsia="zh-CN"/>
                    </w:rPr>
                    <w:t>65.0</w:t>
                  </w:r>
                </w:p>
              </w:tc>
              <w:tc>
                <w:tcPr>
                  <w:tcW w:w="1097" w:type="dxa"/>
                  <w:vMerge w:val="continue"/>
                  <w:noWrap w:val="0"/>
                  <w:vAlign w:val="center"/>
                </w:tcPr>
                <w:p w14:paraId="42888368">
                  <w:pPr>
                    <w:jc w:val="center"/>
                    <w:rPr>
                      <w:color w:val="auto"/>
                      <w:szCs w:val="21"/>
                    </w:rPr>
                  </w:pPr>
                </w:p>
              </w:tc>
            </w:tr>
            <w:tr w14:paraId="6425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restart"/>
                  <w:noWrap w:val="0"/>
                  <w:vAlign w:val="center"/>
                </w:tcPr>
                <w:p w14:paraId="15510398">
                  <w:pPr>
                    <w:jc w:val="center"/>
                    <w:rPr>
                      <w:color w:val="auto"/>
                      <w:szCs w:val="21"/>
                    </w:rPr>
                  </w:pPr>
                  <w:r>
                    <w:rPr>
                      <w:color w:val="auto"/>
                      <w:szCs w:val="21"/>
                    </w:rPr>
                    <w:t>PM</w:t>
                  </w:r>
                  <w:r>
                    <w:rPr>
                      <w:color w:val="auto"/>
                      <w:szCs w:val="21"/>
                      <w:vertAlign w:val="subscript"/>
                    </w:rPr>
                    <w:t>10</w:t>
                  </w:r>
                </w:p>
              </w:tc>
              <w:tc>
                <w:tcPr>
                  <w:tcW w:w="2595" w:type="dxa"/>
                  <w:noWrap w:val="0"/>
                  <w:vAlign w:val="center"/>
                </w:tcPr>
                <w:p w14:paraId="2A909C77">
                  <w:pPr>
                    <w:jc w:val="center"/>
                    <w:rPr>
                      <w:color w:val="auto"/>
                      <w:szCs w:val="21"/>
                    </w:rPr>
                  </w:pPr>
                  <w:r>
                    <w:rPr>
                      <w:color w:val="auto"/>
                      <w:szCs w:val="21"/>
                    </w:rPr>
                    <w:t>年平均质量浓度</w:t>
                  </w:r>
                </w:p>
              </w:tc>
              <w:tc>
                <w:tcPr>
                  <w:tcW w:w="1110" w:type="dxa"/>
                  <w:noWrap w:val="0"/>
                  <w:vAlign w:val="center"/>
                </w:tcPr>
                <w:p w14:paraId="4508A68C">
                  <w:pPr>
                    <w:jc w:val="center"/>
                    <w:rPr>
                      <w:rFonts w:hint="default" w:eastAsia="宋体"/>
                      <w:color w:val="auto"/>
                      <w:szCs w:val="21"/>
                      <w:lang w:val="en-US" w:eastAsia="zh-CN"/>
                    </w:rPr>
                  </w:pPr>
                  <w:r>
                    <w:rPr>
                      <w:rFonts w:hint="eastAsia"/>
                      <w:color w:val="auto"/>
                      <w:szCs w:val="21"/>
                      <w:lang w:val="en-US" w:eastAsia="zh-CN"/>
                    </w:rPr>
                    <w:t>51</w:t>
                  </w:r>
                </w:p>
              </w:tc>
              <w:tc>
                <w:tcPr>
                  <w:tcW w:w="1125" w:type="dxa"/>
                  <w:noWrap w:val="0"/>
                  <w:vAlign w:val="center"/>
                </w:tcPr>
                <w:p w14:paraId="66574DA9">
                  <w:pPr>
                    <w:jc w:val="center"/>
                    <w:rPr>
                      <w:color w:val="auto"/>
                      <w:szCs w:val="21"/>
                    </w:rPr>
                  </w:pPr>
                  <w:r>
                    <w:rPr>
                      <w:color w:val="auto"/>
                      <w:szCs w:val="21"/>
                    </w:rPr>
                    <w:t>70</w:t>
                  </w:r>
                </w:p>
              </w:tc>
              <w:tc>
                <w:tcPr>
                  <w:tcW w:w="1110" w:type="dxa"/>
                  <w:noWrap w:val="0"/>
                  <w:vAlign w:val="center"/>
                </w:tcPr>
                <w:p w14:paraId="2792121D">
                  <w:pPr>
                    <w:widowControl/>
                    <w:jc w:val="center"/>
                    <w:textAlignment w:val="center"/>
                    <w:rPr>
                      <w:rFonts w:hint="default" w:eastAsia="宋体"/>
                      <w:color w:val="auto"/>
                      <w:szCs w:val="21"/>
                      <w:lang w:val="en-US" w:eastAsia="zh-CN"/>
                    </w:rPr>
                  </w:pPr>
                  <w:r>
                    <w:rPr>
                      <w:rFonts w:hint="eastAsia"/>
                      <w:color w:val="auto"/>
                      <w:szCs w:val="21"/>
                      <w:lang w:val="en-US" w:eastAsia="zh-CN"/>
                    </w:rPr>
                    <w:t>72.9</w:t>
                  </w:r>
                </w:p>
              </w:tc>
              <w:tc>
                <w:tcPr>
                  <w:tcW w:w="1097" w:type="dxa"/>
                  <w:vMerge w:val="restart"/>
                  <w:noWrap w:val="0"/>
                  <w:vAlign w:val="center"/>
                </w:tcPr>
                <w:p w14:paraId="35E527F4">
                  <w:pPr>
                    <w:jc w:val="center"/>
                    <w:rPr>
                      <w:color w:val="auto"/>
                      <w:szCs w:val="21"/>
                    </w:rPr>
                  </w:pPr>
                  <w:r>
                    <w:rPr>
                      <w:color w:val="auto"/>
                      <w:szCs w:val="21"/>
                    </w:rPr>
                    <w:t>达标</w:t>
                  </w:r>
                </w:p>
              </w:tc>
            </w:tr>
            <w:tr w14:paraId="56B6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continue"/>
                  <w:noWrap w:val="0"/>
                  <w:vAlign w:val="center"/>
                </w:tcPr>
                <w:p w14:paraId="6524CD29">
                  <w:pPr>
                    <w:jc w:val="center"/>
                    <w:rPr>
                      <w:color w:val="auto"/>
                      <w:szCs w:val="21"/>
                    </w:rPr>
                  </w:pPr>
                </w:p>
              </w:tc>
              <w:tc>
                <w:tcPr>
                  <w:tcW w:w="2595" w:type="dxa"/>
                  <w:noWrap w:val="0"/>
                  <w:vAlign w:val="center"/>
                </w:tcPr>
                <w:p w14:paraId="7EB95831">
                  <w:pPr>
                    <w:jc w:val="center"/>
                    <w:rPr>
                      <w:color w:val="auto"/>
                      <w:szCs w:val="21"/>
                    </w:rPr>
                  </w:pPr>
                  <w:r>
                    <w:rPr>
                      <w:color w:val="auto"/>
                      <w:szCs w:val="21"/>
                    </w:rPr>
                    <w:t>日均浓度第95百分位数</w:t>
                  </w:r>
                </w:p>
              </w:tc>
              <w:tc>
                <w:tcPr>
                  <w:tcW w:w="1110" w:type="dxa"/>
                  <w:noWrap w:val="0"/>
                  <w:vAlign w:val="center"/>
                </w:tcPr>
                <w:p w14:paraId="6EB73FBA">
                  <w:pPr>
                    <w:jc w:val="center"/>
                    <w:rPr>
                      <w:rFonts w:hint="default" w:eastAsia="宋体"/>
                      <w:color w:val="auto"/>
                      <w:szCs w:val="21"/>
                      <w:lang w:val="en-US" w:eastAsia="zh-CN"/>
                    </w:rPr>
                  </w:pPr>
                  <w:r>
                    <w:rPr>
                      <w:rFonts w:hint="eastAsia"/>
                      <w:color w:val="auto"/>
                      <w:szCs w:val="21"/>
                      <w:lang w:val="en-US" w:eastAsia="zh-CN"/>
                    </w:rPr>
                    <w:t>106</w:t>
                  </w:r>
                </w:p>
              </w:tc>
              <w:tc>
                <w:tcPr>
                  <w:tcW w:w="1125" w:type="dxa"/>
                  <w:noWrap w:val="0"/>
                  <w:vAlign w:val="center"/>
                </w:tcPr>
                <w:p w14:paraId="0CD9340A">
                  <w:pPr>
                    <w:jc w:val="center"/>
                    <w:rPr>
                      <w:color w:val="auto"/>
                      <w:szCs w:val="21"/>
                    </w:rPr>
                  </w:pPr>
                  <w:r>
                    <w:rPr>
                      <w:color w:val="auto"/>
                      <w:szCs w:val="21"/>
                    </w:rPr>
                    <w:t>150</w:t>
                  </w:r>
                </w:p>
              </w:tc>
              <w:tc>
                <w:tcPr>
                  <w:tcW w:w="1110" w:type="dxa"/>
                  <w:noWrap w:val="0"/>
                  <w:vAlign w:val="center"/>
                </w:tcPr>
                <w:p w14:paraId="4ED398E2">
                  <w:pPr>
                    <w:widowControl/>
                    <w:jc w:val="center"/>
                    <w:textAlignment w:val="center"/>
                    <w:rPr>
                      <w:rFonts w:hint="default" w:eastAsia="宋体"/>
                      <w:color w:val="auto"/>
                      <w:szCs w:val="21"/>
                      <w:lang w:val="en-US" w:eastAsia="zh-CN"/>
                    </w:rPr>
                  </w:pPr>
                  <w:r>
                    <w:rPr>
                      <w:rFonts w:hint="eastAsia"/>
                      <w:color w:val="auto"/>
                      <w:szCs w:val="21"/>
                      <w:lang w:val="en-US" w:eastAsia="zh-CN"/>
                    </w:rPr>
                    <w:t>70.7</w:t>
                  </w:r>
                </w:p>
              </w:tc>
              <w:tc>
                <w:tcPr>
                  <w:tcW w:w="1097" w:type="dxa"/>
                  <w:vMerge w:val="continue"/>
                  <w:noWrap w:val="0"/>
                  <w:vAlign w:val="center"/>
                </w:tcPr>
                <w:p w14:paraId="563E378D">
                  <w:pPr>
                    <w:jc w:val="center"/>
                    <w:rPr>
                      <w:color w:val="auto"/>
                      <w:szCs w:val="21"/>
                    </w:rPr>
                  </w:pPr>
                </w:p>
              </w:tc>
            </w:tr>
            <w:tr w14:paraId="10CB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restart"/>
                  <w:noWrap w:val="0"/>
                  <w:vAlign w:val="center"/>
                </w:tcPr>
                <w:p w14:paraId="56C215AC">
                  <w:pPr>
                    <w:jc w:val="center"/>
                    <w:rPr>
                      <w:color w:val="auto"/>
                      <w:szCs w:val="21"/>
                    </w:rPr>
                  </w:pPr>
                  <w:r>
                    <w:rPr>
                      <w:color w:val="auto"/>
                      <w:szCs w:val="21"/>
                    </w:rPr>
                    <w:t>PM</w:t>
                  </w:r>
                  <w:r>
                    <w:rPr>
                      <w:color w:val="auto"/>
                      <w:szCs w:val="21"/>
                      <w:vertAlign w:val="subscript"/>
                    </w:rPr>
                    <w:t>2.5</w:t>
                  </w:r>
                </w:p>
              </w:tc>
              <w:tc>
                <w:tcPr>
                  <w:tcW w:w="2595" w:type="dxa"/>
                  <w:noWrap w:val="0"/>
                  <w:vAlign w:val="center"/>
                </w:tcPr>
                <w:p w14:paraId="32D3AD13">
                  <w:pPr>
                    <w:jc w:val="center"/>
                    <w:rPr>
                      <w:color w:val="auto"/>
                      <w:szCs w:val="21"/>
                    </w:rPr>
                  </w:pPr>
                  <w:r>
                    <w:rPr>
                      <w:color w:val="auto"/>
                      <w:szCs w:val="21"/>
                    </w:rPr>
                    <w:t>年平均质量浓度</w:t>
                  </w:r>
                </w:p>
              </w:tc>
              <w:tc>
                <w:tcPr>
                  <w:tcW w:w="1110" w:type="dxa"/>
                  <w:noWrap w:val="0"/>
                  <w:vAlign w:val="center"/>
                </w:tcPr>
                <w:p w14:paraId="2404CCD9">
                  <w:pPr>
                    <w:jc w:val="center"/>
                    <w:rPr>
                      <w:rFonts w:hint="default" w:eastAsia="宋体"/>
                      <w:color w:val="auto"/>
                      <w:szCs w:val="21"/>
                      <w:lang w:val="en-US" w:eastAsia="zh-CN"/>
                    </w:rPr>
                  </w:pPr>
                  <w:r>
                    <w:rPr>
                      <w:rFonts w:hint="eastAsia"/>
                      <w:color w:val="auto"/>
                      <w:szCs w:val="21"/>
                      <w:lang w:val="en-US" w:eastAsia="zh-CN"/>
                    </w:rPr>
                    <w:t>29</w:t>
                  </w:r>
                </w:p>
              </w:tc>
              <w:tc>
                <w:tcPr>
                  <w:tcW w:w="1125" w:type="dxa"/>
                  <w:noWrap w:val="0"/>
                  <w:vAlign w:val="center"/>
                </w:tcPr>
                <w:p w14:paraId="3A1BB216">
                  <w:pPr>
                    <w:jc w:val="center"/>
                    <w:rPr>
                      <w:color w:val="auto"/>
                      <w:szCs w:val="21"/>
                    </w:rPr>
                  </w:pPr>
                  <w:r>
                    <w:rPr>
                      <w:color w:val="auto"/>
                      <w:szCs w:val="21"/>
                    </w:rPr>
                    <w:t>35</w:t>
                  </w:r>
                </w:p>
              </w:tc>
              <w:tc>
                <w:tcPr>
                  <w:tcW w:w="1110" w:type="dxa"/>
                  <w:noWrap w:val="0"/>
                  <w:vAlign w:val="center"/>
                </w:tcPr>
                <w:p w14:paraId="7C078042">
                  <w:pPr>
                    <w:widowControl/>
                    <w:jc w:val="center"/>
                    <w:textAlignment w:val="center"/>
                    <w:rPr>
                      <w:rFonts w:hint="default" w:eastAsia="宋体"/>
                      <w:color w:val="auto"/>
                      <w:szCs w:val="21"/>
                      <w:lang w:val="en-US" w:eastAsia="zh-CN"/>
                    </w:rPr>
                  </w:pPr>
                  <w:r>
                    <w:rPr>
                      <w:rFonts w:hint="eastAsia"/>
                      <w:color w:val="auto"/>
                      <w:szCs w:val="21"/>
                      <w:lang w:val="en-US" w:eastAsia="zh-CN"/>
                    </w:rPr>
                    <w:t>82.9</w:t>
                  </w:r>
                </w:p>
              </w:tc>
              <w:tc>
                <w:tcPr>
                  <w:tcW w:w="1097" w:type="dxa"/>
                  <w:vMerge w:val="restart"/>
                  <w:noWrap w:val="0"/>
                  <w:vAlign w:val="center"/>
                </w:tcPr>
                <w:p w14:paraId="60DFCF78">
                  <w:pPr>
                    <w:jc w:val="center"/>
                    <w:rPr>
                      <w:color w:val="auto"/>
                      <w:szCs w:val="21"/>
                    </w:rPr>
                  </w:pPr>
                  <w:r>
                    <w:rPr>
                      <w:color w:val="auto"/>
                      <w:szCs w:val="21"/>
                    </w:rPr>
                    <w:t>达标</w:t>
                  </w:r>
                </w:p>
              </w:tc>
            </w:tr>
            <w:tr w14:paraId="1861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continue"/>
                  <w:noWrap w:val="0"/>
                  <w:vAlign w:val="center"/>
                </w:tcPr>
                <w:p w14:paraId="3DDB8381">
                  <w:pPr>
                    <w:jc w:val="center"/>
                    <w:rPr>
                      <w:color w:val="auto"/>
                      <w:szCs w:val="21"/>
                    </w:rPr>
                  </w:pPr>
                </w:p>
              </w:tc>
              <w:tc>
                <w:tcPr>
                  <w:tcW w:w="2595" w:type="dxa"/>
                  <w:noWrap w:val="0"/>
                  <w:vAlign w:val="center"/>
                </w:tcPr>
                <w:p w14:paraId="0C64BE82">
                  <w:pPr>
                    <w:jc w:val="center"/>
                    <w:rPr>
                      <w:color w:val="auto"/>
                      <w:szCs w:val="21"/>
                    </w:rPr>
                  </w:pPr>
                  <w:r>
                    <w:rPr>
                      <w:color w:val="auto"/>
                      <w:szCs w:val="21"/>
                    </w:rPr>
                    <w:t>日均浓度第95百分位数</w:t>
                  </w:r>
                </w:p>
              </w:tc>
              <w:tc>
                <w:tcPr>
                  <w:tcW w:w="1110" w:type="dxa"/>
                  <w:noWrap w:val="0"/>
                  <w:vAlign w:val="center"/>
                </w:tcPr>
                <w:p w14:paraId="6DCDE413">
                  <w:pPr>
                    <w:jc w:val="center"/>
                    <w:rPr>
                      <w:rFonts w:hint="default" w:eastAsia="宋体"/>
                      <w:color w:val="auto"/>
                      <w:szCs w:val="21"/>
                      <w:lang w:val="en-US" w:eastAsia="zh-CN"/>
                    </w:rPr>
                  </w:pPr>
                  <w:r>
                    <w:rPr>
                      <w:rFonts w:hint="eastAsia"/>
                      <w:color w:val="auto"/>
                      <w:szCs w:val="21"/>
                      <w:lang w:val="en-US" w:eastAsia="zh-CN"/>
                    </w:rPr>
                    <w:t>63</w:t>
                  </w:r>
                </w:p>
              </w:tc>
              <w:tc>
                <w:tcPr>
                  <w:tcW w:w="1125" w:type="dxa"/>
                  <w:noWrap w:val="0"/>
                  <w:vAlign w:val="center"/>
                </w:tcPr>
                <w:p w14:paraId="4E0DC9AE">
                  <w:pPr>
                    <w:jc w:val="center"/>
                    <w:rPr>
                      <w:color w:val="auto"/>
                      <w:szCs w:val="21"/>
                    </w:rPr>
                  </w:pPr>
                  <w:r>
                    <w:rPr>
                      <w:color w:val="auto"/>
                      <w:szCs w:val="21"/>
                    </w:rPr>
                    <w:t>75</w:t>
                  </w:r>
                </w:p>
              </w:tc>
              <w:tc>
                <w:tcPr>
                  <w:tcW w:w="1110" w:type="dxa"/>
                  <w:noWrap w:val="0"/>
                  <w:vAlign w:val="center"/>
                </w:tcPr>
                <w:p w14:paraId="6E44309F">
                  <w:pPr>
                    <w:widowControl/>
                    <w:jc w:val="center"/>
                    <w:textAlignment w:val="center"/>
                    <w:rPr>
                      <w:rFonts w:hint="default" w:eastAsia="宋体"/>
                      <w:color w:val="auto"/>
                      <w:szCs w:val="21"/>
                      <w:lang w:val="en-US" w:eastAsia="zh-CN"/>
                    </w:rPr>
                  </w:pPr>
                  <w:r>
                    <w:rPr>
                      <w:rFonts w:hint="eastAsia"/>
                      <w:color w:val="auto"/>
                      <w:szCs w:val="21"/>
                      <w:lang w:val="en-US" w:eastAsia="zh-CN"/>
                    </w:rPr>
                    <w:t>84.0</w:t>
                  </w:r>
                </w:p>
              </w:tc>
              <w:tc>
                <w:tcPr>
                  <w:tcW w:w="1097" w:type="dxa"/>
                  <w:vMerge w:val="continue"/>
                  <w:noWrap w:val="0"/>
                  <w:vAlign w:val="center"/>
                </w:tcPr>
                <w:p w14:paraId="2D4F7462">
                  <w:pPr>
                    <w:jc w:val="center"/>
                    <w:rPr>
                      <w:color w:val="auto"/>
                      <w:szCs w:val="21"/>
                    </w:rPr>
                  </w:pPr>
                </w:p>
              </w:tc>
            </w:tr>
            <w:tr w14:paraId="18E6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noWrap w:val="0"/>
                  <w:vAlign w:val="center"/>
                </w:tcPr>
                <w:p w14:paraId="4E7A0B4E">
                  <w:pPr>
                    <w:jc w:val="center"/>
                    <w:rPr>
                      <w:color w:val="auto"/>
                      <w:szCs w:val="21"/>
                    </w:rPr>
                  </w:pPr>
                  <w:r>
                    <w:rPr>
                      <w:color w:val="auto"/>
                      <w:szCs w:val="21"/>
                    </w:rPr>
                    <w:t>CO</w:t>
                  </w:r>
                </w:p>
              </w:tc>
              <w:tc>
                <w:tcPr>
                  <w:tcW w:w="2595" w:type="dxa"/>
                  <w:noWrap w:val="0"/>
                  <w:vAlign w:val="center"/>
                </w:tcPr>
                <w:p w14:paraId="04BB84DA">
                  <w:pPr>
                    <w:jc w:val="center"/>
                    <w:rPr>
                      <w:color w:val="auto"/>
                      <w:szCs w:val="21"/>
                    </w:rPr>
                  </w:pPr>
                  <w:r>
                    <w:rPr>
                      <w:color w:val="auto"/>
                      <w:szCs w:val="21"/>
                    </w:rPr>
                    <w:t>日均浓度第95百分位数</w:t>
                  </w:r>
                </w:p>
              </w:tc>
              <w:tc>
                <w:tcPr>
                  <w:tcW w:w="1110" w:type="dxa"/>
                  <w:noWrap w:val="0"/>
                  <w:vAlign w:val="center"/>
                </w:tcPr>
                <w:p w14:paraId="35DF92BB">
                  <w:pPr>
                    <w:jc w:val="center"/>
                    <w:rPr>
                      <w:rFonts w:hint="default" w:eastAsia="宋体"/>
                      <w:color w:val="auto"/>
                      <w:szCs w:val="21"/>
                      <w:lang w:val="en-US" w:eastAsia="zh-CN"/>
                    </w:rPr>
                  </w:pPr>
                  <w:r>
                    <w:rPr>
                      <w:rFonts w:hint="eastAsia"/>
                      <w:color w:val="auto"/>
                      <w:szCs w:val="21"/>
                      <w:lang w:val="en-US" w:eastAsia="zh-CN"/>
                    </w:rPr>
                    <w:t>800</w:t>
                  </w:r>
                </w:p>
              </w:tc>
              <w:tc>
                <w:tcPr>
                  <w:tcW w:w="1125" w:type="dxa"/>
                  <w:noWrap w:val="0"/>
                  <w:vAlign w:val="center"/>
                </w:tcPr>
                <w:p w14:paraId="32059ED1">
                  <w:pPr>
                    <w:jc w:val="center"/>
                    <w:rPr>
                      <w:color w:val="auto"/>
                      <w:szCs w:val="21"/>
                    </w:rPr>
                  </w:pPr>
                  <w:r>
                    <w:rPr>
                      <w:color w:val="auto"/>
                      <w:szCs w:val="21"/>
                    </w:rPr>
                    <w:t>4</w:t>
                  </w:r>
                  <w:r>
                    <w:rPr>
                      <w:rFonts w:hint="eastAsia"/>
                      <w:color w:val="auto"/>
                      <w:szCs w:val="21"/>
                    </w:rPr>
                    <w:t>000</w:t>
                  </w:r>
                </w:p>
              </w:tc>
              <w:tc>
                <w:tcPr>
                  <w:tcW w:w="1110" w:type="dxa"/>
                  <w:noWrap w:val="0"/>
                  <w:vAlign w:val="center"/>
                </w:tcPr>
                <w:p w14:paraId="1181E535">
                  <w:pPr>
                    <w:widowControl/>
                    <w:jc w:val="center"/>
                    <w:textAlignment w:val="center"/>
                    <w:rPr>
                      <w:rFonts w:hint="default" w:eastAsia="宋体"/>
                      <w:color w:val="auto"/>
                      <w:szCs w:val="21"/>
                      <w:lang w:val="en-US" w:eastAsia="zh-CN"/>
                    </w:rPr>
                  </w:pPr>
                  <w:r>
                    <w:rPr>
                      <w:rFonts w:hint="eastAsia"/>
                      <w:color w:val="auto"/>
                      <w:szCs w:val="21"/>
                      <w:lang w:val="en-US" w:eastAsia="zh-CN"/>
                    </w:rPr>
                    <w:t>20.0</w:t>
                  </w:r>
                </w:p>
              </w:tc>
              <w:tc>
                <w:tcPr>
                  <w:tcW w:w="1097" w:type="dxa"/>
                  <w:noWrap w:val="0"/>
                  <w:vAlign w:val="center"/>
                </w:tcPr>
                <w:p w14:paraId="44E73468">
                  <w:pPr>
                    <w:jc w:val="center"/>
                    <w:rPr>
                      <w:color w:val="auto"/>
                      <w:szCs w:val="21"/>
                    </w:rPr>
                  </w:pPr>
                  <w:r>
                    <w:rPr>
                      <w:color w:val="auto"/>
                      <w:szCs w:val="21"/>
                    </w:rPr>
                    <w:t>达标</w:t>
                  </w:r>
                </w:p>
              </w:tc>
            </w:tr>
            <w:tr w14:paraId="7C7A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noWrap w:val="0"/>
                  <w:vAlign w:val="center"/>
                </w:tcPr>
                <w:p w14:paraId="57685211">
                  <w:pPr>
                    <w:jc w:val="center"/>
                    <w:rPr>
                      <w:color w:val="auto"/>
                      <w:szCs w:val="21"/>
                    </w:rPr>
                  </w:pPr>
                  <w:r>
                    <w:rPr>
                      <w:color w:val="auto"/>
                      <w:szCs w:val="21"/>
                    </w:rPr>
                    <w:t>O</w:t>
                  </w:r>
                  <w:r>
                    <w:rPr>
                      <w:color w:val="auto"/>
                      <w:szCs w:val="21"/>
                      <w:vertAlign w:val="subscript"/>
                    </w:rPr>
                    <w:t>3</w:t>
                  </w:r>
                </w:p>
              </w:tc>
              <w:tc>
                <w:tcPr>
                  <w:tcW w:w="2595" w:type="dxa"/>
                  <w:noWrap w:val="0"/>
                  <w:vAlign w:val="center"/>
                </w:tcPr>
                <w:p w14:paraId="143A37D6">
                  <w:pPr>
                    <w:jc w:val="center"/>
                    <w:rPr>
                      <w:color w:val="auto"/>
                      <w:szCs w:val="21"/>
                    </w:rPr>
                  </w:pPr>
                  <w:r>
                    <w:rPr>
                      <w:color w:val="auto"/>
                      <w:szCs w:val="21"/>
                    </w:rPr>
                    <w:t>日最大8小时滑动平均值的第90百分位数</w:t>
                  </w:r>
                </w:p>
              </w:tc>
              <w:tc>
                <w:tcPr>
                  <w:tcW w:w="1110" w:type="dxa"/>
                  <w:noWrap w:val="0"/>
                  <w:vAlign w:val="center"/>
                </w:tcPr>
                <w:p w14:paraId="5D03CEF0">
                  <w:pPr>
                    <w:jc w:val="center"/>
                    <w:rPr>
                      <w:rFonts w:hint="default" w:eastAsia="宋体"/>
                      <w:color w:val="auto"/>
                      <w:szCs w:val="21"/>
                      <w:lang w:val="en-US" w:eastAsia="zh-CN"/>
                    </w:rPr>
                  </w:pPr>
                  <w:r>
                    <w:rPr>
                      <w:rFonts w:hint="eastAsia"/>
                      <w:color w:val="auto"/>
                      <w:szCs w:val="21"/>
                      <w:lang w:val="en-US" w:eastAsia="zh-CN"/>
                    </w:rPr>
                    <w:t>150</w:t>
                  </w:r>
                </w:p>
              </w:tc>
              <w:tc>
                <w:tcPr>
                  <w:tcW w:w="1125" w:type="dxa"/>
                  <w:noWrap w:val="0"/>
                  <w:vAlign w:val="center"/>
                </w:tcPr>
                <w:p w14:paraId="18DFFE38">
                  <w:pPr>
                    <w:jc w:val="center"/>
                    <w:rPr>
                      <w:color w:val="auto"/>
                      <w:szCs w:val="21"/>
                    </w:rPr>
                  </w:pPr>
                  <w:r>
                    <w:rPr>
                      <w:color w:val="auto"/>
                      <w:szCs w:val="21"/>
                    </w:rPr>
                    <w:t>160</w:t>
                  </w:r>
                </w:p>
              </w:tc>
              <w:tc>
                <w:tcPr>
                  <w:tcW w:w="1110" w:type="dxa"/>
                  <w:noWrap w:val="0"/>
                  <w:vAlign w:val="center"/>
                </w:tcPr>
                <w:p w14:paraId="6448FC68">
                  <w:pPr>
                    <w:widowControl/>
                    <w:jc w:val="center"/>
                    <w:textAlignment w:val="center"/>
                    <w:rPr>
                      <w:rFonts w:hint="default" w:eastAsia="宋体"/>
                      <w:color w:val="auto"/>
                      <w:szCs w:val="21"/>
                      <w:lang w:val="en-US" w:eastAsia="zh-CN"/>
                    </w:rPr>
                  </w:pPr>
                  <w:r>
                    <w:rPr>
                      <w:rFonts w:hint="eastAsia"/>
                      <w:color w:val="auto"/>
                      <w:szCs w:val="21"/>
                      <w:lang w:val="en-US" w:eastAsia="zh-CN"/>
                    </w:rPr>
                    <w:t>93.4</w:t>
                  </w:r>
                </w:p>
              </w:tc>
              <w:tc>
                <w:tcPr>
                  <w:tcW w:w="1097" w:type="dxa"/>
                  <w:noWrap w:val="0"/>
                  <w:vAlign w:val="center"/>
                </w:tcPr>
                <w:p w14:paraId="73BD01EE">
                  <w:pPr>
                    <w:jc w:val="center"/>
                    <w:rPr>
                      <w:color w:val="auto"/>
                      <w:szCs w:val="21"/>
                    </w:rPr>
                  </w:pPr>
                  <w:r>
                    <w:rPr>
                      <w:color w:val="auto"/>
                      <w:szCs w:val="21"/>
                    </w:rPr>
                    <w:t>达标</w:t>
                  </w:r>
                </w:p>
              </w:tc>
            </w:tr>
          </w:tbl>
          <w:p w14:paraId="46A753A1">
            <w:pPr>
              <w:adjustRightInd w:val="0"/>
              <w:snapToGrid w:val="0"/>
              <w:jc w:val="right"/>
              <w:rPr>
                <w:color w:val="auto"/>
                <w:sz w:val="10"/>
                <w:szCs w:val="10"/>
                <w:vertAlign w:val="superscript"/>
              </w:rPr>
            </w:pPr>
          </w:p>
          <w:p w14:paraId="6BE0E724">
            <w:pPr>
              <w:spacing w:line="440" w:lineRule="exact"/>
              <w:ind w:firstLine="480" w:firstLineChars="200"/>
              <w:rPr>
                <w:color w:val="auto"/>
                <w:sz w:val="24"/>
              </w:rPr>
            </w:pPr>
            <w:r>
              <w:rPr>
                <w:rFonts w:hint="eastAsia"/>
                <w:color w:val="auto"/>
                <w:sz w:val="24"/>
              </w:rPr>
              <w:t>由表3-1可知，项目所在区域SO</w:t>
            </w:r>
            <w:r>
              <w:rPr>
                <w:rFonts w:hint="eastAsia"/>
                <w:color w:val="auto"/>
                <w:sz w:val="24"/>
                <w:vertAlign w:val="subscript"/>
              </w:rPr>
              <w:t>2</w:t>
            </w:r>
            <w:r>
              <w:rPr>
                <w:rFonts w:hint="eastAsia"/>
                <w:color w:val="auto"/>
                <w:sz w:val="24"/>
              </w:rPr>
              <w:t>、NO</w:t>
            </w:r>
            <w:r>
              <w:rPr>
                <w:rFonts w:hint="eastAsia"/>
                <w:color w:val="auto"/>
                <w:sz w:val="24"/>
                <w:vertAlign w:val="subscript"/>
              </w:rPr>
              <w:t>2</w:t>
            </w:r>
            <w:r>
              <w:rPr>
                <w:rFonts w:hint="eastAsia"/>
                <w:color w:val="auto"/>
                <w:sz w:val="24"/>
              </w:rPr>
              <w:t>、PM</w:t>
            </w:r>
            <w:r>
              <w:rPr>
                <w:rFonts w:hint="eastAsia"/>
                <w:color w:val="auto"/>
                <w:sz w:val="24"/>
                <w:vertAlign w:val="subscript"/>
              </w:rPr>
              <w:t>2.5</w:t>
            </w:r>
            <w:r>
              <w:rPr>
                <w:rFonts w:hint="eastAsia"/>
                <w:color w:val="auto"/>
                <w:sz w:val="24"/>
              </w:rPr>
              <w:t>、PM</w:t>
            </w:r>
            <w:r>
              <w:rPr>
                <w:rFonts w:hint="eastAsia"/>
                <w:color w:val="auto"/>
                <w:sz w:val="24"/>
                <w:vertAlign w:val="subscript"/>
              </w:rPr>
              <w:t>10</w:t>
            </w:r>
            <w:r>
              <w:rPr>
                <w:rFonts w:hint="eastAsia"/>
                <w:color w:val="auto"/>
                <w:sz w:val="24"/>
              </w:rPr>
              <w:t>的年平均质量浓度值、CO日平均第95百分位数均满足《环境空气质量标准》（GB3095-2012）二级环境标准的要求，同时O</w:t>
            </w:r>
            <w:r>
              <w:rPr>
                <w:rFonts w:hint="eastAsia"/>
                <w:color w:val="auto"/>
                <w:sz w:val="24"/>
                <w:vertAlign w:val="subscript"/>
              </w:rPr>
              <w:t>3</w:t>
            </w:r>
            <w:r>
              <w:rPr>
                <w:rFonts w:hint="eastAsia"/>
                <w:color w:val="auto"/>
                <w:sz w:val="24"/>
              </w:rPr>
              <w:t>日最大8小时滑动平均值第90百分位数也能达到《环境空气质量标准》（GB3095-2012）二级环境标准的要求。</w:t>
            </w:r>
          </w:p>
          <w:p w14:paraId="11508238">
            <w:pPr>
              <w:pStyle w:val="141"/>
              <w:spacing w:line="440" w:lineRule="exact"/>
              <w:ind w:firstLine="480" w:firstLineChars="200"/>
              <w:rPr>
                <w:color w:val="auto"/>
              </w:rPr>
            </w:pPr>
            <w:r>
              <w:rPr>
                <w:rFonts w:hint="eastAsia"/>
                <w:color w:val="auto"/>
              </w:rPr>
              <w:t>对照《环境空气质量评价技术规范（试行）》（HJ663-2013）有关规定，</w:t>
            </w:r>
            <w:r>
              <w:rPr>
                <w:rFonts w:hint="eastAsia"/>
                <w:color w:val="auto"/>
                <w:szCs w:val="21"/>
              </w:rPr>
              <w:t>本项目所在区域为环境空气质量达标区</w:t>
            </w:r>
            <w:r>
              <w:rPr>
                <w:rFonts w:hint="eastAsia"/>
                <w:color w:val="auto"/>
              </w:rPr>
              <w:t>。</w:t>
            </w:r>
          </w:p>
          <w:p w14:paraId="612369E1">
            <w:pPr>
              <w:pStyle w:val="141"/>
              <w:spacing w:line="440" w:lineRule="exact"/>
              <w:ind w:firstLine="480" w:firstLineChars="200"/>
              <w:rPr>
                <w:color w:val="auto"/>
              </w:rPr>
            </w:pPr>
          </w:p>
          <w:p w14:paraId="765A5243">
            <w:pPr>
              <w:pStyle w:val="141"/>
              <w:spacing w:line="440" w:lineRule="exact"/>
              <w:ind w:firstLine="480" w:firstLineChars="200"/>
              <w:rPr>
                <w:color w:val="auto"/>
              </w:rPr>
            </w:pPr>
          </w:p>
          <w:p w14:paraId="50FA688F">
            <w:pPr>
              <w:adjustRightInd w:val="0"/>
              <w:snapToGrid w:val="0"/>
              <w:spacing w:line="440" w:lineRule="exact"/>
              <w:jc w:val="left"/>
              <w:rPr>
                <w:b/>
                <w:color w:val="auto"/>
                <w:sz w:val="24"/>
              </w:rPr>
            </w:pPr>
            <w:r>
              <w:rPr>
                <w:b/>
                <w:color w:val="auto"/>
                <w:sz w:val="24"/>
              </w:rPr>
              <w:t>（2）其他污染物环境质量现状</w:t>
            </w:r>
          </w:p>
          <w:p w14:paraId="0AFC1114">
            <w:pPr>
              <w:widowControl/>
              <w:spacing w:line="440" w:lineRule="exact"/>
              <w:ind w:firstLine="480" w:firstLineChars="200"/>
              <w:jc w:val="left"/>
              <w:rPr>
                <w:color w:val="auto"/>
                <w:sz w:val="24"/>
              </w:rPr>
            </w:pPr>
            <w:r>
              <w:rPr>
                <w:color w:val="auto"/>
                <w:sz w:val="24"/>
              </w:rPr>
              <w:t>项目所在地特征污染物</w:t>
            </w:r>
            <w:r>
              <w:rPr>
                <w:rFonts w:hint="eastAsia"/>
                <w:color w:val="auto"/>
                <w:sz w:val="24"/>
                <w:lang w:eastAsia="zh-CN"/>
              </w:rPr>
              <w:t>为</w:t>
            </w:r>
            <w:r>
              <w:rPr>
                <w:color w:val="auto"/>
                <w:sz w:val="24"/>
              </w:rPr>
              <w:t>非甲烷总烃</w:t>
            </w:r>
            <w:r>
              <w:rPr>
                <w:rFonts w:hint="eastAsia"/>
                <w:color w:val="auto"/>
                <w:sz w:val="24"/>
              </w:rPr>
              <w:t>、颗粒物</w:t>
            </w:r>
            <w:r>
              <w:rPr>
                <w:rFonts w:hint="eastAsia"/>
                <w:color w:val="auto"/>
                <w:sz w:val="24"/>
                <w:lang w:eastAsia="zh-CN"/>
              </w:rPr>
              <w:t>，其</w:t>
            </w:r>
            <w:r>
              <w:rPr>
                <w:color w:val="auto"/>
                <w:sz w:val="24"/>
              </w:rPr>
              <w:t>现状监测数据引用</w:t>
            </w:r>
            <w:r>
              <w:rPr>
                <w:rFonts w:hint="eastAsia"/>
                <w:color w:val="auto"/>
                <w:sz w:val="24"/>
                <w:lang w:eastAsia="zh-CN"/>
              </w:rPr>
              <w:t>杭州科谱环境检测技术</w:t>
            </w:r>
            <w:r>
              <w:rPr>
                <w:color w:val="auto"/>
                <w:sz w:val="24"/>
              </w:rPr>
              <w:t>有限公司出具的监测报告数据，报告编号为</w:t>
            </w:r>
            <w:r>
              <w:rPr>
                <w:rFonts w:hint="eastAsia"/>
                <w:color w:val="auto"/>
                <w:sz w:val="24"/>
                <w:lang w:eastAsia="zh-CN"/>
              </w:rPr>
              <w:t>杭科谱检测（</w:t>
            </w:r>
            <w:r>
              <w:rPr>
                <w:rFonts w:hint="eastAsia"/>
                <w:color w:val="auto"/>
                <w:sz w:val="24"/>
                <w:lang w:val="en-US" w:eastAsia="zh-CN"/>
              </w:rPr>
              <w:t>2024</w:t>
            </w:r>
            <w:r>
              <w:rPr>
                <w:rFonts w:hint="eastAsia"/>
                <w:color w:val="auto"/>
                <w:sz w:val="24"/>
                <w:lang w:eastAsia="zh-CN"/>
              </w:rPr>
              <w:t>）检字第</w:t>
            </w:r>
            <w:r>
              <w:rPr>
                <w:rFonts w:hint="eastAsia"/>
                <w:color w:val="auto"/>
                <w:sz w:val="24"/>
                <w:lang w:val="en-US" w:eastAsia="zh-CN"/>
              </w:rPr>
              <w:t>2405280401号</w:t>
            </w:r>
            <w:r>
              <w:rPr>
                <w:rFonts w:hint="eastAsia"/>
                <w:color w:val="auto"/>
                <w:kern w:val="0"/>
                <w:sz w:val="24"/>
                <w:lang w:val="en-US" w:eastAsia="zh-CN"/>
              </w:rPr>
              <w:t xml:space="preserve">，监测时间 </w:t>
            </w:r>
            <w:r>
              <w:rPr>
                <w:rFonts w:hint="default"/>
                <w:color w:val="auto"/>
                <w:kern w:val="0"/>
                <w:sz w:val="24"/>
                <w:lang w:val="en-US" w:eastAsia="zh-CN"/>
              </w:rPr>
              <w:t>202</w:t>
            </w:r>
            <w:r>
              <w:rPr>
                <w:rFonts w:hint="eastAsia"/>
                <w:color w:val="auto"/>
                <w:kern w:val="0"/>
                <w:sz w:val="24"/>
                <w:lang w:val="en-US" w:eastAsia="zh-CN"/>
              </w:rPr>
              <w:t>4</w:t>
            </w:r>
            <w:r>
              <w:rPr>
                <w:rFonts w:hint="default"/>
                <w:color w:val="auto"/>
                <w:kern w:val="0"/>
                <w:sz w:val="24"/>
                <w:lang w:val="en-US" w:eastAsia="zh-CN"/>
              </w:rPr>
              <w:t xml:space="preserve"> </w:t>
            </w:r>
            <w:r>
              <w:rPr>
                <w:rFonts w:hint="eastAsia"/>
                <w:color w:val="auto"/>
                <w:kern w:val="0"/>
                <w:sz w:val="24"/>
                <w:lang w:val="en-US" w:eastAsia="zh-CN"/>
              </w:rPr>
              <w:t>年 6月 5</w:t>
            </w:r>
            <w:r>
              <w:rPr>
                <w:rFonts w:hint="default"/>
                <w:color w:val="auto"/>
                <w:kern w:val="0"/>
                <w:sz w:val="24"/>
                <w:lang w:val="en-US" w:eastAsia="zh-CN"/>
              </w:rPr>
              <w:t xml:space="preserve"> </w:t>
            </w:r>
            <w:r>
              <w:rPr>
                <w:rFonts w:hint="eastAsia"/>
                <w:color w:val="auto"/>
                <w:kern w:val="0"/>
                <w:sz w:val="24"/>
                <w:lang w:val="en-US" w:eastAsia="zh-CN"/>
              </w:rPr>
              <w:t>日</w:t>
            </w:r>
            <w:r>
              <w:rPr>
                <w:rFonts w:hint="default"/>
                <w:color w:val="auto"/>
                <w:kern w:val="0"/>
                <w:sz w:val="24"/>
                <w:lang w:val="en-US" w:eastAsia="zh-CN"/>
              </w:rPr>
              <w:t>~202</w:t>
            </w:r>
            <w:r>
              <w:rPr>
                <w:rFonts w:hint="eastAsia"/>
                <w:color w:val="auto"/>
                <w:kern w:val="0"/>
                <w:sz w:val="24"/>
                <w:lang w:val="en-US" w:eastAsia="zh-CN"/>
              </w:rPr>
              <w:t>4</w:t>
            </w:r>
            <w:r>
              <w:rPr>
                <w:rFonts w:hint="default"/>
                <w:color w:val="auto"/>
                <w:kern w:val="0"/>
                <w:sz w:val="24"/>
                <w:lang w:val="en-US" w:eastAsia="zh-CN"/>
              </w:rPr>
              <w:t xml:space="preserve"> </w:t>
            </w:r>
            <w:r>
              <w:rPr>
                <w:rFonts w:hint="eastAsia"/>
                <w:color w:val="auto"/>
                <w:kern w:val="0"/>
                <w:sz w:val="24"/>
                <w:lang w:val="en-US" w:eastAsia="zh-CN"/>
              </w:rPr>
              <w:t>年 6月 8</w:t>
            </w:r>
            <w:r>
              <w:rPr>
                <w:rFonts w:hint="default"/>
                <w:color w:val="auto"/>
                <w:kern w:val="0"/>
                <w:sz w:val="24"/>
                <w:lang w:val="en-US" w:eastAsia="zh-CN"/>
              </w:rPr>
              <w:t xml:space="preserve"> </w:t>
            </w:r>
            <w:r>
              <w:rPr>
                <w:rFonts w:hint="eastAsia"/>
                <w:color w:val="auto"/>
                <w:kern w:val="0"/>
                <w:sz w:val="24"/>
                <w:lang w:val="en-US" w:eastAsia="zh-CN"/>
              </w:rPr>
              <w:t>日</w:t>
            </w:r>
            <w:r>
              <w:rPr>
                <w:color w:val="auto"/>
                <w:sz w:val="24"/>
              </w:rPr>
              <w:t>。具体监测数据详见表3-2至表3-3。</w:t>
            </w:r>
          </w:p>
          <w:p w14:paraId="72C6EFFD">
            <w:pPr>
              <w:spacing w:line="440" w:lineRule="exact"/>
              <w:jc w:val="center"/>
              <w:rPr>
                <w:b/>
                <w:bCs/>
                <w:color w:val="auto"/>
                <w:szCs w:val="21"/>
              </w:rPr>
            </w:pPr>
            <w:r>
              <w:rPr>
                <w:b/>
                <w:bCs/>
                <w:color w:val="auto"/>
                <w:szCs w:val="21"/>
              </w:rPr>
              <w:t xml:space="preserve">表3-2 </w:t>
            </w:r>
            <w:r>
              <w:rPr>
                <w:b/>
                <w:color w:val="auto"/>
                <w:sz w:val="21"/>
                <w:szCs w:val="21"/>
              </w:rPr>
              <w:t>特征污染物</w:t>
            </w:r>
            <w:r>
              <w:rPr>
                <w:b/>
                <w:bCs/>
                <w:color w:val="auto"/>
                <w:szCs w:val="21"/>
              </w:rPr>
              <w:t>补充监测点位基本信息</w:t>
            </w:r>
          </w:p>
          <w:tbl>
            <w:tblPr>
              <w:tblStyle w:val="37"/>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588"/>
              <w:gridCol w:w="1350"/>
              <w:gridCol w:w="1367"/>
              <w:gridCol w:w="1321"/>
              <w:gridCol w:w="1034"/>
            </w:tblGrid>
            <w:tr w14:paraId="2B52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7" w:type="dxa"/>
                  <w:vMerge w:val="restart"/>
                  <w:vAlign w:val="center"/>
                </w:tcPr>
                <w:p w14:paraId="4DCD2A32">
                  <w:pPr>
                    <w:jc w:val="center"/>
                    <w:rPr>
                      <w:b/>
                      <w:bCs/>
                      <w:color w:val="auto"/>
                      <w:szCs w:val="21"/>
                    </w:rPr>
                  </w:pPr>
                  <w:r>
                    <w:rPr>
                      <w:b/>
                      <w:bCs/>
                      <w:color w:val="auto"/>
                      <w:szCs w:val="21"/>
                    </w:rPr>
                    <w:t>监测点名称</w:t>
                  </w:r>
                </w:p>
              </w:tc>
              <w:tc>
                <w:tcPr>
                  <w:tcW w:w="2938" w:type="dxa"/>
                  <w:gridSpan w:val="2"/>
                  <w:vAlign w:val="center"/>
                </w:tcPr>
                <w:p w14:paraId="511B1B83">
                  <w:pPr>
                    <w:jc w:val="center"/>
                    <w:rPr>
                      <w:b/>
                      <w:bCs/>
                      <w:color w:val="auto"/>
                      <w:szCs w:val="21"/>
                    </w:rPr>
                  </w:pPr>
                  <w:r>
                    <w:rPr>
                      <w:b/>
                      <w:bCs/>
                      <w:color w:val="auto"/>
                      <w:szCs w:val="21"/>
                    </w:rPr>
                    <w:t>监测点坐标</w:t>
                  </w:r>
                </w:p>
              </w:tc>
              <w:tc>
                <w:tcPr>
                  <w:tcW w:w="1367" w:type="dxa"/>
                  <w:vMerge w:val="restart"/>
                  <w:vAlign w:val="center"/>
                </w:tcPr>
                <w:p w14:paraId="4D1E04E0">
                  <w:pPr>
                    <w:jc w:val="center"/>
                    <w:rPr>
                      <w:b/>
                      <w:bCs/>
                      <w:color w:val="auto"/>
                      <w:szCs w:val="21"/>
                    </w:rPr>
                  </w:pPr>
                  <w:r>
                    <w:rPr>
                      <w:b/>
                      <w:bCs/>
                      <w:color w:val="auto"/>
                      <w:szCs w:val="21"/>
                    </w:rPr>
                    <w:t>监测因子</w:t>
                  </w:r>
                </w:p>
              </w:tc>
              <w:tc>
                <w:tcPr>
                  <w:tcW w:w="1321" w:type="dxa"/>
                  <w:vMerge w:val="restart"/>
                  <w:vAlign w:val="center"/>
                </w:tcPr>
                <w:p w14:paraId="104989F1">
                  <w:pPr>
                    <w:jc w:val="center"/>
                    <w:rPr>
                      <w:b/>
                      <w:bCs/>
                      <w:color w:val="auto"/>
                      <w:szCs w:val="21"/>
                    </w:rPr>
                  </w:pPr>
                  <w:r>
                    <w:rPr>
                      <w:b/>
                      <w:bCs/>
                      <w:color w:val="auto"/>
                      <w:szCs w:val="21"/>
                    </w:rPr>
                    <w:t>相对本项目厂址方向</w:t>
                  </w:r>
                </w:p>
              </w:tc>
              <w:tc>
                <w:tcPr>
                  <w:tcW w:w="1034" w:type="dxa"/>
                  <w:vMerge w:val="restart"/>
                  <w:vAlign w:val="center"/>
                </w:tcPr>
                <w:p w14:paraId="3EA06B46">
                  <w:pPr>
                    <w:jc w:val="center"/>
                    <w:rPr>
                      <w:b/>
                      <w:bCs/>
                      <w:color w:val="auto"/>
                      <w:szCs w:val="21"/>
                    </w:rPr>
                  </w:pPr>
                  <w:r>
                    <w:rPr>
                      <w:b/>
                      <w:bCs/>
                      <w:color w:val="auto"/>
                      <w:szCs w:val="21"/>
                    </w:rPr>
                    <w:t>相对厂界距离/m</w:t>
                  </w:r>
                </w:p>
              </w:tc>
            </w:tr>
            <w:tr w14:paraId="6A74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7" w:type="dxa"/>
                  <w:vMerge w:val="continue"/>
                </w:tcPr>
                <w:p w14:paraId="3B15A475">
                  <w:pPr>
                    <w:jc w:val="center"/>
                    <w:rPr>
                      <w:color w:val="auto"/>
                      <w:szCs w:val="21"/>
                    </w:rPr>
                  </w:pPr>
                </w:p>
              </w:tc>
              <w:tc>
                <w:tcPr>
                  <w:tcW w:w="1588" w:type="dxa"/>
                  <w:vAlign w:val="center"/>
                </w:tcPr>
                <w:p w14:paraId="0499DEFE">
                  <w:pPr>
                    <w:jc w:val="center"/>
                    <w:rPr>
                      <w:b/>
                      <w:bCs/>
                      <w:color w:val="auto"/>
                      <w:szCs w:val="21"/>
                    </w:rPr>
                  </w:pPr>
                  <w:r>
                    <w:rPr>
                      <w:b/>
                      <w:bCs/>
                      <w:color w:val="auto"/>
                      <w:szCs w:val="21"/>
                    </w:rPr>
                    <w:t>经度</w:t>
                  </w:r>
                </w:p>
              </w:tc>
              <w:tc>
                <w:tcPr>
                  <w:tcW w:w="1350" w:type="dxa"/>
                  <w:vAlign w:val="center"/>
                </w:tcPr>
                <w:p w14:paraId="328D8369">
                  <w:pPr>
                    <w:jc w:val="center"/>
                    <w:rPr>
                      <w:b/>
                      <w:bCs/>
                      <w:color w:val="auto"/>
                      <w:szCs w:val="21"/>
                    </w:rPr>
                  </w:pPr>
                  <w:r>
                    <w:rPr>
                      <w:b/>
                      <w:bCs/>
                      <w:color w:val="auto"/>
                      <w:szCs w:val="21"/>
                    </w:rPr>
                    <w:t>纬度</w:t>
                  </w:r>
                </w:p>
              </w:tc>
              <w:tc>
                <w:tcPr>
                  <w:tcW w:w="1367" w:type="dxa"/>
                  <w:vMerge w:val="continue"/>
                  <w:vAlign w:val="center"/>
                </w:tcPr>
                <w:p w14:paraId="4A5CF434">
                  <w:pPr>
                    <w:jc w:val="center"/>
                    <w:rPr>
                      <w:color w:val="auto"/>
                      <w:szCs w:val="21"/>
                    </w:rPr>
                  </w:pPr>
                </w:p>
              </w:tc>
              <w:tc>
                <w:tcPr>
                  <w:tcW w:w="1321" w:type="dxa"/>
                  <w:vMerge w:val="continue"/>
                  <w:vAlign w:val="center"/>
                </w:tcPr>
                <w:p w14:paraId="5B33D419">
                  <w:pPr>
                    <w:jc w:val="center"/>
                    <w:rPr>
                      <w:color w:val="auto"/>
                      <w:szCs w:val="21"/>
                    </w:rPr>
                  </w:pPr>
                </w:p>
              </w:tc>
              <w:tc>
                <w:tcPr>
                  <w:tcW w:w="1034" w:type="dxa"/>
                  <w:vMerge w:val="continue"/>
                  <w:vAlign w:val="center"/>
                </w:tcPr>
                <w:p w14:paraId="1C60CFAE">
                  <w:pPr>
                    <w:jc w:val="center"/>
                    <w:rPr>
                      <w:color w:val="auto"/>
                      <w:szCs w:val="21"/>
                    </w:rPr>
                  </w:pPr>
                </w:p>
              </w:tc>
            </w:tr>
            <w:tr w14:paraId="6850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7" w:type="dxa"/>
                  <w:vAlign w:val="center"/>
                </w:tcPr>
                <w:p w14:paraId="064DEB80">
                  <w:pPr>
                    <w:jc w:val="center"/>
                    <w:rPr>
                      <w:color w:val="auto"/>
                      <w:szCs w:val="21"/>
                    </w:rPr>
                  </w:pPr>
                  <w:r>
                    <w:rPr>
                      <w:color w:val="auto"/>
                      <w:szCs w:val="21"/>
                    </w:rPr>
                    <w:t>1#</w:t>
                  </w:r>
                  <w:r>
                    <w:rPr>
                      <w:rFonts w:hint="eastAsia"/>
                      <w:color w:val="auto"/>
                      <w:szCs w:val="21"/>
                      <w:lang w:val="en-US" w:eastAsia="zh-CN"/>
                    </w:rPr>
                    <w:t>浙江美源家居科技有限公司</w:t>
                  </w:r>
                </w:p>
              </w:tc>
              <w:tc>
                <w:tcPr>
                  <w:tcW w:w="1588" w:type="dxa"/>
                  <w:vAlign w:val="center"/>
                </w:tcPr>
                <w:p w14:paraId="5B18E778">
                  <w:pPr>
                    <w:jc w:val="center"/>
                    <w:rPr>
                      <w:color w:val="auto"/>
                      <w:szCs w:val="21"/>
                    </w:rPr>
                  </w:pPr>
                  <w:r>
                    <w:rPr>
                      <w:color w:val="auto"/>
                      <w:szCs w:val="21"/>
                    </w:rPr>
                    <w:t>119°38′2</w:t>
                  </w:r>
                  <w:r>
                    <w:rPr>
                      <w:rFonts w:hint="eastAsia"/>
                      <w:color w:val="auto"/>
                      <w:szCs w:val="21"/>
                      <w:lang w:val="en-US" w:eastAsia="zh-CN"/>
                    </w:rPr>
                    <w:t>9</w:t>
                  </w:r>
                  <w:r>
                    <w:rPr>
                      <w:color w:val="auto"/>
                      <w:szCs w:val="21"/>
                    </w:rPr>
                    <w:t>.</w:t>
                  </w:r>
                  <w:r>
                    <w:rPr>
                      <w:rFonts w:hint="eastAsia"/>
                      <w:color w:val="auto"/>
                      <w:szCs w:val="21"/>
                      <w:lang w:val="en-US" w:eastAsia="zh-CN"/>
                    </w:rPr>
                    <w:t>236</w:t>
                  </w:r>
                  <w:r>
                    <w:rPr>
                      <w:color w:val="auto"/>
                      <w:szCs w:val="21"/>
                    </w:rPr>
                    <w:t>″</w:t>
                  </w:r>
                </w:p>
              </w:tc>
              <w:tc>
                <w:tcPr>
                  <w:tcW w:w="1350" w:type="dxa"/>
                  <w:vAlign w:val="center"/>
                </w:tcPr>
                <w:p w14:paraId="424D9F74">
                  <w:pPr>
                    <w:jc w:val="center"/>
                    <w:rPr>
                      <w:color w:val="auto"/>
                      <w:szCs w:val="21"/>
                    </w:rPr>
                  </w:pPr>
                  <w:r>
                    <w:rPr>
                      <w:color w:val="auto"/>
                      <w:szCs w:val="21"/>
                    </w:rPr>
                    <w:t>30°33′</w:t>
                  </w:r>
                  <w:r>
                    <w:rPr>
                      <w:rFonts w:hint="eastAsia"/>
                      <w:color w:val="auto"/>
                      <w:szCs w:val="21"/>
                      <w:lang w:val="en-US" w:eastAsia="zh-CN"/>
                    </w:rPr>
                    <w:t>3</w:t>
                  </w:r>
                  <w:r>
                    <w:rPr>
                      <w:color w:val="auto"/>
                      <w:szCs w:val="21"/>
                    </w:rPr>
                    <w:t>.</w:t>
                  </w:r>
                  <w:r>
                    <w:rPr>
                      <w:rFonts w:hint="eastAsia"/>
                      <w:color w:val="auto"/>
                      <w:szCs w:val="21"/>
                      <w:lang w:val="en-US" w:eastAsia="zh-CN"/>
                    </w:rPr>
                    <w:t>987</w:t>
                  </w:r>
                  <w:r>
                    <w:rPr>
                      <w:color w:val="auto"/>
                      <w:szCs w:val="21"/>
                    </w:rPr>
                    <w:t>″</w:t>
                  </w:r>
                </w:p>
              </w:tc>
              <w:tc>
                <w:tcPr>
                  <w:tcW w:w="1367" w:type="dxa"/>
                  <w:vAlign w:val="center"/>
                </w:tcPr>
                <w:p w14:paraId="3F8F1C62">
                  <w:pPr>
                    <w:jc w:val="both"/>
                    <w:rPr>
                      <w:rFonts w:hint="eastAsia" w:eastAsia="宋体"/>
                      <w:color w:val="auto"/>
                      <w:szCs w:val="21"/>
                      <w:lang w:eastAsia="zh-CN"/>
                    </w:rPr>
                  </w:pPr>
                  <w:r>
                    <w:rPr>
                      <w:rFonts w:hint="eastAsia" w:eastAsia="宋体"/>
                      <w:color w:val="auto"/>
                      <w:szCs w:val="21"/>
                      <w:lang w:eastAsia="zh-CN"/>
                    </w:rPr>
                    <w:t>非甲烷总烃、总悬浮颗粒物</w:t>
                  </w:r>
                </w:p>
              </w:tc>
              <w:tc>
                <w:tcPr>
                  <w:tcW w:w="1321" w:type="dxa"/>
                  <w:vAlign w:val="center"/>
                </w:tcPr>
                <w:p w14:paraId="39C75F60">
                  <w:pPr>
                    <w:jc w:val="center"/>
                    <w:rPr>
                      <w:color w:val="auto"/>
                      <w:szCs w:val="21"/>
                    </w:rPr>
                  </w:pPr>
                  <w:r>
                    <w:rPr>
                      <w:rFonts w:hint="eastAsia"/>
                      <w:color w:val="auto"/>
                      <w:szCs w:val="21"/>
                    </w:rPr>
                    <w:t>南</w:t>
                  </w:r>
                  <w:r>
                    <w:rPr>
                      <w:color w:val="auto"/>
                      <w:szCs w:val="21"/>
                    </w:rPr>
                    <w:t>侧</w:t>
                  </w:r>
                </w:p>
              </w:tc>
              <w:tc>
                <w:tcPr>
                  <w:tcW w:w="1034" w:type="dxa"/>
                  <w:vAlign w:val="center"/>
                </w:tcPr>
                <w:p w14:paraId="78EAC7F5">
                  <w:pPr>
                    <w:jc w:val="center"/>
                    <w:rPr>
                      <w:rFonts w:hint="default" w:eastAsia="宋体"/>
                      <w:color w:val="auto"/>
                      <w:szCs w:val="21"/>
                      <w:lang w:val="en-US" w:eastAsia="zh-CN"/>
                    </w:rPr>
                  </w:pPr>
                  <w:r>
                    <w:rPr>
                      <w:rFonts w:hint="eastAsia"/>
                      <w:color w:val="auto"/>
                      <w:szCs w:val="21"/>
                    </w:rPr>
                    <w:t>约</w:t>
                  </w:r>
                  <w:r>
                    <w:rPr>
                      <w:rFonts w:hint="eastAsia"/>
                      <w:color w:val="auto"/>
                      <w:szCs w:val="21"/>
                      <w:lang w:val="en-US" w:eastAsia="zh-CN"/>
                    </w:rPr>
                    <w:t>1370</w:t>
                  </w:r>
                </w:p>
              </w:tc>
            </w:tr>
          </w:tbl>
          <w:p w14:paraId="2206B9B7">
            <w:pPr>
              <w:pStyle w:val="15"/>
              <w:keepNext w:val="0"/>
              <w:keepLines w:val="0"/>
              <w:pageBreakBefore w:val="0"/>
              <w:widowControl w:val="0"/>
              <w:kinsoku/>
              <w:wordWrap/>
              <w:overflowPunct/>
              <w:topLinePunct w:val="0"/>
              <w:autoSpaceDE/>
              <w:autoSpaceDN/>
              <w:bidi w:val="0"/>
              <w:adjustRightInd/>
              <w:snapToGrid/>
              <w:spacing w:after="0" w:line="460" w:lineRule="exact"/>
              <w:ind w:left="0" w:leftChars="0" w:firstLine="0"/>
              <w:jc w:val="center"/>
              <w:textAlignment w:val="auto"/>
              <w:rPr>
                <w:rFonts w:ascii="Times New Roman"/>
                <w:b/>
                <w:color w:val="auto"/>
                <w:sz w:val="24"/>
              </w:rPr>
            </w:pPr>
            <w:r>
              <w:rPr>
                <w:rFonts w:ascii="Times New Roman"/>
                <w:b/>
                <w:color w:val="auto"/>
                <w:sz w:val="21"/>
                <w:szCs w:val="21"/>
              </w:rPr>
              <w:t>表3-</w:t>
            </w:r>
            <w:r>
              <w:rPr>
                <w:rFonts w:hint="eastAsia" w:ascii="Times New Roman"/>
                <w:b/>
                <w:color w:val="auto"/>
                <w:sz w:val="21"/>
                <w:szCs w:val="21"/>
              </w:rPr>
              <w:t>3</w:t>
            </w:r>
            <w:r>
              <w:rPr>
                <w:rFonts w:ascii="Times New Roman"/>
                <w:b/>
                <w:color w:val="auto"/>
                <w:sz w:val="21"/>
                <w:szCs w:val="21"/>
              </w:rPr>
              <w:t xml:space="preserve"> 项目特征污染物环境质量现状（监测结果）表</w:t>
            </w:r>
          </w:p>
          <w:tbl>
            <w:tblPr>
              <w:tblStyle w:val="37"/>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088"/>
              <w:gridCol w:w="1050"/>
              <w:gridCol w:w="1000"/>
              <w:gridCol w:w="1012"/>
              <w:gridCol w:w="1163"/>
              <w:gridCol w:w="762"/>
              <w:gridCol w:w="588"/>
              <w:gridCol w:w="547"/>
            </w:tblGrid>
            <w:tr w14:paraId="08ED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0" w:type="dxa"/>
                  <w:vMerge w:val="restart"/>
                  <w:vAlign w:val="center"/>
                </w:tcPr>
                <w:p w14:paraId="500968DF">
                  <w:pPr>
                    <w:jc w:val="center"/>
                    <w:rPr>
                      <w:b/>
                      <w:color w:val="auto"/>
                      <w:szCs w:val="21"/>
                    </w:rPr>
                  </w:pPr>
                  <w:r>
                    <w:rPr>
                      <w:b/>
                      <w:color w:val="auto"/>
                      <w:szCs w:val="21"/>
                    </w:rPr>
                    <w:t>监测点名称</w:t>
                  </w:r>
                </w:p>
              </w:tc>
              <w:tc>
                <w:tcPr>
                  <w:tcW w:w="2138" w:type="dxa"/>
                  <w:gridSpan w:val="2"/>
                  <w:vAlign w:val="center"/>
                </w:tcPr>
                <w:p w14:paraId="42065044">
                  <w:pPr>
                    <w:jc w:val="center"/>
                    <w:rPr>
                      <w:b/>
                      <w:color w:val="auto"/>
                      <w:szCs w:val="21"/>
                    </w:rPr>
                  </w:pPr>
                  <w:r>
                    <w:rPr>
                      <w:b/>
                      <w:color w:val="auto"/>
                      <w:szCs w:val="21"/>
                    </w:rPr>
                    <w:t>监测点坐标</w:t>
                  </w:r>
                </w:p>
              </w:tc>
              <w:tc>
                <w:tcPr>
                  <w:tcW w:w="1000" w:type="dxa"/>
                  <w:vMerge w:val="restart"/>
                  <w:vAlign w:val="center"/>
                </w:tcPr>
                <w:p w14:paraId="142D085D">
                  <w:pPr>
                    <w:jc w:val="center"/>
                    <w:rPr>
                      <w:b/>
                      <w:color w:val="auto"/>
                      <w:szCs w:val="21"/>
                    </w:rPr>
                  </w:pPr>
                  <w:r>
                    <w:rPr>
                      <w:b/>
                      <w:color w:val="auto"/>
                      <w:szCs w:val="21"/>
                    </w:rPr>
                    <w:t>污染物</w:t>
                  </w:r>
                </w:p>
              </w:tc>
              <w:tc>
                <w:tcPr>
                  <w:tcW w:w="1012" w:type="dxa"/>
                  <w:vMerge w:val="restart"/>
                  <w:vAlign w:val="center"/>
                </w:tcPr>
                <w:p w14:paraId="24CE5B0C">
                  <w:pPr>
                    <w:jc w:val="center"/>
                    <w:rPr>
                      <w:b/>
                      <w:color w:val="auto"/>
                      <w:szCs w:val="21"/>
                    </w:rPr>
                  </w:pPr>
                  <w:r>
                    <w:rPr>
                      <w:b/>
                      <w:color w:val="auto"/>
                      <w:szCs w:val="21"/>
                    </w:rPr>
                    <w:t>评价标准/(</w:t>
                  </w:r>
                  <w:r>
                    <w:rPr>
                      <w:color w:val="auto"/>
                      <w:szCs w:val="21"/>
                    </w:rPr>
                    <w:t xml:space="preserve"> </w:t>
                  </w:r>
                  <w:r>
                    <w:rPr>
                      <w:b/>
                      <w:color w:val="auto"/>
                      <w:szCs w:val="21"/>
                    </w:rPr>
                    <w:t>ug/m</w:t>
                  </w:r>
                  <w:r>
                    <w:rPr>
                      <w:b/>
                      <w:color w:val="auto"/>
                      <w:szCs w:val="21"/>
                      <w:vertAlign w:val="superscript"/>
                    </w:rPr>
                    <w:t>3</w:t>
                  </w:r>
                  <w:r>
                    <w:rPr>
                      <w:b/>
                      <w:color w:val="auto"/>
                      <w:szCs w:val="21"/>
                    </w:rPr>
                    <w:t>)</w:t>
                  </w:r>
                </w:p>
              </w:tc>
              <w:tc>
                <w:tcPr>
                  <w:tcW w:w="1163" w:type="dxa"/>
                  <w:vMerge w:val="restart"/>
                  <w:vAlign w:val="center"/>
                </w:tcPr>
                <w:p w14:paraId="6B276C29">
                  <w:pPr>
                    <w:jc w:val="center"/>
                    <w:rPr>
                      <w:b/>
                      <w:color w:val="auto"/>
                      <w:szCs w:val="21"/>
                    </w:rPr>
                  </w:pPr>
                  <w:r>
                    <w:rPr>
                      <w:b/>
                      <w:color w:val="auto"/>
                      <w:szCs w:val="21"/>
                    </w:rPr>
                    <w:t>监测浓度范围/(</w:t>
                  </w:r>
                  <w:r>
                    <w:rPr>
                      <w:color w:val="auto"/>
                      <w:szCs w:val="21"/>
                    </w:rPr>
                    <w:t xml:space="preserve"> </w:t>
                  </w:r>
                  <w:r>
                    <w:rPr>
                      <w:b/>
                      <w:color w:val="auto"/>
                      <w:szCs w:val="21"/>
                    </w:rPr>
                    <w:t>ug/m</w:t>
                  </w:r>
                  <w:r>
                    <w:rPr>
                      <w:b/>
                      <w:color w:val="auto"/>
                      <w:szCs w:val="21"/>
                      <w:vertAlign w:val="superscript"/>
                    </w:rPr>
                    <w:t>3</w:t>
                  </w:r>
                  <w:r>
                    <w:rPr>
                      <w:b/>
                      <w:color w:val="auto"/>
                      <w:szCs w:val="21"/>
                    </w:rPr>
                    <w:t>)</w:t>
                  </w:r>
                </w:p>
              </w:tc>
              <w:tc>
                <w:tcPr>
                  <w:tcW w:w="762" w:type="dxa"/>
                  <w:vMerge w:val="restart"/>
                  <w:vAlign w:val="center"/>
                </w:tcPr>
                <w:p w14:paraId="68C22AC8">
                  <w:pPr>
                    <w:jc w:val="center"/>
                    <w:rPr>
                      <w:b/>
                      <w:color w:val="auto"/>
                      <w:szCs w:val="21"/>
                    </w:rPr>
                  </w:pPr>
                  <w:r>
                    <w:rPr>
                      <w:b/>
                      <w:color w:val="auto"/>
                      <w:szCs w:val="21"/>
                    </w:rPr>
                    <w:t>最大浓度占标率/%</w:t>
                  </w:r>
                </w:p>
              </w:tc>
              <w:tc>
                <w:tcPr>
                  <w:tcW w:w="588" w:type="dxa"/>
                  <w:vMerge w:val="restart"/>
                  <w:vAlign w:val="center"/>
                </w:tcPr>
                <w:p w14:paraId="1A1D425B">
                  <w:pPr>
                    <w:jc w:val="center"/>
                    <w:rPr>
                      <w:b/>
                      <w:color w:val="auto"/>
                      <w:szCs w:val="21"/>
                    </w:rPr>
                  </w:pPr>
                  <w:r>
                    <w:rPr>
                      <w:b/>
                      <w:color w:val="auto"/>
                      <w:szCs w:val="21"/>
                    </w:rPr>
                    <w:t>超标率/%</w:t>
                  </w:r>
                </w:p>
              </w:tc>
              <w:tc>
                <w:tcPr>
                  <w:tcW w:w="547" w:type="dxa"/>
                  <w:vMerge w:val="restart"/>
                  <w:vAlign w:val="center"/>
                </w:tcPr>
                <w:p w14:paraId="1537CD84">
                  <w:pPr>
                    <w:jc w:val="center"/>
                    <w:rPr>
                      <w:b/>
                      <w:color w:val="auto"/>
                      <w:szCs w:val="21"/>
                    </w:rPr>
                  </w:pPr>
                  <w:r>
                    <w:rPr>
                      <w:b/>
                      <w:color w:val="auto"/>
                      <w:szCs w:val="21"/>
                    </w:rPr>
                    <w:t>达标情况</w:t>
                  </w:r>
                </w:p>
              </w:tc>
            </w:tr>
            <w:tr w14:paraId="21CF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0" w:type="dxa"/>
                  <w:vMerge w:val="continue"/>
                </w:tcPr>
                <w:p w14:paraId="63DAD3C9">
                  <w:pPr>
                    <w:spacing w:line="460" w:lineRule="exact"/>
                    <w:jc w:val="center"/>
                    <w:rPr>
                      <w:b/>
                      <w:color w:val="auto"/>
                      <w:szCs w:val="21"/>
                    </w:rPr>
                  </w:pPr>
                </w:p>
              </w:tc>
              <w:tc>
                <w:tcPr>
                  <w:tcW w:w="1088" w:type="dxa"/>
                  <w:vAlign w:val="center"/>
                </w:tcPr>
                <w:p w14:paraId="29ABDD3E">
                  <w:pPr>
                    <w:pStyle w:val="2"/>
                    <w:ind w:left="0" w:leftChars="0" w:firstLine="0" w:firstLineChars="0"/>
                    <w:jc w:val="center"/>
                    <w:rPr>
                      <w:b/>
                      <w:bCs/>
                      <w:color w:val="auto"/>
                    </w:rPr>
                  </w:pPr>
                  <w:r>
                    <w:rPr>
                      <w:rFonts w:hint="eastAsia"/>
                      <w:b/>
                      <w:bCs/>
                      <w:color w:val="auto"/>
                    </w:rPr>
                    <w:t>经度</w:t>
                  </w:r>
                </w:p>
              </w:tc>
              <w:tc>
                <w:tcPr>
                  <w:tcW w:w="1050" w:type="dxa"/>
                  <w:vAlign w:val="center"/>
                </w:tcPr>
                <w:p w14:paraId="501DF0D1">
                  <w:pPr>
                    <w:jc w:val="center"/>
                    <w:rPr>
                      <w:b/>
                      <w:bCs/>
                      <w:color w:val="auto"/>
                      <w:szCs w:val="21"/>
                    </w:rPr>
                  </w:pPr>
                  <w:r>
                    <w:rPr>
                      <w:rFonts w:hint="eastAsia"/>
                      <w:b/>
                      <w:bCs/>
                      <w:color w:val="auto"/>
                      <w:szCs w:val="21"/>
                    </w:rPr>
                    <w:t>纬度</w:t>
                  </w:r>
                </w:p>
              </w:tc>
              <w:tc>
                <w:tcPr>
                  <w:tcW w:w="1000" w:type="dxa"/>
                  <w:vMerge w:val="continue"/>
                  <w:vAlign w:val="center"/>
                </w:tcPr>
                <w:p w14:paraId="5722EE22">
                  <w:pPr>
                    <w:spacing w:line="460" w:lineRule="exact"/>
                    <w:jc w:val="center"/>
                    <w:rPr>
                      <w:b/>
                      <w:color w:val="auto"/>
                      <w:szCs w:val="21"/>
                    </w:rPr>
                  </w:pPr>
                </w:p>
              </w:tc>
              <w:tc>
                <w:tcPr>
                  <w:tcW w:w="1012" w:type="dxa"/>
                  <w:vMerge w:val="continue"/>
                  <w:vAlign w:val="center"/>
                </w:tcPr>
                <w:p w14:paraId="66D7F472">
                  <w:pPr>
                    <w:spacing w:line="460" w:lineRule="exact"/>
                    <w:jc w:val="center"/>
                    <w:rPr>
                      <w:b/>
                      <w:color w:val="auto"/>
                      <w:szCs w:val="21"/>
                    </w:rPr>
                  </w:pPr>
                </w:p>
              </w:tc>
              <w:tc>
                <w:tcPr>
                  <w:tcW w:w="1163" w:type="dxa"/>
                  <w:vMerge w:val="continue"/>
                  <w:vAlign w:val="center"/>
                </w:tcPr>
                <w:p w14:paraId="2A60ECD9">
                  <w:pPr>
                    <w:spacing w:line="460" w:lineRule="exact"/>
                    <w:jc w:val="center"/>
                    <w:rPr>
                      <w:b/>
                      <w:color w:val="auto"/>
                      <w:szCs w:val="21"/>
                    </w:rPr>
                  </w:pPr>
                </w:p>
              </w:tc>
              <w:tc>
                <w:tcPr>
                  <w:tcW w:w="762" w:type="dxa"/>
                  <w:vMerge w:val="continue"/>
                  <w:vAlign w:val="center"/>
                </w:tcPr>
                <w:p w14:paraId="53C8028C">
                  <w:pPr>
                    <w:spacing w:line="460" w:lineRule="exact"/>
                    <w:jc w:val="center"/>
                    <w:rPr>
                      <w:b/>
                      <w:color w:val="auto"/>
                      <w:szCs w:val="21"/>
                    </w:rPr>
                  </w:pPr>
                </w:p>
              </w:tc>
              <w:tc>
                <w:tcPr>
                  <w:tcW w:w="588" w:type="dxa"/>
                  <w:vMerge w:val="continue"/>
                  <w:vAlign w:val="center"/>
                </w:tcPr>
                <w:p w14:paraId="0023C28C">
                  <w:pPr>
                    <w:spacing w:line="460" w:lineRule="exact"/>
                    <w:jc w:val="center"/>
                    <w:rPr>
                      <w:b/>
                      <w:color w:val="auto"/>
                      <w:szCs w:val="21"/>
                    </w:rPr>
                  </w:pPr>
                </w:p>
              </w:tc>
              <w:tc>
                <w:tcPr>
                  <w:tcW w:w="547" w:type="dxa"/>
                  <w:vMerge w:val="continue"/>
                  <w:vAlign w:val="center"/>
                </w:tcPr>
                <w:p w14:paraId="4F69EDAA">
                  <w:pPr>
                    <w:spacing w:line="460" w:lineRule="exact"/>
                    <w:jc w:val="center"/>
                    <w:rPr>
                      <w:b/>
                      <w:color w:val="auto"/>
                      <w:szCs w:val="21"/>
                    </w:rPr>
                  </w:pPr>
                </w:p>
              </w:tc>
            </w:tr>
            <w:tr w14:paraId="5FF4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0" w:type="dxa"/>
                  <w:vMerge w:val="restart"/>
                  <w:vAlign w:val="center"/>
                </w:tcPr>
                <w:p w14:paraId="70DA6F59">
                  <w:pPr>
                    <w:rPr>
                      <w:b/>
                      <w:color w:val="auto"/>
                      <w:szCs w:val="21"/>
                    </w:rPr>
                  </w:pPr>
                  <w:r>
                    <w:rPr>
                      <w:color w:val="auto"/>
                      <w:szCs w:val="21"/>
                    </w:rPr>
                    <w:t>1#</w:t>
                  </w:r>
                  <w:r>
                    <w:rPr>
                      <w:rFonts w:hint="eastAsia"/>
                      <w:color w:val="auto"/>
                      <w:szCs w:val="21"/>
                      <w:lang w:val="en-US" w:eastAsia="zh-CN"/>
                    </w:rPr>
                    <w:t>浙江美源家居科技有限公司</w:t>
                  </w:r>
                </w:p>
              </w:tc>
              <w:tc>
                <w:tcPr>
                  <w:tcW w:w="1088" w:type="dxa"/>
                  <w:vMerge w:val="restart"/>
                  <w:vAlign w:val="center"/>
                </w:tcPr>
                <w:p w14:paraId="30926857">
                  <w:pPr>
                    <w:jc w:val="center"/>
                    <w:rPr>
                      <w:color w:val="auto"/>
                      <w:szCs w:val="21"/>
                      <w:highlight w:val="yellow"/>
                    </w:rPr>
                  </w:pPr>
                  <w:r>
                    <w:rPr>
                      <w:color w:val="auto"/>
                      <w:szCs w:val="21"/>
                    </w:rPr>
                    <w:t>119°38′2</w:t>
                  </w:r>
                  <w:r>
                    <w:rPr>
                      <w:rFonts w:hint="eastAsia"/>
                      <w:color w:val="auto"/>
                      <w:szCs w:val="21"/>
                      <w:lang w:val="en-US" w:eastAsia="zh-CN"/>
                    </w:rPr>
                    <w:t>9</w:t>
                  </w:r>
                  <w:r>
                    <w:rPr>
                      <w:color w:val="auto"/>
                      <w:szCs w:val="21"/>
                    </w:rPr>
                    <w:t>.</w:t>
                  </w:r>
                  <w:r>
                    <w:rPr>
                      <w:rFonts w:hint="eastAsia"/>
                      <w:color w:val="auto"/>
                      <w:szCs w:val="21"/>
                      <w:lang w:val="en-US" w:eastAsia="zh-CN"/>
                    </w:rPr>
                    <w:t>236</w:t>
                  </w:r>
                  <w:r>
                    <w:rPr>
                      <w:color w:val="auto"/>
                      <w:szCs w:val="21"/>
                    </w:rPr>
                    <w:t>″</w:t>
                  </w:r>
                </w:p>
              </w:tc>
              <w:tc>
                <w:tcPr>
                  <w:tcW w:w="1050" w:type="dxa"/>
                  <w:vMerge w:val="restart"/>
                  <w:vAlign w:val="center"/>
                </w:tcPr>
                <w:p w14:paraId="4C8ED072">
                  <w:pPr>
                    <w:jc w:val="center"/>
                    <w:rPr>
                      <w:color w:val="auto"/>
                      <w:szCs w:val="21"/>
                      <w:highlight w:val="yellow"/>
                    </w:rPr>
                  </w:pPr>
                  <w:r>
                    <w:rPr>
                      <w:color w:val="auto"/>
                      <w:szCs w:val="21"/>
                    </w:rPr>
                    <w:t>30°33′</w:t>
                  </w:r>
                  <w:r>
                    <w:rPr>
                      <w:rFonts w:hint="eastAsia"/>
                      <w:color w:val="auto"/>
                      <w:szCs w:val="21"/>
                      <w:lang w:val="en-US" w:eastAsia="zh-CN"/>
                    </w:rPr>
                    <w:t>3</w:t>
                  </w:r>
                  <w:r>
                    <w:rPr>
                      <w:color w:val="auto"/>
                      <w:szCs w:val="21"/>
                    </w:rPr>
                    <w:t>.</w:t>
                  </w:r>
                  <w:r>
                    <w:rPr>
                      <w:rFonts w:hint="eastAsia"/>
                      <w:color w:val="auto"/>
                      <w:szCs w:val="21"/>
                      <w:lang w:val="en-US" w:eastAsia="zh-CN"/>
                    </w:rPr>
                    <w:t>987</w:t>
                  </w:r>
                  <w:r>
                    <w:rPr>
                      <w:color w:val="auto"/>
                      <w:szCs w:val="21"/>
                    </w:rPr>
                    <w:t>″</w:t>
                  </w:r>
                </w:p>
              </w:tc>
              <w:tc>
                <w:tcPr>
                  <w:tcW w:w="1000" w:type="dxa"/>
                  <w:vAlign w:val="center"/>
                </w:tcPr>
                <w:p w14:paraId="5270ED2F">
                  <w:pPr>
                    <w:jc w:val="center"/>
                    <w:rPr>
                      <w:color w:val="auto"/>
                      <w:szCs w:val="21"/>
                    </w:rPr>
                  </w:pPr>
                  <w:r>
                    <w:rPr>
                      <w:rFonts w:hint="eastAsia"/>
                      <w:color w:val="auto"/>
                      <w:szCs w:val="21"/>
                    </w:rPr>
                    <w:t>总悬浮颗粒物</w:t>
                  </w:r>
                </w:p>
              </w:tc>
              <w:tc>
                <w:tcPr>
                  <w:tcW w:w="1012" w:type="dxa"/>
                  <w:vAlign w:val="center"/>
                </w:tcPr>
                <w:p w14:paraId="53428CE3">
                  <w:pPr>
                    <w:jc w:val="center"/>
                    <w:rPr>
                      <w:color w:val="auto"/>
                      <w:szCs w:val="21"/>
                    </w:rPr>
                  </w:pPr>
                  <w:r>
                    <w:rPr>
                      <w:rFonts w:hint="eastAsia"/>
                      <w:color w:val="auto"/>
                      <w:szCs w:val="21"/>
                    </w:rPr>
                    <w:t>300</w:t>
                  </w:r>
                </w:p>
              </w:tc>
              <w:tc>
                <w:tcPr>
                  <w:tcW w:w="1163" w:type="dxa"/>
                  <w:vAlign w:val="center"/>
                </w:tcPr>
                <w:p w14:paraId="1595316B">
                  <w:pPr>
                    <w:jc w:val="center"/>
                    <w:rPr>
                      <w:rFonts w:hint="default" w:eastAsia="宋体"/>
                      <w:color w:val="auto"/>
                      <w:szCs w:val="21"/>
                      <w:lang w:val="en-US" w:eastAsia="zh-CN"/>
                    </w:rPr>
                  </w:pPr>
                  <w:r>
                    <w:rPr>
                      <w:rFonts w:hint="eastAsia"/>
                      <w:color w:val="auto"/>
                      <w:szCs w:val="21"/>
                      <w:lang w:val="en-US" w:eastAsia="zh-CN"/>
                    </w:rPr>
                    <w:t>198</w:t>
                  </w:r>
                  <w:r>
                    <w:rPr>
                      <w:rFonts w:hint="eastAsia"/>
                      <w:color w:val="auto"/>
                      <w:szCs w:val="21"/>
                    </w:rPr>
                    <w:t>-</w:t>
                  </w:r>
                  <w:r>
                    <w:rPr>
                      <w:rFonts w:hint="eastAsia"/>
                      <w:color w:val="auto"/>
                      <w:szCs w:val="21"/>
                      <w:lang w:val="en-US" w:eastAsia="zh-CN"/>
                    </w:rPr>
                    <w:t>205</w:t>
                  </w:r>
                </w:p>
              </w:tc>
              <w:tc>
                <w:tcPr>
                  <w:tcW w:w="762" w:type="dxa"/>
                  <w:vAlign w:val="center"/>
                </w:tcPr>
                <w:p w14:paraId="4BEE521D">
                  <w:pPr>
                    <w:jc w:val="center"/>
                    <w:rPr>
                      <w:rFonts w:hint="default" w:eastAsia="宋体"/>
                      <w:color w:val="auto"/>
                      <w:szCs w:val="21"/>
                      <w:lang w:val="en-US" w:eastAsia="zh-CN"/>
                    </w:rPr>
                  </w:pPr>
                  <w:r>
                    <w:rPr>
                      <w:rFonts w:hint="eastAsia"/>
                      <w:color w:val="auto"/>
                      <w:szCs w:val="21"/>
                      <w:lang w:val="en-US" w:eastAsia="zh-CN"/>
                    </w:rPr>
                    <w:t>68.3</w:t>
                  </w:r>
                </w:p>
              </w:tc>
              <w:tc>
                <w:tcPr>
                  <w:tcW w:w="588" w:type="dxa"/>
                  <w:vAlign w:val="center"/>
                </w:tcPr>
                <w:p w14:paraId="4D7EDED6">
                  <w:pPr>
                    <w:jc w:val="center"/>
                    <w:rPr>
                      <w:color w:val="auto"/>
                      <w:szCs w:val="21"/>
                    </w:rPr>
                  </w:pPr>
                  <w:r>
                    <w:rPr>
                      <w:color w:val="auto"/>
                      <w:szCs w:val="21"/>
                    </w:rPr>
                    <w:t>0</w:t>
                  </w:r>
                </w:p>
              </w:tc>
              <w:tc>
                <w:tcPr>
                  <w:tcW w:w="547" w:type="dxa"/>
                  <w:vAlign w:val="center"/>
                </w:tcPr>
                <w:p w14:paraId="5C2FE567">
                  <w:pPr>
                    <w:jc w:val="center"/>
                    <w:rPr>
                      <w:color w:val="auto"/>
                      <w:szCs w:val="21"/>
                    </w:rPr>
                  </w:pPr>
                  <w:r>
                    <w:rPr>
                      <w:color w:val="auto"/>
                      <w:szCs w:val="21"/>
                    </w:rPr>
                    <w:t>达标</w:t>
                  </w:r>
                </w:p>
              </w:tc>
            </w:tr>
            <w:tr w14:paraId="07BD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10" w:type="dxa"/>
                  <w:vMerge w:val="continue"/>
                  <w:vAlign w:val="center"/>
                </w:tcPr>
                <w:p w14:paraId="26441711">
                  <w:pPr>
                    <w:rPr>
                      <w:color w:val="auto"/>
                      <w:szCs w:val="21"/>
                    </w:rPr>
                  </w:pPr>
                </w:p>
              </w:tc>
              <w:tc>
                <w:tcPr>
                  <w:tcW w:w="1088" w:type="dxa"/>
                  <w:vMerge w:val="continue"/>
                  <w:vAlign w:val="center"/>
                </w:tcPr>
                <w:p w14:paraId="0ADA6DC9">
                  <w:pPr>
                    <w:jc w:val="center"/>
                    <w:rPr>
                      <w:color w:val="auto"/>
                      <w:szCs w:val="21"/>
                    </w:rPr>
                  </w:pPr>
                </w:p>
              </w:tc>
              <w:tc>
                <w:tcPr>
                  <w:tcW w:w="1050" w:type="dxa"/>
                  <w:vMerge w:val="continue"/>
                  <w:vAlign w:val="center"/>
                </w:tcPr>
                <w:p w14:paraId="4B319977">
                  <w:pPr>
                    <w:jc w:val="center"/>
                    <w:rPr>
                      <w:color w:val="auto"/>
                      <w:szCs w:val="21"/>
                    </w:rPr>
                  </w:pPr>
                </w:p>
              </w:tc>
              <w:tc>
                <w:tcPr>
                  <w:tcW w:w="1000" w:type="dxa"/>
                  <w:vAlign w:val="center"/>
                </w:tcPr>
                <w:p w14:paraId="35503721">
                  <w:pPr>
                    <w:jc w:val="center"/>
                    <w:rPr>
                      <w:color w:val="auto"/>
                      <w:szCs w:val="21"/>
                    </w:rPr>
                  </w:pPr>
                  <w:r>
                    <w:rPr>
                      <w:color w:val="auto"/>
                      <w:szCs w:val="21"/>
                    </w:rPr>
                    <w:t>非甲烷总烃</w:t>
                  </w:r>
                </w:p>
              </w:tc>
              <w:tc>
                <w:tcPr>
                  <w:tcW w:w="1012" w:type="dxa"/>
                  <w:vAlign w:val="center"/>
                </w:tcPr>
                <w:p w14:paraId="178396A7">
                  <w:pPr>
                    <w:jc w:val="center"/>
                    <w:rPr>
                      <w:color w:val="auto"/>
                      <w:szCs w:val="21"/>
                    </w:rPr>
                  </w:pPr>
                  <w:r>
                    <w:rPr>
                      <w:rFonts w:hint="eastAsia"/>
                      <w:color w:val="auto"/>
                      <w:szCs w:val="21"/>
                    </w:rPr>
                    <w:t>2000</w:t>
                  </w:r>
                </w:p>
              </w:tc>
              <w:tc>
                <w:tcPr>
                  <w:tcW w:w="1163" w:type="dxa"/>
                  <w:vAlign w:val="center"/>
                </w:tcPr>
                <w:p w14:paraId="681F7800">
                  <w:pPr>
                    <w:jc w:val="center"/>
                    <w:rPr>
                      <w:rFonts w:hint="default" w:eastAsia="宋体"/>
                      <w:color w:val="auto"/>
                      <w:szCs w:val="21"/>
                      <w:lang w:val="en-US" w:eastAsia="zh-CN"/>
                    </w:rPr>
                  </w:pPr>
                  <w:r>
                    <w:rPr>
                      <w:rFonts w:hint="eastAsia"/>
                      <w:color w:val="auto"/>
                      <w:szCs w:val="21"/>
                      <w:lang w:val="en-US" w:eastAsia="zh-CN"/>
                    </w:rPr>
                    <w:t>440</w:t>
                  </w:r>
                  <w:r>
                    <w:rPr>
                      <w:rFonts w:hint="eastAsia"/>
                      <w:color w:val="auto"/>
                      <w:szCs w:val="21"/>
                    </w:rPr>
                    <w:t>-</w:t>
                  </w:r>
                  <w:r>
                    <w:rPr>
                      <w:rFonts w:hint="eastAsia"/>
                      <w:color w:val="auto"/>
                      <w:szCs w:val="21"/>
                      <w:lang w:val="en-US" w:eastAsia="zh-CN"/>
                    </w:rPr>
                    <w:t>490</w:t>
                  </w:r>
                </w:p>
              </w:tc>
              <w:tc>
                <w:tcPr>
                  <w:tcW w:w="762" w:type="dxa"/>
                  <w:vAlign w:val="center"/>
                </w:tcPr>
                <w:p w14:paraId="301BC049">
                  <w:pPr>
                    <w:jc w:val="center"/>
                    <w:rPr>
                      <w:rFonts w:hint="default" w:eastAsia="宋体"/>
                      <w:color w:val="auto"/>
                      <w:szCs w:val="21"/>
                      <w:lang w:val="en-US" w:eastAsia="zh-CN"/>
                    </w:rPr>
                  </w:pPr>
                  <w:r>
                    <w:rPr>
                      <w:rFonts w:hint="eastAsia"/>
                      <w:color w:val="auto"/>
                      <w:szCs w:val="21"/>
                      <w:lang w:val="en-US" w:eastAsia="zh-CN"/>
                    </w:rPr>
                    <w:t>24.5</w:t>
                  </w:r>
                </w:p>
              </w:tc>
              <w:tc>
                <w:tcPr>
                  <w:tcW w:w="588" w:type="dxa"/>
                  <w:vAlign w:val="center"/>
                </w:tcPr>
                <w:p w14:paraId="35961815">
                  <w:pPr>
                    <w:jc w:val="center"/>
                    <w:rPr>
                      <w:color w:val="auto"/>
                      <w:szCs w:val="21"/>
                    </w:rPr>
                  </w:pPr>
                  <w:r>
                    <w:rPr>
                      <w:rFonts w:hint="eastAsia"/>
                      <w:color w:val="auto"/>
                      <w:szCs w:val="21"/>
                    </w:rPr>
                    <w:t>0</w:t>
                  </w:r>
                </w:p>
              </w:tc>
              <w:tc>
                <w:tcPr>
                  <w:tcW w:w="547" w:type="dxa"/>
                  <w:vAlign w:val="center"/>
                </w:tcPr>
                <w:p w14:paraId="73DCA2F3">
                  <w:pPr>
                    <w:jc w:val="center"/>
                    <w:rPr>
                      <w:color w:val="auto"/>
                      <w:szCs w:val="21"/>
                    </w:rPr>
                  </w:pPr>
                  <w:r>
                    <w:rPr>
                      <w:rFonts w:hint="eastAsia"/>
                      <w:color w:val="auto"/>
                      <w:szCs w:val="21"/>
                    </w:rPr>
                    <w:t>达标</w:t>
                  </w:r>
                </w:p>
              </w:tc>
            </w:tr>
          </w:tbl>
          <w:p w14:paraId="23FA480D">
            <w:pPr>
              <w:pStyle w:val="200"/>
              <w:spacing w:line="440" w:lineRule="exact"/>
              <w:ind w:firstLine="480"/>
              <w:rPr>
                <w:color w:val="auto"/>
              </w:rPr>
            </w:pPr>
            <w:r>
              <w:rPr>
                <w:rFonts w:hint="eastAsia" w:ascii="Times New Roman" w:hAnsi="Times New Roman" w:eastAsia="宋体" w:cs="Times New Roman"/>
                <w:color w:val="auto"/>
                <w:kern w:val="2"/>
                <w:sz w:val="24"/>
                <w:szCs w:val="24"/>
                <w:lang w:val="en-US" w:eastAsia="zh-CN" w:bidi="ar-SA"/>
              </w:rPr>
              <w:t>由以上检测结果可知，项目地特征污染物非甲烷总烃可以达到《大气污染物综合排放标准详解》中的相关限值，总悬浮颗粒物可以达到《环境空气质量标准》(GB3095-2012)中相关标准</w:t>
            </w:r>
            <w:r>
              <w:rPr>
                <w:rFonts w:ascii="Times New Roman" w:hAnsi="Times New Roman"/>
                <w:color w:val="auto"/>
                <w:sz w:val="24"/>
                <w:szCs w:val="22"/>
              </w:rPr>
              <w:t>。</w:t>
            </w:r>
          </w:p>
          <w:p w14:paraId="3408964D">
            <w:pPr>
              <w:adjustRightInd w:val="0"/>
              <w:snapToGrid w:val="0"/>
              <w:spacing w:line="420" w:lineRule="exact"/>
              <w:jc w:val="left"/>
              <w:rPr>
                <w:b/>
                <w:color w:val="auto"/>
                <w:sz w:val="24"/>
              </w:rPr>
            </w:pPr>
            <w:r>
              <w:rPr>
                <w:rFonts w:hint="eastAsia" w:hAnsi="宋体"/>
                <w:b/>
                <w:color w:val="auto"/>
                <w:sz w:val="24"/>
              </w:rPr>
              <w:t>3.1.2</w:t>
            </w:r>
            <w:r>
              <w:rPr>
                <w:rFonts w:hAnsi="宋体"/>
                <w:b/>
                <w:color w:val="auto"/>
                <w:sz w:val="24"/>
              </w:rPr>
              <w:t>地表水环境</w:t>
            </w:r>
          </w:p>
          <w:p w14:paraId="39B56C65">
            <w:pPr>
              <w:spacing w:line="420" w:lineRule="exact"/>
              <w:ind w:firstLine="480" w:firstLineChars="200"/>
              <w:rPr>
                <w:rFonts w:hAnsi="Arial"/>
                <w:bCs/>
                <w:color w:val="auto"/>
                <w:sz w:val="24"/>
              </w:rPr>
            </w:pPr>
            <w:r>
              <w:rPr>
                <w:rFonts w:hAnsi="Arial"/>
                <w:bCs/>
                <w:color w:val="auto"/>
                <w:sz w:val="24"/>
              </w:rPr>
              <w:t>项目拟建地主要地表水体为西苕溪，根据《浙江省水功能区水环境功能区划分方案 (2015)》，其水环境功能区划为《地表水环境质量标准》(GB3838-2002)中的</w:t>
            </w:r>
            <w:r>
              <w:rPr>
                <w:rFonts w:hint="eastAsia" w:hAnsi="Arial"/>
                <w:bCs/>
                <w:color w:val="auto"/>
                <w:sz w:val="24"/>
              </w:rPr>
              <w:t>Ⅲ</w:t>
            </w:r>
            <w:r>
              <w:rPr>
                <w:rFonts w:hAnsi="Arial"/>
                <w:bCs/>
                <w:color w:val="auto"/>
                <w:sz w:val="24"/>
              </w:rPr>
              <w:t>类功能区。本环评收集了2</w:t>
            </w:r>
            <w:r>
              <w:rPr>
                <w:rFonts w:hint="eastAsia" w:hAnsi="Arial"/>
                <w:bCs/>
                <w:color w:val="auto"/>
                <w:sz w:val="24"/>
              </w:rPr>
              <w:t>022</w:t>
            </w:r>
            <w:r>
              <w:rPr>
                <w:rFonts w:hAnsi="Arial"/>
                <w:bCs/>
                <w:color w:val="auto"/>
                <w:sz w:val="24"/>
              </w:rPr>
              <w:t>年安吉县环境监测站对西苕溪下游柴潭埠断面的监测数据进行评价</w:t>
            </w:r>
            <w:r>
              <w:rPr>
                <w:rFonts w:hint="eastAsia" w:hAnsi="Arial"/>
                <w:bCs/>
                <w:color w:val="auto"/>
                <w:sz w:val="24"/>
              </w:rPr>
              <w:t>，</w:t>
            </w:r>
            <w:r>
              <w:rPr>
                <w:rFonts w:hAnsi="Arial"/>
                <w:bCs/>
                <w:color w:val="auto"/>
                <w:sz w:val="24"/>
              </w:rPr>
              <w:t>监测结果见下表3-</w:t>
            </w:r>
            <w:r>
              <w:rPr>
                <w:rFonts w:hint="eastAsia" w:hAnsi="Arial"/>
                <w:bCs/>
                <w:color w:val="auto"/>
                <w:sz w:val="24"/>
              </w:rPr>
              <w:t>6</w:t>
            </w:r>
            <w:r>
              <w:rPr>
                <w:rFonts w:hAnsi="Arial"/>
                <w:bCs/>
                <w:color w:val="auto"/>
                <w:sz w:val="24"/>
              </w:rPr>
              <w:t>所示。</w:t>
            </w:r>
          </w:p>
          <w:p w14:paraId="5AC1D184">
            <w:pPr>
              <w:spacing w:line="420" w:lineRule="exact"/>
              <w:jc w:val="center"/>
              <w:rPr>
                <w:b/>
                <w:color w:val="auto"/>
                <w:szCs w:val="21"/>
              </w:rPr>
            </w:pPr>
            <w:r>
              <w:rPr>
                <w:b/>
                <w:color w:val="auto"/>
                <w:szCs w:val="21"/>
              </w:rPr>
              <w:t>表3-</w:t>
            </w:r>
            <w:r>
              <w:rPr>
                <w:rFonts w:hint="eastAsia"/>
                <w:b/>
                <w:color w:val="auto"/>
                <w:szCs w:val="21"/>
              </w:rPr>
              <w:t>6</w:t>
            </w:r>
            <w:r>
              <w:rPr>
                <w:b/>
                <w:color w:val="auto"/>
                <w:szCs w:val="21"/>
              </w:rPr>
              <w:t xml:space="preserve">  安吉净源污水处理有限公司城北污水处理厂排污口下游水质监测结果</w:t>
            </w:r>
          </w:p>
          <w:tbl>
            <w:tblPr>
              <w:tblStyle w:val="37"/>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183"/>
              <w:gridCol w:w="758"/>
              <w:gridCol w:w="851"/>
              <w:gridCol w:w="1532"/>
              <w:gridCol w:w="1014"/>
              <w:gridCol w:w="864"/>
              <w:gridCol w:w="835"/>
            </w:tblGrid>
            <w:tr w14:paraId="6ADB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6AE51E19">
                  <w:pPr>
                    <w:jc w:val="center"/>
                    <w:rPr>
                      <w:b/>
                      <w:color w:val="auto"/>
                      <w:szCs w:val="21"/>
                    </w:rPr>
                  </w:pPr>
                  <w:r>
                    <w:rPr>
                      <w:rFonts w:hint="eastAsia"/>
                      <w:b/>
                      <w:color w:val="auto"/>
                      <w:szCs w:val="21"/>
                    </w:rPr>
                    <w:t>采样日期</w:t>
                  </w:r>
                </w:p>
              </w:tc>
              <w:tc>
                <w:tcPr>
                  <w:tcW w:w="1183" w:type="dxa"/>
                  <w:vAlign w:val="center"/>
                </w:tcPr>
                <w:p w14:paraId="7DBDF812">
                  <w:pPr>
                    <w:jc w:val="center"/>
                    <w:rPr>
                      <w:b/>
                      <w:color w:val="auto"/>
                      <w:szCs w:val="21"/>
                    </w:rPr>
                  </w:pPr>
                  <w:r>
                    <w:rPr>
                      <w:rFonts w:hint="eastAsia"/>
                      <w:b/>
                      <w:color w:val="auto"/>
                      <w:szCs w:val="21"/>
                    </w:rPr>
                    <w:t>断面名称</w:t>
                  </w:r>
                </w:p>
              </w:tc>
              <w:tc>
                <w:tcPr>
                  <w:tcW w:w="758" w:type="dxa"/>
                  <w:vAlign w:val="center"/>
                </w:tcPr>
                <w:p w14:paraId="752106C6">
                  <w:pPr>
                    <w:jc w:val="center"/>
                    <w:rPr>
                      <w:b/>
                      <w:color w:val="auto"/>
                      <w:szCs w:val="21"/>
                    </w:rPr>
                  </w:pPr>
                  <w:r>
                    <w:rPr>
                      <w:rFonts w:hint="eastAsia"/>
                      <w:b/>
                      <w:color w:val="auto"/>
                      <w:szCs w:val="21"/>
                    </w:rPr>
                    <w:t>pH</w:t>
                  </w:r>
                </w:p>
              </w:tc>
              <w:tc>
                <w:tcPr>
                  <w:tcW w:w="851" w:type="dxa"/>
                  <w:vAlign w:val="center"/>
                </w:tcPr>
                <w:p w14:paraId="5ECC797C">
                  <w:pPr>
                    <w:jc w:val="center"/>
                    <w:rPr>
                      <w:b/>
                      <w:color w:val="auto"/>
                      <w:szCs w:val="21"/>
                    </w:rPr>
                  </w:pPr>
                  <w:r>
                    <w:rPr>
                      <w:rFonts w:hint="eastAsia"/>
                      <w:b/>
                      <w:color w:val="auto"/>
                      <w:szCs w:val="21"/>
                    </w:rPr>
                    <w:t>DO</w:t>
                  </w:r>
                </w:p>
              </w:tc>
              <w:tc>
                <w:tcPr>
                  <w:tcW w:w="1532" w:type="dxa"/>
                  <w:vAlign w:val="center"/>
                </w:tcPr>
                <w:p w14:paraId="554C667F">
                  <w:pPr>
                    <w:jc w:val="center"/>
                    <w:rPr>
                      <w:b/>
                      <w:color w:val="auto"/>
                      <w:szCs w:val="21"/>
                    </w:rPr>
                  </w:pPr>
                  <w:r>
                    <w:rPr>
                      <w:rFonts w:hint="eastAsia"/>
                      <w:b/>
                      <w:color w:val="auto"/>
                      <w:szCs w:val="21"/>
                    </w:rPr>
                    <w:t>高锰酸盐指数</w:t>
                  </w:r>
                </w:p>
              </w:tc>
              <w:tc>
                <w:tcPr>
                  <w:tcW w:w="1014" w:type="dxa"/>
                  <w:vAlign w:val="center"/>
                </w:tcPr>
                <w:p w14:paraId="0399A6F5">
                  <w:pPr>
                    <w:jc w:val="center"/>
                    <w:rPr>
                      <w:b/>
                      <w:color w:val="auto"/>
                      <w:szCs w:val="21"/>
                    </w:rPr>
                  </w:pPr>
                  <w:r>
                    <w:rPr>
                      <w:rFonts w:hint="eastAsia"/>
                      <w:b/>
                      <w:color w:val="auto"/>
                      <w:szCs w:val="21"/>
                    </w:rPr>
                    <w:t>BOD</w:t>
                  </w:r>
                  <w:r>
                    <w:rPr>
                      <w:rFonts w:hint="eastAsia"/>
                      <w:b/>
                      <w:color w:val="auto"/>
                      <w:szCs w:val="21"/>
                      <w:vertAlign w:val="subscript"/>
                    </w:rPr>
                    <w:t>5</w:t>
                  </w:r>
                </w:p>
              </w:tc>
              <w:tc>
                <w:tcPr>
                  <w:tcW w:w="864" w:type="dxa"/>
                  <w:vAlign w:val="center"/>
                </w:tcPr>
                <w:p w14:paraId="717A0CAA">
                  <w:pPr>
                    <w:jc w:val="center"/>
                    <w:rPr>
                      <w:b/>
                      <w:color w:val="auto"/>
                      <w:szCs w:val="21"/>
                    </w:rPr>
                  </w:pPr>
                  <w:r>
                    <w:rPr>
                      <w:rFonts w:hint="eastAsia"/>
                      <w:b/>
                      <w:color w:val="auto"/>
                      <w:szCs w:val="21"/>
                    </w:rPr>
                    <w:t>氨氮</w:t>
                  </w:r>
                </w:p>
              </w:tc>
              <w:tc>
                <w:tcPr>
                  <w:tcW w:w="835" w:type="dxa"/>
                  <w:vAlign w:val="center"/>
                </w:tcPr>
                <w:p w14:paraId="50F69F67">
                  <w:pPr>
                    <w:jc w:val="center"/>
                    <w:rPr>
                      <w:b/>
                      <w:color w:val="auto"/>
                      <w:szCs w:val="21"/>
                    </w:rPr>
                  </w:pPr>
                  <w:r>
                    <w:rPr>
                      <w:rFonts w:hint="eastAsia"/>
                      <w:b/>
                      <w:color w:val="auto"/>
                      <w:szCs w:val="21"/>
                    </w:rPr>
                    <w:t>总磷</w:t>
                  </w:r>
                </w:p>
              </w:tc>
            </w:tr>
            <w:tr w14:paraId="13B1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1443855E">
                  <w:pPr>
                    <w:jc w:val="center"/>
                    <w:rPr>
                      <w:snapToGrid w:val="0"/>
                      <w:color w:val="auto"/>
                      <w:szCs w:val="21"/>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.1.4</w:t>
                  </w:r>
                </w:p>
              </w:tc>
              <w:tc>
                <w:tcPr>
                  <w:tcW w:w="1183" w:type="dxa"/>
                  <w:vMerge w:val="restart"/>
                  <w:vAlign w:val="center"/>
                </w:tcPr>
                <w:p w14:paraId="10054697">
                  <w:pPr>
                    <w:jc w:val="center"/>
                    <w:rPr>
                      <w:color w:val="auto"/>
                      <w:szCs w:val="21"/>
                    </w:rPr>
                  </w:pPr>
                  <w:r>
                    <w:rPr>
                      <w:rFonts w:hint="eastAsia"/>
                      <w:color w:val="auto"/>
                      <w:szCs w:val="21"/>
                    </w:rPr>
                    <w:t>柴潭埠</w:t>
                  </w:r>
                </w:p>
              </w:tc>
              <w:tc>
                <w:tcPr>
                  <w:tcW w:w="758" w:type="dxa"/>
                  <w:vAlign w:val="center"/>
                </w:tcPr>
                <w:p w14:paraId="7D1DDD31">
                  <w:pPr>
                    <w:jc w:val="center"/>
                    <w:rPr>
                      <w:snapToGrid w:val="0"/>
                      <w:color w:val="auto"/>
                      <w:szCs w:val="21"/>
                    </w:rPr>
                  </w:pPr>
                  <w:r>
                    <w:rPr>
                      <w:rFonts w:eastAsia="Times New Roman"/>
                      <w:color w:val="auto"/>
                      <w:spacing w:val="1"/>
                      <w:sz w:val="20"/>
                      <w:szCs w:val="20"/>
                    </w:rPr>
                    <w:t>8.1</w:t>
                  </w:r>
                </w:p>
              </w:tc>
              <w:tc>
                <w:tcPr>
                  <w:tcW w:w="851" w:type="dxa"/>
                  <w:vAlign w:val="center"/>
                </w:tcPr>
                <w:p w14:paraId="2434056D">
                  <w:pPr>
                    <w:jc w:val="center"/>
                    <w:rPr>
                      <w:snapToGrid w:val="0"/>
                      <w:color w:val="auto"/>
                      <w:szCs w:val="21"/>
                    </w:rPr>
                  </w:pPr>
                  <w:r>
                    <w:rPr>
                      <w:rFonts w:hint="eastAsia"/>
                      <w:color w:val="auto"/>
                      <w:spacing w:val="1"/>
                      <w:sz w:val="20"/>
                      <w:szCs w:val="20"/>
                    </w:rPr>
                    <w:t>9.8</w:t>
                  </w:r>
                </w:p>
              </w:tc>
              <w:tc>
                <w:tcPr>
                  <w:tcW w:w="1532" w:type="dxa"/>
                  <w:vAlign w:val="center"/>
                </w:tcPr>
                <w:p w14:paraId="6440DC3F">
                  <w:pPr>
                    <w:jc w:val="center"/>
                    <w:rPr>
                      <w:snapToGrid w:val="0"/>
                      <w:color w:val="auto"/>
                      <w:szCs w:val="21"/>
                    </w:rPr>
                  </w:pPr>
                  <w:r>
                    <w:rPr>
                      <w:rFonts w:hint="eastAsia"/>
                      <w:color w:val="auto"/>
                      <w:spacing w:val="1"/>
                      <w:sz w:val="20"/>
                      <w:szCs w:val="20"/>
                    </w:rPr>
                    <w:t>2.1</w:t>
                  </w:r>
                </w:p>
              </w:tc>
              <w:tc>
                <w:tcPr>
                  <w:tcW w:w="1014" w:type="dxa"/>
                  <w:vAlign w:val="center"/>
                </w:tcPr>
                <w:p w14:paraId="2A90178F">
                  <w:pPr>
                    <w:jc w:val="center"/>
                    <w:rPr>
                      <w:snapToGrid w:val="0"/>
                      <w:color w:val="auto"/>
                      <w:szCs w:val="21"/>
                    </w:rPr>
                  </w:pPr>
                  <w:r>
                    <w:rPr>
                      <w:rFonts w:hint="eastAsia"/>
                      <w:color w:val="auto"/>
                      <w:spacing w:val="1"/>
                      <w:sz w:val="20"/>
                      <w:szCs w:val="20"/>
                    </w:rPr>
                    <w:t>2.0</w:t>
                  </w:r>
                </w:p>
              </w:tc>
              <w:tc>
                <w:tcPr>
                  <w:tcW w:w="864" w:type="dxa"/>
                  <w:vAlign w:val="center"/>
                </w:tcPr>
                <w:p w14:paraId="1996A4D4">
                  <w:pPr>
                    <w:jc w:val="center"/>
                    <w:rPr>
                      <w:snapToGrid w:val="0"/>
                      <w:color w:val="auto"/>
                      <w:szCs w:val="21"/>
                    </w:rPr>
                  </w:pPr>
                  <w:r>
                    <w:rPr>
                      <w:rFonts w:hint="eastAsia"/>
                      <w:color w:val="auto"/>
                      <w:spacing w:val="1"/>
                      <w:sz w:val="20"/>
                      <w:szCs w:val="20"/>
                    </w:rPr>
                    <w:t>0.41</w:t>
                  </w:r>
                </w:p>
              </w:tc>
              <w:tc>
                <w:tcPr>
                  <w:tcW w:w="835" w:type="dxa"/>
                  <w:vAlign w:val="center"/>
                </w:tcPr>
                <w:p w14:paraId="17619B6D">
                  <w:pPr>
                    <w:jc w:val="center"/>
                    <w:rPr>
                      <w:snapToGrid w:val="0"/>
                      <w:color w:val="auto"/>
                      <w:szCs w:val="21"/>
                    </w:rPr>
                  </w:pPr>
                  <w:r>
                    <w:rPr>
                      <w:rFonts w:hint="eastAsia"/>
                      <w:color w:val="auto"/>
                      <w:spacing w:val="1"/>
                      <w:sz w:val="20"/>
                      <w:szCs w:val="20"/>
                    </w:rPr>
                    <w:t>0.04</w:t>
                  </w:r>
                </w:p>
              </w:tc>
            </w:tr>
            <w:tr w14:paraId="4F18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0C0DD0AE">
                  <w:pPr>
                    <w:jc w:val="center"/>
                    <w:rPr>
                      <w:color w:val="auto"/>
                      <w:spacing w:val="1"/>
                      <w:sz w:val="20"/>
                      <w:szCs w:val="20"/>
                    </w:rPr>
                  </w:pPr>
                  <w:r>
                    <w:rPr>
                      <w:rFonts w:hint="eastAsia"/>
                      <w:color w:val="auto"/>
                      <w:spacing w:val="1"/>
                      <w:sz w:val="20"/>
                      <w:szCs w:val="20"/>
                    </w:rPr>
                    <w:t>2022.2.7</w:t>
                  </w:r>
                </w:p>
              </w:tc>
              <w:tc>
                <w:tcPr>
                  <w:tcW w:w="1183" w:type="dxa"/>
                  <w:vMerge w:val="continue"/>
                  <w:vAlign w:val="center"/>
                </w:tcPr>
                <w:p w14:paraId="03AA0B74">
                  <w:pPr>
                    <w:jc w:val="center"/>
                    <w:rPr>
                      <w:color w:val="auto"/>
                      <w:szCs w:val="21"/>
                    </w:rPr>
                  </w:pPr>
                </w:p>
              </w:tc>
              <w:tc>
                <w:tcPr>
                  <w:tcW w:w="758" w:type="dxa"/>
                  <w:vAlign w:val="center"/>
                </w:tcPr>
                <w:p w14:paraId="687833B9">
                  <w:pPr>
                    <w:jc w:val="center"/>
                    <w:rPr>
                      <w:color w:val="auto"/>
                      <w:spacing w:val="1"/>
                      <w:sz w:val="20"/>
                      <w:szCs w:val="20"/>
                    </w:rPr>
                  </w:pPr>
                  <w:r>
                    <w:rPr>
                      <w:rFonts w:hint="eastAsia"/>
                      <w:color w:val="auto"/>
                      <w:spacing w:val="1"/>
                      <w:sz w:val="20"/>
                      <w:szCs w:val="20"/>
                    </w:rPr>
                    <w:t>7.7</w:t>
                  </w:r>
                </w:p>
              </w:tc>
              <w:tc>
                <w:tcPr>
                  <w:tcW w:w="851" w:type="dxa"/>
                  <w:vAlign w:val="center"/>
                </w:tcPr>
                <w:p w14:paraId="52BA9585">
                  <w:pPr>
                    <w:jc w:val="center"/>
                    <w:rPr>
                      <w:color w:val="auto"/>
                      <w:spacing w:val="1"/>
                      <w:sz w:val="20"/>
                      <w:szCs w:val="20"/>
                    </w:rPr>
                  </w:pPr>
                  <w:r>
                    <w:rPr>
                      <w:rFonts w:hint="eastAsia"/>
                      <w:color w:val="auto"/>
                      <w:spacing w:val="1"/>
                      <w:sz w:val="20"/>
                      <w:szCs w:val="20"/>
                    </w:rPr>
                    <w:t>10.5</w:t>
                  </w:r>
                </w:p>
              </w:tc>
              <w:tc>
                <w:tcPr>
                  <w:tcW w:w="1532" w:type="dxa"/>
                  <w:vAlign w:val="center"/>
                </w:tcPr>
                <w:p w14:paraId="156470D6">
                  <w:pPr>
                    <w:jc w:val="center"/>
                    <w:rPr>
                      <w:color w:val="auto"/>
                      <w:spacing w:val="1"/>
                      <w:sz w:val="20"/>
                      <w:szCs w:val="20"/>
                    </w:rPr>
                  </w:pPr>
                  <w:r>
                    <w:rPr>
                      <w:rFonts w:hint="eastAsia"/>
                      <w:color w:val="auto"/>
                      <w:spacing w:val="1"/>
                      <w:sz w:val="20"/>
                      <w:szCs w:val="20"/>
                    </w:rPr>
                    <w:t>1.6</w:t>
                  </w:r>
                </w:p>
              </w:tc>
              <w:tc>
                <w:tcPr>
                  <w:tcW w:w="1014" w:type="dxa"/>
                  <w:vAlign w:val="center"/>
                </w:tcPr>
                <w:p w14:paraId="67AD85C2">
                  <w:pPr>
                    <w:jc w:val="center"/>
                    <w:rPr>
                      <w:color w:val="auto"/>
                      <w:spacing w:val="1"/>
                      <w:sz w:val="20"/>
                      <w:szCs w:val="20"/>
                    </w:rPr>
                  </w:pPr>
                  <w:r>
                    <w:rPr>
                      <w:rFonts w:hint="eastAsia"/>
                      <w:color w:val="auto"/>
                      <w:spacing w:val="1"/>
                      <w:sz w:val="20"/>
                      <w:szCs w:val="20"/>
                    </w:rPr>
                    <w:t>/</w:t>
                  </w:r>
                </w:p>
              </w:tc>
              <w:tc>
                <w:tcPr>
                  <w:tcW w:w="864" w:type="dxa"/>
                  <w:vAlign w:val="center"/>
                </w:tcPr>
                <w:p w14:paraId="2534378F">
                  <w:pPr>
                    <w:jc w:val="center"/>
                    <w:rPr>
                      <w:color w:val="auto"/>
                      <w:spacing w:val="1"/>
                      <w:sz w:val="20"/>
                      <w:szCs w:val="20"/>
                    </w:rPr>
                  </w:pPr>
                  <w:r>
                    <w:rPr>
                      <w:rFonts w:hint="eastAsia"/>
                      <w:color w:val="auto"/>
                      <w:spacing w:val="1"/>
                      <w:sz w:val="20"/>
                      <w:szCs w:val="20"/>
                    </w:rPr>
                    <w:t>0.38</w:t>
                  </w:r>
                </w:p>
              </w:tc>
              <w:tc>
                <w:tcPr>
                  <w:tcW w:w="835" w:type="dxa"/>
                  <w:vAlign w:val="center"/>
                </w:tcPr>
                <w:p w14:paraId="67E8DAC9">
                  <w:pPr>
                    <w:jc w:val="center"/>
                    <w:rPr>
                      <w:color w:val="auto"/>
                      <w:spacing w:val="1"/>
                      <w:sz w:val="20"/>
                      <w:szCs w:val="20"/>
                    </w:rPr>
                  </w:pPr>
                  <w:r>
                    <w:rPr>
                      <w:rFonts w:hint="eastAsia"/>
                      <w:color w:val="auto"/>
                      <w:spacing w:val="1"/>
                      <w:sz w:val="20"/>
                      <w:szCs w:val="20"/>
                    </w:rPr>
                    <w:t>0.06</w:t>
                  </w:r>
                </w:p>
              </w:tc>
            </w:tr>
            <w:tr w14:paraId="199E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43866907">
                  <w:pPr>
                    <w:jc w:val="center"/>
                    <w:rPr>
                      <w:snapToGrid w:val="0"/>
                      <w:color w:val="auto"/>
                      <w:szCs w:val="21"/>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.3</w:t>
                  </w:r>
                  <w:r>
                    <w:rPr>
                      <w:rFonts w:hint="eastAsia"/>
                      <w:color w:val="auto"/>
                      <w:spacing w:val="1"/>
                      <w:sz w:val="20"/>
                      <w:szCs w:val="20"/>
                    </w:rPr>
                    <w:t>.</w:t>
                  </w:r>
                  <w:r>
                    <w:rPr>
                      <w:rFonts w:eastAsia="Times New Roman"/>
                      <w:color w:val="auto"/>
                      <w:spacing w:val="1"/>
                      <w:sz w:val="20"/>
                      <w:szCs w:val="20"/>
                    </w:rPr>
                    <w:t>1</w:t>
                  </w:r>
                </w:p>
              </w:tc>
              <w:tc>
                <w:tcPr>
                  <w:tcW w:w="1183" w:type="dxa"/>
                  <w:vMerge w:val="continue"/>
                  <w:vAlign w:val="center"/>
                </w:tcPr>
                <w:p w14:paraId="4F0D0966">
                  <w:pPr>
                    <w:jc w:val="center"/>
                    <w:rPr>
                      <w:color w:val="auto"/>
                      <w:szCs w:val="21"/>
                    </w:rPr>
                  </w:pPr>
                </w:p>
              </w:tc>
              <w:tc>
                <w:tcPr>
                  <w:tcW w:w="758" w:type="dxa"/>
                  <w:vAlign w:val="center"/>
                </w:tcPr>
                <w:p w14:paraId="510310A7">
                  <w:pPr>
                    <w:jc w:val="center"/>
                    <w:rPr>
                      <w:snapToGrid w:val="0"/>
                      <w:color w:val="auto"/>
                      <w:szCs w:val="21"/>
                    </w:rPr>
                  </w:pPr>
                  <w:r>
                    <w:rPr>
                      <w:rFonts w:hint="eastAsia"/>
                      <w:color w:val="auto"/>
                      <w:spacing w:val="1"/>
                      <w:sz w:val="20"/>
                      <w:szCs w:val="20"/>
                    </w:rPr>
                    <w:t>8.0</w:t>
                  </w:r>
                </w:p>
              </w:tc>
              <w:tc>
                <w:tcPr>
                  <w:tcW w:w="851" w:type="dxa"/>
                  <w:vAlign w:val="center"/>
                </w:tcPr>
                <w:p w14:paraId="028FA159">
                  <w:pPr>
                    <w:jc w:val="center"/>
                    <w:rPr>
                      <w:snapToGrid w:val="0"/>
                      <w:color w:val="auto"/>
                      <w:szCs w:val="21"/>
                    </w:rPr>
                  </w:pPr>
                  <w:r>
                    <w:rPr>
                      <w:rFonts w:hint="eastAsia"/>
                      <w:color w:val="auto"/>
                      <w:spacing w:val="1"/>
                      <w:sz w:val="20"/>
                      <w:szCs w:val="20"/>
                    </w:rPr>
                    <w:t>10.4</w:t>
                  </w:r>
                </w:p>
              </w:tc>
              <w:tc>
                <w:tcPr>
                  <w:tcW w:w="1532" w:type="dxa"/>
                  <w:vAlign w:val="center"/>
                </w:tcPr>
                <w:p w14:paraId="622AC4D2">
                  <w:pPr>
                    <w:jc w:val="center"/>
                    <w:rPr>
                      <w:snapToGrid w:val="0"/>
                      <w:color w:val="auto"/>
                      <w:szCs w:val="21"/>
                    </w:rPr>
                  </w:pPr>
                  <w:r>
                    <w:rPr>
                      <w:rFonts w:hint="eastAsia"/>
                      <w:color w:val="auto"/>
                      <w:spacing w:val="1"/>
                      <w:sz w:val="20"/>
                      <w:szCs w:val="20"/>
                    </w:rPr>
                    <w:t>1.4</w:t>
                  </w:r>
                </w:p>
              </w:tc>
              <w:tc>
                <w:tcPr>
                  <w:tcW w:w="1014" w:type="dxa"/>
                  <w:vAlign w:val="center"/>
                </w:tcPr>
                <w:p w14:paraId="33F53CD9">
                  <w:pPr>
                    <w:jc w:val="center"/>
                    <w:rPr>
                      <w:snapToGrid w:val="0"/>
                      <w:color w:val="auto"/>
                      <w:szCs w:val="21"/>
                    </w:rPr>
                  </w:pPr>
                  <w:r>
                    <w:rPr>
                      <w:rFonts w:hint="eastAsia"/>
                      <w:color w:val="auto"/>
                      <w:spacing w:val="1"/>
                      <w:sz w:val="20"/>
                      <w:szCs w:val="20"/>
                    </w:rPr>
                    <w:t>/</w:t>
                  </w:r>
                </w:p>
              </w:tc>
              <w:tc>
                <w:tcPr>
                  <w:tcW w:w="864" w:type="dxa"/>
                  <w:vAlign w:val="center"/>
                </w:tcPr>
                <w:p w14:paraId="38449882">
                  <w:pPr>
                    <w:jc w:val="center"/>
                    <w:rPr>
                      <w:snapToGrid w:val="0"/>
                      <w:color w:val="auto"/>
                      <w:szCs w:val="21"/>
                    </w:rPr>
                  </w:pPr>
                  <w:r>
                    <w:rPr>
                      <w:rFonts w:hint="eastAsia"/>
                      <w:snapToGrid w:val="0"/>
                      <w:color w:val="auto"/>
                      <w:szCs w:val="21"/>
                    </w:rPr>
                    <w:t>0.34</w:t>
                  </w:r>
                </w:p>
              </w:tc>
              <w:tc>
                <w:tcPr>
                  <w:tcW w:w="835" w:type="dxa"/>
                  <w:vAlign w:val="center"/>
                </w:tcPr>
                <w:p w14:paraId="7B8D099F">
                  <w:pPr>
                    <w:jc w:val="center"/>
                    <w:rPr>
                      <w:snapToGrid w:val="0"/>
                      <w:color w:val="auto"/>
                      <w:szCs w:val="21"/>
                    </w:rPr>
                  </w:pPr>
                  <w:r>
                    <w:rPr>
                      <w:rFonts w:eastAsia="Times New Roman"/>
                      <w:color w:val="auto"/>
                      <w:spacing w:val="1"/>
                      <w:sz w:val="20"/>
                      <w:szCs w:val="20"/>
                    </w:rPr>
                    <w:t>0.0</w:t>
                  </w:r>
                  <w:r>
                    <w:rPr>
                      <w:rFonts w:hint="eastAsia"/>
                      <w:color w:val="auto"/>
                      <w:spacing w:val="1"/>
                      <w:sz w:val="20"/>
                      <w:szCs w:val="20"/>
                    </w:rPr>
                    <w:t>5</w:t>
                  </w:r>
                </w:p>
              </w:tc>
            </w:tr>
            <w:tr w14:paraId="317D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41D78396">
                  <w:pPr>
                    <w:jc w:val="center"/>
                    <w:rPr>
                      <w:rFonts w:eastAsia="Times New Roman"/>
                      <w:color w:val="auto"/>
                      <w:spacing w:val="1"/>
                      <w:sz w:val="20"/>
                      <w:szCs w:val="20"/>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w:t>
                  </w:r>
                  <w:r>
                    <w:rPr>
                      <w:rFonts w:hint="eastAsia"/>
                      <w:color w:val="auto"/>
                      <w:spacing w:val="1"/>
                      <w:sz w:val="20"/>
                      <w:szCs w:val="20"/>
                    </w:rPr>
                    <w:t>4.</w:t>
                  </w:r>
                  <w:r>
                    <w:rPr>
                      <w:rFonts w:eastAsia="Times New Roman"/>
                      <w:color w:val="auto"/>
                      <w:spacing w:val="1"/>
                      <w:sz w:val="20"/>
                      <w:szCs w:val="20"/>
                    </w:rPr>
                    <w:t>1</w:t>
                  </w:r>
                </w:p>
              </w:tc>
              <w:tc>
                <w:tcPr>
                  <w:tcW w:w="1183" w:type="dxa"/>
                  <w:vMerge w:val="continue"/>
                  <w:vAlign w:val="center"/>
                </w:tcPr>
                <w:p w14:paraId="0CCB8C83">
                  <w:pPr>
                    <w:jc w:val="center"/>
                    <w:rPr>
                      <w:color w:val="auto"/>
                      <w:szCs w:val="21"/>
                    </w:rPr>
                  </w:pPr>
                </w:p>
              </w:tc>
              <w:tc>
                <w:tcPr>
                  <w:tcW w:w="758" w:type="dxa"/>
                  <w:vAlign w:val="center"/>
                </w:tcPr>
                <w:p w14:paraId="580B007E">
                  <w:pPr>
                    <w:jc w:val="center"/>
                    <w:rPr>
                      <w:color w:val="auto"/>
                      <w:spacing w:val="1"/>
                      <w:sz w:val="20"/>
                      <w:szCs w:val="20"/>
                    </w:rPr>
                  </w:pPr>
                  <w:r>
                    <w:rPr>
                      <w:rFonts w:hint="eastAsia"/>
                      <w:color w:val="auto"/>
                      <w:spacing w:val="1"/>
                      <w:sz w:val="20"/>
                      <w:szCs w:val="20"/>
                    </w:rPr>
                    <w:t>7.1</w:t>
                  </w:r>
                </w:p>
              </w:tc>
              <w:tc>
                <w:tcPr>
                  <w:tcW w:w="851" w:type="dxa"/>
                  <w:vAlign w:val="center"/>
                </w:tcPr>
                <w:p w14:paraId="7EE221E6">
                  <w:pPr>
                    <w:jc w:val="center"/>
                    <w:rPr>
                      <w:color w:val="auto"/>
                      <w:spacing w:val="1"/>
                      <w:sz w:val="20"/>
                      <w:szCs w:val="20"/>
                    </w:rPr>
                  </w:pPr>
                  <w:r>
                    <w:rPr>
                      <w:rFonts w:hint="eastAsia"/>
                      <w:color w:val="auto"/>
                      <w:spacing w:val="1"/>
                      <w:sz w:val="20"/>
                      <w:szCs w:val="20"/>
                    </w:rPr>
                    <w:t>9.7</w:t>
                  </w:r>
                </w:p>
              </w:tc>
              <w:tc>
                <w:tcPr>
                  <w:tcW w:w="1532" w:type="dxa"/>
                  <w:vAlign w:val="center"/>
                </w:tcPr>
                <w:p w14:paraId="74CBFBEB">
                  <w:pPr>
                    <w:jc w:val="center"/>
                    <w:rPr>
                      <w:color w:val="auto"/>
                      <w:spacing w:val="1"/>
                      <w:sz w:val="20"/>
                      <w:szCs w:val="20"/>
                    </w:rPr>
                  </w:pPr>
                  <w:r>
                    <w:rPr>
                      <w:rFonts w:hint="eastAsia"/>
                      <w:color w:val="auto"/>
                      <w:spacing w:val="1"/>
                      <w:sz w:val="20"/>
                      <w:szCs w:val="20"/>
                    </w:rPr>
                    <w:t>1.4</w:t>
                  </w:r>
                </w:p>
              </w:tc>
              <w:tc>
                <w:tcPr>
                  <w:tcW w:w="1014" w:type="dxa"/>
                  <w:vAlign w:val="center"/>
                </w:tcPr>
                <w:p w14:paraId="7A555E4F">
                  <w:pPr>
                    <w:jc w:val="center"/>
                    <w:rPr>
                      <w:color w:val="auto"/>
                      <w:spacing w:val="1"/>
                      <w:sz w:val="20"/>
                      <w:szCs w:val="20"/>
                    </w:rPr>
                  </w:pPr>
                  <w:r>
                    <w:rPr>
                      <w:rFonts w:hint="eastAsia"/>
                      <w:color w:val="auto"/>
                      <w:spacing w:val="1"/>
                      <w:sz w:val="20"/>
                      <w:szCs w:val="20"/>
                    </w:rPr>
                    <w:t>/</w:t>
                  </w:r>
                </w:p>
              </w:tc>
              <w:tc>
                <w:tcPr>
                  <w:tcW w:w="864" w:type="dxa"/>
                  <w:vAlign w:val="center"/>
                </w:tcPr>
                <w:p w14:paraId="10679885">
                  <w:pPr>
                    <w:jc w:val="center"/>
                    <w:rPr>
                      <w:color w:val="auto"/>
                      <w:spacing w:val="1"/>
                      <w:sz w:val="20"/>
                      <w:szCs w:val="20"/>
                    </w:rPr>
                  </w:pPr>
                  <w:r>
                    <w:rPr>
                      <w:rFonts w:hint="eastAsia"/>
                      <w:color w:val="auto"/>
                      <w:spacing w:val="1"/>
                      <w:sz w:val="20"/>
                      <w:szCs w:val="20"/>
                    </w:rPr>
                    <w:t>0.25</w:t>
                  </w:r>
                </w:p>
              </w:tc>
              <w:tc>
                <w:tcPr>
                  <w:tcW w:w="835" w:type="dxa"/>
                  <w:vAlign w:val="center"/>
                </w:tcPr>
                <w:p w14:paraId="373B7A11">
                  <w:pPr>
                    <w:jc w:val="center"/>
                    <w:rPr>
                      <w:color w:val="auto"/>
                      <w:spacing w:val="1"/>
                      <w:sz w:val="20"/>
                      <w:szCs w:val="20"/>
                    </w:rPr>
                  </w:pPr>
                  <w:r>
                    <w:rPr>
                      <w:rFonts w:hint="eastAsia"/>
                      <w:color w:val="auto"/>
                      <w:spacing w:val="1"/>
                      <w:sz w:val="20"/>
                      <w:szCs w:val="20"/>
                    </w:rPr>
                    <w:t>0.04</w:t>
                  </w:r>
                </w:p>
              </w:tc>
            </w:tr>
            <w:tr w14:paraId="0731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46AA533B">
                  <w:pPr>
                    <w:jc w:val="center"/>
                    <w:rPr>
                      <w:snapToGrid w:val="0"/>
                      <w:color w:val="auto"/>
                      <w:szCs w:val="21"/>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.5.</w:t>
                  </w:r>
                  <w:r>
                    <w:rPr>
                      <w:rFonts w:hint="eastAsia"/>
                      <w:color w:val="auto"/>
                      <w:spacing w:val="1"/>
                      <w:sz w:val="20"/>
                      <w:szCs w:val="20"/>
                    </w:rPr>
                    <w:t>5</w:t>
                  </w:r>
                </w:p>
              </w:tc>
              <w:tc>
                <w:tcPr>
                  <w:tcW w:w="1183" w:type="dxa"/>
                  <w:vMerge w:val="continue"/>
                  <w:vAlign w:val="center"/>
                </w:tcPr>
                <w:p w14:paraId="39D364CE">
                  <w:pPr>
                    <w:jc w:val="center"/>
                    <w:rPr>
                      <w:color w:val="auto"/>
                      <w:szCs w:val="21"/>
                    </w:rPr>
                  </w:pPr>
                </w:p>
              </w:tc>
              <w:tc>
                <w:tcPr>
                  <w:tcW w:w="758" w:type="dxa"/>
                  <w:vAlign w:val="center"/>
                </w:tcPr>
                <w:p w14:paraId="17002393">
                  <w:pPr>
                    <w:jc w:val="center"/>
                    <w:rPr>
                      <w:snapToGrid w:val="0"/>
                      <w:color w:val="auto"/>
                      <w:szCs w:val="21"/>
                    </w:rPr>
                  </w:pPr>
                  <w:r>
                    <w:rPr>
                      <w:rFonts w:hint="eastAsia"/>
                      <w:color w:val="auto"/>
                      <w:spacing w:val="1"/>
                      <w:sz w:val="20"/>
                      <w:szCs w:val="20"/>
                    </w:rPr>
                    <w:t>8.3</w:t>
                  </w:r>
                </w:p>
              </w:tc>
              <w:tc>
                <w:tcPr>
                  <w:tcW w:w="851" w:type="dxa"/>
                  <w:vAlign w:val="center"/>
                </w:tcPr>
                <w:p w14:paraId="4F976B83">
                  <w:pPr>
                    <w:jc w:val="center"/>
                    <w:rPr>
                      <w:snapToGrid w:val="0"/>
                      <w:color w:val="auto"/>
                      <w:szCs w:val="21"/>
                    </w:rPr>
                  </w:pPr>
                  <w:r>
                    <w:rPr>
                      <w:rFonts w:hint="eastAsia"/>
                      <w:color w:val="auto"/>
                      <w:spacing w:val="1"/>
                      <w:sz w:val="20"/>
                      <w:szCs w:val="20"/>
                    </w:rPr>
                    <w:t>8.9</w:t>
                  </w:r>
                </w:p>
              </w:tc>
              <w:tc>
                <w:tcPr>
                  <w:tcW w:w="1532" w:type="dxa"/>
                  <w:vAlign w:val="center"/>
                </w:tcPr>
                <w:p w14:paraId="72F6CEE9">
                  <w:pPr>
                    <w:jc w:val="center"/>
                    <w:rPr>
                      <w:snapToGrid w:val="0"/>
                      <w:color w:val="auto"/>
                      <w:szCs w:val="21"/>
                    </w:rPr>
                  </w:pPr>
                  <w:r>
                    <w:rPr>
                      <w:rFonts w:hint="eastAsia"/>
                      <w:color w:val="auto"/>
                      <w:spacing w:val="1"/>
                      <w:sz w:val="20"/>
                      <w:szCs w:val="20"/>
                    </w:rPr>
                    <w:t>1.9</w:t>
                  </w:r>
                </w:p>
              </w:tc>
              <w:tc>
                <w:tcPr>
                  <w:tcW w:w="1014" w:type="dxa"/>
                  <w:vAlign w:val="center"/>
                </w:tcPr>
                <w:p w14:paraId="5AF0AEE1">
                  <w:pPr>
                    <w:jc w:val="center"/>
                    <w:rPr>
                      <w:snapToGrid w:val="0"/>
                      <w:color w:val="auto"/>
                      <w:szCs w:val="21"/>
                    </w:rPr>
                  </w:pPr>
                  <w:r>
                    <w:rPr>
                      <w:rFonts w:hint="eastAsia"/>
                      <w:color w:val="auto"/>
                      <w:spacing w:val="1"/>
                      <w:sz w:val="20"/>
                      <w:szCs w:val="20"/>
                    </w:rPr>
                    <w:t>/</w:t>
                  </w:r>
                </w:p>
              </w:tc>
              <w:tc>
                <w:tcPr>
                  <w:tcW w:w="864" w:type="dxa"/>
                  <w:vAlign w:val="center"/>
                </w:tcPr>
                <w:p w14:paraId="6E714FE9">
                  <w:pPr>
                    <w:jc w:val="center"/>
                    <w:rPr>
                      <w:snapToGrid w:val="0"/>
                      <w:color w:val="auto"/>
                      <w:szCs w:val="21"/>
                    </w:rPr>
                  </w:pPr>
                  <w:r>
                    <w:rPr>
                      <w:rFonts w:hint="eastAsia"/>
                      <w:color w:val="auto"/>
                      <w:spacing w:val="1"/>
                      <w:sz w:val="20"/>
                      <w:szCs w:val="20"/>
                    </w:rPr>
                    <w:t>0.34</w:t>
                  </w:r>
                </w:p>
              </w:tc>
              <w:tc>
                <w:tcPr>
                  <w:tcW w:w="835" w:type="dxa"/>
                  <w:vAlign w:val="center"/>
                </w:tcPr>
                <w:p w14:paraId="2F2443C6">
                  <w:pPr>
                    <w:jc w:val="center"/>
                    <w:rPr>
                      <w:snapToGrid w:val="0"/>
                      <w:color w:val="auto"/>
                      <w:szCs w:val="21"/>
                    </w:rPr>
                  </w:pPr>
                  <w:r>
                    <w:rPr>
                      <w:rFonts w:eastAsia="Times New Roman"/>
                      <w:color w:val="auto"/>
                      <w:spacing w:val="1"/>
                      <w:sz w:val="20"/>
                      <w:szCs w:val="20"/>
                    </w:rPr>
                    <w:t>0.0</w:t>
                  </w:r>
                  <w:r>
                    <w:rPr>
                      <w:rFonts w:hint="eastAsia"/>
                      <w:color w:val="auto"/>
                      <w:spacing w:val="1"/>
                      <w:sz w:val="20"/>
                      <w:szCs w:val="20"/>
                    </w:rPr>
                    <w:t>5</w:t>
                  </w:r>
                </w:p>
              </w:tc>
            </w:tr>
            <w:tr w14:paraId="7879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4C24A1CD">
                  <w:pPr>
                    <w:jc w:val="center"/>
                    <w:rPr>
                      <w:rFonts w:eastAsia="Times New Roman"/>
                      <w:color w:val="auto"/>
                      <w:spacing w:val="1"/>
                      <w:sz w:val="20"/>
                      <w:szCs w:val="20"/>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w:t>
                  </w:r>
                  <w:r>
                    <w:rPr>
                      <w:rFonts w:hint="eastAsia"/>
                      <w:color w:val="auto"/>
                      <w:spacing w:val="1"/>
                      <w:sz w:val="20"/>
                      <w:szCs w:val="20"/>
                    </w:rPr>
                    <w:t>6</w:t>
                  </w:r>
                  <w:r>
                    <w:rPr>
                      <w:rFonts w:eastAsia="Times New Roman"/>
                      <w:color w:val="auto"/>
                      <w:spacing w:val="1"/>
                      <w:sz w:val="20"/>
                      <w:szCs w:val="20"/>
                    </w:rPr>
                    <w:t>.</w:t>
                  </w:r>
                  <w:r>
                    <w:rPr>
                      <w:rFonts w:hint="eastAsia"/>
                      <w:color w:val="auto"/>
                      <w:spacing w:val="1"/>
                      <w:sz w:val="20"/>
                      <w:szCs w:val="20"/>
                    </w:rPr>
                    <w:t>1</w:t>
                  </w:r>
                </w:p>
              </w:tc>
              <w:tc>
                <w:tcPr>
                  <w:tcW w:w="1183" w:type="dxa"/>
                  <w:vMerge w:val="continue"/>
                  <w:vAlign w:val="center"/>
                </w:tcPr>
                <w:p w14:paraId="3676F5AD">
                  <w:pPr>
                    <w:jc w:val="center"/>
                    <w:rPr>
                      <w:color w:val="auto"/>
                      <w:szCs w:val="21"/>
                    </w:rPr>
                  </w:pPr>
                </w:p>
              </w:tc>
              <w:tc>
                <w:tcPr>
                  <w:tcW w:w="758" w:type="dxa"/>
                  <w:vAlign w:val="center"/>
                </w:tcPr>
                <w:p w14:paraId="1B760AB2">
                  <w:pPr>
                    <w:jc w:val="center"/>
                    <w:rPr>
                      <w:color w:val="auto"/>
                      <w:spacing w:val="1"/>
                      <w:sz w:val="20"/>
                      <w:szCs w:val="20"/>
                    </w:rPr>
                  </w:pPr>
                  <w:r>
                    <w:rPr>
                      <w:rFonts w:hint="eastAsia"/>
                      <w:color w:val="auto"/>
                      <w:spacing w:val="1"/>
                      <w:sz w:val="20"/>
                      <w:szCs w:val="20"/>
                    </w:rPr>
                    <w:t>7.7</w:t>
                  </w:r>
                </w:p>
              </w:tc>
              <w:tc>
                <w:tcPr>
                  <w:tcW w:w="851" w:type="dxa"/>
                  <w:vAlign w:val="center"/>
                </w:tcPr>
                <w:p w14:paraId="560C79B9">
                  <w:pPr>
                    <w:jc w:val="center"/>
                    <w:rPr>
                      <w:color w:val="auto"/>
                      <w:spacing w:val="1"/>
                      <w:sz w:val="20"/>
                      <w:szCs w:val="20"/>
                    </w:rPr>
                  </w:pPr>
                  <w:r>
                    <w:rPr>
                      <w:rFonts w:hint="eastAsia"/>
                      <w:color w:val="auto"/>
                      <w:spacing w:val="1"/>
                      <w:sz w:val="20"/>
                      <w:szCs w:val="20"/>
                    </w:rPr>
                    <w:t>6.4</w:t>
                  </w:r>
                </w:p>
              </w:tc>
              <w:tc>
                <w:tcPr>
                  <w:tcW w:w="1532" w:type="dxa"/>
                  <w:vAlign w:val="center"/>
                </w:tcPr>
                <w:p w14:paraId="7F944A39">
                  <w:pPr>
                    <w:jc w:val="center"/>
                    <w:rPr>
                      <w:color w:val="auto"/>
                      <w:spacing w:val="1"/>
                      <w:sz w:val="20"/>
                      <w:szCs w:val="20"/>
                    </w:rPr>
                  </w:pPr>
                  <w:r>
                    <w:rPr>
                      <w:rFonts w:hint="eastAsia"/>
                      <w:color w:val="auto"/>
                      <w:spacing w:val="1"/>
                      <w:sz w:val="20"/>
                      <w:szCs w:val="20"/>
                    </w:rPr>
                    <w:t>2.8</w:t>
                  </w:r>
                </w:p>
              </w:tc>
              <w:tc>
                <w:tcPr>
                  <w:tcW w:w="1014" w:type="dxa"/>
                  <w:vAlign w:val="center"/>
                </w:tcPr>
                <w:p w14:paraId="3F250C14">
                  <w:pPr>
                    <w:jc w:val="center"/>
                    <w:rPr>
                      <w:color w:val="auto"/>
                      <w:spacing w:val="1"/>
                      <w:sz w:val="20"/>
                      <w:szCs w:val="20"/>
                    </w:rPr>
                  </w:pPr>
                  <w:r>
                    <w:rPr>
                      <w:rFonts w:hint="eastAsia"/>
                      <w:color w:val="auto"/>
                      <w:spacing w:val="1"/>
                      <w:sz w:val="20"/>
                      <w:szCs w:val="20"/>
                    </w:rPr>
                    <w:t>/</w:t>
                  </w:r>
                </w:p>
              </w:tc>
              <w:tc>
                <w:tcPr>
                  <w:tcW w:w="864" w:type="dxa"/>
                  <w:vAlign w:val="center"/>
                </w:tcPr>
                <w:p w14:paraId="4F29C5FE">
                  <w:pPr>
                    <w:jc w:val="center"/>
                    <w:rPr>
                      <w:color w:val="auto"/>
                      <w:spacing w:val="1"/>
                      <w:sz w:val="20"/>
                      <w:szCs w:val="20"/>
                    </w:rPr>
                  </w:pPr>
                  <w:r>
                    <w:rPr>
                      <w:rFonts w:hint="eastAsia"/>
                      <w:color w:val="auto"/>
                      <w:spacing w:val="1"/>
                      <w:sz w:val="20"/>
                      <w:szCs w:val="20"/>
                    </w:rPr>
                    <w:t>0.10</w:t>
                  </w:r>
                </w:p>
              </w:tc>
              <w:tc>
                <w:tcPr>
                  <w:tcW w:w="835" w:type="dxa"/>
                  <w:vAlign w:val="center"/>
                </w:tcPr>
                <w:p w14:paraId="260D3659">
                  <w:pPr>
                    <w:jc w:val="center"/>
                    <w:rPr>
                      <w:color w:val="auto"/>
                      <w:spacing w:val="1"/>
                      <w:sz w:val="20"/>
                      <w:szCs w:val="20"/>
                    </w:rPr>
                  </w:pPr>
                  <w:r>
                    <w:rPr>
                      <w:rFonts w:hint="eastAsia"/>
                      <w:color w:val="auto"/>
                      <w:spacing w:val="1"/>
                      <w:sz w:val="20"/>
                      <w:szCs w:val="20"/>
                    </w:rPr>
                    <w:t>0.09</w:t>
                  </w:r>
                </w:p>
              </w:tc>
            </w:tr>
            <w:tr w14:paraId="426C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0E35942C">
                  <w:pPr>
                    <w:jc w:val="center"/>
                    <w:rPr>
                      <w:snapToGrid w:val="0"/>
                      <w:color w:val="auto"/>
                      <w:szCs w:val="21"/>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.7.</w:t>
                  </w:r>
                  <w:r>
                    <w:rPr>
                      <w:rFonts w:hint="eastAsia"/>
                      <w:color w:val="auto"/>
                      <w:spacing w:val="1"/>
                      <w:sz w:val="20"/>
                      <w:szCs w:val="20"/>
                    </w:rPr>
                    <w:t>1</w:t>
                  </w:r>
                </w:p>
              </w:tc>
              <w:tc>
                <w:tcPr>
                  <w:tcW w:w="1183" w:type="dxa"/>
                  <w:vMerge w:val="continue"/>
                  <w:vAlign w:val="center"/>
                </w:tcPr>
                <w:p w14:paraId="53AB9C63">
                  <w:pPr>
                    <w:jc w:val="center"/>
                    <w:rPr>
                      <w:color w:val="auto"/>
                      <w:szCs w:val="21"/>
                    </w:rPr>
                  </w:pPr>
                </w:p>
              </w:tc>
              <w:tc>
                <w:tcPr>
                  <w:tcW w:w="758" w:type="dxa"/>
                  <w:vAlign w:val="center"/>
                </w:tcPr>
                <w:p w14:paraId="1B307E0C">
                  <w:pPr>
                    <w:jc w:val="center"/>
                    <w:rPr>
                      <w:snapToGrid w:val="0"/>
                      <w:color w:val="auto"/>
                      <w:szCs w:val="21"/>
                    </w:rPr>
                  </w:pPr>
                  <w:r>
                    <w:rPr>
                      <w:rFonts w:hint="eastAsia"/>
                      <w:color w:val="auto"/>
                      <w:spacing w:val="1"/>
                      <w:sz w:val="20"/>
                      <w:szCs w:val="20"/>
                    </w:rPr>
                    <w:t>7.7</w:t>
                  </w:r>
                </w:p>
              </w:tc>
              <w:tc>
                <w:tcPr>
                  <w:tcW w:w="851" w:type="dxa"/>
                  <w:vAlign w:val="center"/>
                </w:tcPr>
                <w:p w14:paraId="66E51608">
                  <w:pPr>
                    <w:jc w:val="center"/>
                    <w:rPr>
                      <w:snapToGrid w:val="0"/>
                      <w:color w:val="auto"/>
                      <w:szCs w:val="21"/>
                    </w:rPr>
                  </w:pPr>
                  <w:r>
                    <w:rPr>
                      <w:rFonts w:hint="eastAsia"/>
                      <w:color w:val="auto"/>
                      <w:spacing w:val="1"/>
                      <w:sz w:val="20"/>
                      <w:szCs w:val="20"/>
                    </w:rPr>
                    <w:t>7.7</w:t>
                  </w:r>
                </w:p>
              </w:tc>
              <w:tc>
                <w:tcPr>
                  <w:tcW w:w="1532" w:type="dxa"/>
                  <w:vAlign w:val="center"/>
                </w:tcPr>
                <w:p w14:paraId="3C1E0D9D">
                  <w:pPr>
                    <w:jc w:val="center"/>
                    <w:rPr>
                      <w:snapToGrid w:val="0"/>
                      <w:color w:val="auto"/>
                      <w:szCs w:val="21"/>
                    </w:rPr>
                  </w:pPr>
                  <w:r>
                    <w:rPr>
                      <w:rFonts w:hint="eastAsia"/>
                      <w:color w:val="auto"/>
                      <w:spacing w:val="1"/>
                      <w:sz w:val="20"/>
                      <w:szCs w:val="20"/>
                    </w:rPr>
                    <w:t>1.9</w:t>
                  </w:r>
                </w:p>
              </w:tc>
              <w:tc>
                <w:tcPr>
                  <w:tcW w:w="1014" w:type="dxa"/>
                  <w:vAlign w:val="center"/>
                </w:tcPr>
                <w:p w14:paraId="4C1CCC92">
                  <w:pPr>
                    <w:jc w:val="center"/>
                    <w:rPr>
                      <w:snapToGrid w:val="0"/>
                      <w:color w:val="auto"/>
                      <w:szCs w:val="21"/>
                    </w:rPr>
                  </w:pPr>
                  <w:r>
                    <w:rPr>
                      <w:rFonts w:hint="eastAsia"/>
                      <w:color w:val="auto"/>
                      <w:spacing w:val="1"/>
                      <w:sz w:val="20"/>
                      <w:szCs w:val="20"/>
                    </w:rPr>
                    <w:t>/</w:t>
                  </w:r>
                </w:p>
              </w:tc>
              <w:tc>
                <w:tcPr>
                  <w:tcW w:w="864" w:type="dxa"/>
                  <w:vAlign w:val="center"/>
                </w:tcPr>
                <w:p w14:paraId="0A5B4165">
                  <w:pPr>
                    <w:jc w:val="center"/>
                    <w:rPr>
                      <w:snapToGrid w:val="0"/>
                      <w:color w:val="auto"/>
                      <w:szCs w:val="21"/>
                    </w:rPr>
                  </w:pPr>
                  <w:r>
                    <w:rPr>
                      <w:rFonts w:hint="eastAsia"/>
                      <w:color w:val="auto"/>
                      <w:spacing w:val="1"/>
                      <w:sz w:val="20"/>
                      <w:szCs w:val="20"/>
                    </w:rPr>
                    <w:t>0.39</w:t>
                  </w:r>
                </w:p>
              </w:tc>
              <w:tc>
                <w:tcPr>
                  <w:tcW w:w="835" w:type="dxa"/>
                  <w:vAlign w:val="center"/>
                </w:tcPr>
                <w:p w14:paraId="3B793F2D">
                  <w:pPr>
                    <w:jc w:val="center"/>
                    <w:rPr>
                      <w:snapToGrid w:val="0"/>
                      <w:color w:val="auto"/>
                      <w:szCs w:val="21"/>
                    </w:rPr>
                  </w:pPr>
                  <w:r>
                    <w:rPr>
                      <w:rFonts w:eastAsia="Times New Roman"/>
                      <w:color w:val="auto"/>
                      <w:spacing w:val="1"/>
                      <w:sz w:val="20"/>
                      <w:szCs w:val="20"/>
                    </w:rPr>
                    <w:t>0.0</w:t>
                  </w:r>
                  <w:r>
                    <w:rPr>
                      <w:rFonts w:hint="eastAsia"/>
                      <w:color w:val="auto"/>
                      <w:spacing w:val="1"/>
                      <w:sz w:val="20"/>
                      <w:szCs w:val="20"/>
                    </w:rPr>
                    <w:t>4</w:t>
                  </w:r>
                </w:p>
              </w:tc>
            </w:tr>
            <w:tr w14:paraId="3537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0FC24A4D">
                  <w:pPr>
                    <w:jc w:val="center"/>
                    <w:rPr>
                      <w:snapToGrid w:val="0"/>
                      <w:color w:val="auto"/>
                      <w:szCs w:val="21"/>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.8.</w:t>
                  </w:r>
                  <w:r>
                    <w:rPr>
                      <w:rFonts w:hint="eastAsia"/>
                      <w:color w:val="auto"/>
                      <w:spacing w:val="1"/>
                      <w:sz w:val="20"/>
                      <w:szCs w:val="20"/>
                    </w:rPr>
                    <w:t>1</w:t>
                  </w:r>
                </w:p>
              </w:tc>
              <w:tc>
                <w:tcPr>
                  <w:tcW w:w="1183" w:type="dxa"/>
                  <w:vMerge w:val="continue"/>
                  <w:vAlign w:val="center"/>
                </w:tcPr>
                <w:p w14:paraId="51C01BAD">
                  <w:pPr>
                    <w:jc w:val="center"/>
                    <w:rPr>
                      <w:color w:val="auto"/>
                      <w:szCs w:val="21"/>
                    </w:rPr>
                  </w:pPr>
                </w:p>
              </w:tc>
              <w:tc>
                <w:tcPr>
                  <w:tcW w:w="758" w:type="dxa"/>
                  <w:vAlign w:val="center"/>
                </w:tcPr>
                <w:p w14:paraId="12326D0C">
                  <w:pPr>
                    <w:jc w:val="center"/>
                    <w:rPr>
                      <w:snapToGrid w:val="0"/>
                      <w:color w:val="auto"/>
                      <w:szCs w:val="21"/>
                    </w:rPr>
                  </w:pPr>
                  <w:r>
                    <w:rPr>
                      <w:rFonts w:hint="eastAsia"/>
                      <w:color w:val="auto"/>
                      <w:spacing w:val="1"/>
                      <w:sz w:val="20"/>
                      <w:szCs w:val="20"/>
                    </w:rPr>
                    <w:t>8.4</w:t>
                  </w:r>
                </w:p>
              </w:tc>
              <w:tc>
                <w:tcPr>
                  <w:tcW w:w="851" w:type="dxa"/>
                  <w:vAlign w:val="center"/>
                </w:tcPr>
                <w:p w14:paraId="3AB6A9F7">
                  <w:pPr>
                    <w:jc w:val="center"/>
                    <w:rPr>
                      <w:snapToGrid w:val="0"/>
                      <w:color w:val="auto"/>
                      <w:szCs w:val="21"/>
                    </w:rPr>
                  </w:pPr>
                  <w:r>
                    <w:rPr>
                      <w:rFonts w:hint="eastAsia"/>
                      <w:color w:val="auto"/>
                      <w:spacing w:val="1"/>
                      <w:sz w:val="20"/>
                      <w:szCs w:val="20"/>
                    </w:rPr>
                    <w:t>9.0</w:t>
                  </w:r>
                </w:p>
              </w:tc>
              <w:tc>
                <w:tcPr>
                  <w:tcW w:w="1532" w:type="dxa"/>
                  <w:vAlign w:val="center"/>
                </w:tcPr>
                <w:p w14:paraId="242313E5">
                  <w:pPr>
                    <w:jc w:val="center"/>
                    <w:rPr>
                      <w:snapToGrid w:val="0"/>
                      <w:color w:val="auto"/>
                      <w:szCs w:val="21"/>
                    </w:rPr>
                  </w:pPr>
                  <w:r>
                    <w:rPr>
                      <w:rFonts w:hint="eastAsia"/>
                      <w:color w:val="auto"/>
                      <w:spacing w:val="1"/>
                      <w:sz w:val="20"/>
                      <w:szCs w:val="20"/>
                    </w:rPr>
                    <w:t>3.1</w:t>
                  </w:r>
                </w:p>
              </w:tc>
              <w:tc>
                <w:tcPr>
                  <w:tcW w:w="1014" w:type="dxa"/>
                  <w:vAlign w:val="center"/>
                </w:tcPr>
                <w:p w14:paraId="606E709E">
                  <w:pPr>
                    <w:jc w:val="center"/>
                    <w:rPr>
                      <w:snapToGrid w:val="0"/>
                      <w:color w:val="auto"/>
                      <w:szCs w:val="21"/>
                    </w:rPr>
                  </w:pPr>
                  <w:r>
                    <w:rPr>
                      <w:rFonts w:hint="eastAsia"/>
                      <w:color w:val="auto"/>
                      <w:spacing w:val="1"/>
                      <w:sz w:val="20"/>
                      <w:szCs w:val="20"/>
                    </w:rPr>
                    <w:t>1.8</w:t>
                  </w:r>
                </w:p>
              </w:tc>
              <w:tc>
                <w:tcPr>
                  <w:tcW w:w="864" w:type="dxa"/>
                  <w:vAlign w:val="center"/>
                </w:tcPr>
                <w:p w14:paraId="4AADC768">
                  <w:pPr>
                    <w:jc w:val="center"/>
                    <w:rPr>
                      <w:snapToGrid w:val="0"/>
                      <w:color w:val="auto"/>
                      <w:szCs w:val="21"/>
                    </w:rPr>
                  </w:pPr>
                  <w:r>
                    <w:rPr>
                      <w:rFonts w:hint="eastAsia"/>
                      <w:color w:val="auto"/>
                      <w:spacing w:val="1"/>
                      <w:sz w:val="20"/>
                      <w:szCs w:val="20"/>
                    </w:rPr>
                    <w:t>0.37</w:t>
                  </w:r>
                </w:p>
              </w:tc>
              <w:tc>
                <w:tcPr>
                  <w:tcW w:w="835" w:type="dxa"/>
                  <w:vAlign w:val="center"/>
                </w:tcPr>
                <w:p w14:paraId="2E83E44B">
                  <w:pPr>
                    <w:jc w:val="center"/>
                    <w:rPr>
                      <w:snapToGrid w:val="0"/>
                      <w:color w:val="auto"/>
                      <w:szCs w:val="21"/>
                    </w:rPr>
                  </w:pPr>
                  <w:r>
                    <w:rPr>
                      <w:rFonts w:eastAsia="Times New Roman"/>
                      <w:color w:val="auto"/>
                      <w:spacing w:val="1"/>
                      <w:sz w:val="20"/>
                      <w:szCs w:val="20"/>
                    </w:rPr>
                    <w:t>0.0</w:t>
                  </w:r>
                  <w:r>
                    <w:rPr>
                      <w:rFonts w:hint="eastAsia"/>
                      <w:color w:val="auto"/>
                      <w:spacing w:val="1"/>
                      <w:sz w:val="20"/>
                      <w:szCs w:val="20"/>
                    </w:rPr>
                    <w:t>5</w:t>
                  </w:r>
                </w:p>
              </w:tc>
            </w:tr>
            <w:tr w14:paraId="23DA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4979DBD0">
                  <w:pPr>
                    <w:jc w:val="center"/>
                    <w:rPr>
                      <w:snapToGrid w:val="0"/>
                      <w:color w:val="auto"/>
                      <w:szCs w:val="21"/>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.9.1</w:t>
                  </w:r>
                </w:p>
              </w:tc>
              <w:tc>
                <w:tcPr>
                  <w:tcW w:w="1183" w:type="dxa"/>
                  <w:vMerge w:val="continue"/>
                  <w:vAlign w:val="center"/>
                </w:tcPr>
                <w:p w14:paraId="485A34B0">
                  <w:pPr>
                    <w:jc w:val="center"/>
                    <w:rPr>
                      <w:color w:val="auto"/>
                      <w:szCs w:val="21"/>
                    </w:rPr>
                  </w:pPr>
                </w:p>
              </w:tc>
              <w:tc>
                <w:tcPr>
                  <w:tcW w:w="758" w:type="dxa"/>
                  <w:vAlign w:val="center"/>
                </w:tcPr>
                <w:p w14:paraId="1F02C780">
                  <w:pPr>
                    <w:jc w:val="center"/>
                    <w:rPr>
                      <w:snapToGrid w:val="0"/>
                      <w:color w:val="auto"/>
                      <w:szCs w:val="21"/>
                    </w:rPr>
                  </w:pPr>
                  <w:r>
                    <w:rPr>
                      <w:rFonts w:hint="eastAsia"/>
                      <w:color w:val="auto"/>
                      <w:spacing w:val="1"/>
                      <w:sz w:val="20"/>
                      <w:szCs w:val="20"/>
                    </w:rPr>
                    <w:t>7.1</w:t>
                  </w:r>
                </w:p>
              </w:tc>
              <w:tc>
                <w:tcPr>
                  <w:tcW w:w="851" w:type="dxa"/>
                  <w:vAlign w:val="center"/>
                </w:tcPr>
                <w:p w14:paraId="3ED70EE5">
                  <w:pPr>
                    <w:jc w:val="center"/>
                    <w:rPr>
                      <w:snapToGrid w:val="0"/>
                      <w:color w:val="auto"/>
                      <w:szCs w:val="21"/>
                    </w:rPr>
                  </w:pPr>
                  <w:r>
                    <w:rPr>
                      <w:rFonts w:hint="eastAsia"/>
                      <w:color w:val="auto"/>
                      <w:spacing w:val="1"/>
                      <w:sz w:val="20"/>
                      <w:szCs w:val="20"/>
                    </w:rPr>
                    <w:t>6.4</w:t>
                  </w:r>
                </w:p>
              </w:tc>
              <w:tc>
                <w:tcPr>
                  <w:tcW w:w="1532" w:type="dxa"/>
                  <w:vAlign w:val="center"/>
                </w:tcPr>
                <w:p w14:paraId="19A973EB">
                  <w:pPr>
                    <w:jc w:val="center"/>
                    <w:rPr>
                      <w:snapToGrid w:val="0"/>
                      <w:color w:val="auto"/>
                      <w:szCs w:val="21"/>
                    </w:rPr>
                  </w:pPr>
                  <w:r>
                    <w:rPr>
                      <w:rFonts w:hint="eastAsia"/>
                      <w:color w:val="auto"/>
                      <w:spacing w:val="1"/>
                      <w:sz w:val="20"/>
                      <w:szCs w:val="20"/>
                    </w:rPr>
                    <w:t>3.4</w:t>
                  </w:r>
                </w:p>
              </w:tc>
              <w:tc>
                <w:tcPr>
                  <w:tcW w:w="1014" w:type="dxa"/>
                  <w:vAlign w:val="center"/>
                </w:tcPr>
                <w:p w14:paraId="659D47E5">
                  <w:pPr>
                    <w:jc w:val="center"/>
                    <w:rPr>
                      <w:snapToGrid w:val="0"/>
                      <w:color w:val="auto"/>
                      <w:szCs w:val="21"/>
                    </w:rPr>
                  </w:pPr>
                  <w:r>
                    <w:rPr>
                      <w:rFonts w:hint="eastAsia"/>
                      <w:color w:val="auto"/>
                      <w:spacing w:val="1"/>
                      <w:sz w:val="20"/>
                      <w:szCs w:val="20"/>
                    </w:rPr>
                    <w:t>2.9</w:t>
                  </w:r>
                </w:p>
              </w:tc>
              <w:tc>
                <w:tcPr>
                  <w:tcW w:w="864" w:type="dxa"/>
                  <w:vAlign w:val="center"/>
                </w:tcPr>
                <w:p w14:paraId="4F124BA6">
                  <w:pPr>
                    <w:jc w:val="center"/>
                    <w:rPr>
                      <w:snapToGrid w:val="0"/>
                      <w:color w:val="auto"/>
                      <w:szCs w:val="21"/>
                    </w:rPr>
                  </w:pPr>
                  <w:r>
                    <w:rPr>
                      <w:rFonts w:eastAsia="Times New Roman"/>
                      <w:color w:val="auto"/>
                      <w:spacing w:val="1"/>
                      <w:sz w:val="20"/>
                      <w:szCs w:val="20"/>
                    </w:rPr>
                    <w:t>0.</w:t>
                  </w:r>
                  <w:r>
                    <w:rPr>
                      <w:rFonts w:hint="eastAsia"/>
                      <w:color w:val="auto"/>
                      <w:spacing w:val="1"/>
                      <w:sz w:val="20"/>
                      <w:szCs w:val="20"/>
                    </w:rPr>
                    <w:t>41</w:t>
                  </w:r>
                </w:p>
              </w:tc>
              <w:tc>
                <w:tcPr>
                  <w:tcW w:w="835" w:type="dxa"/>
                  <w:vAlign w:val="center"/>
                </w:tcPr>
                <w:p w14:paraId="47186E15">
                  <w:pPr>
                    <w:jc w:val="center"/>
                    <w:rPr>
                      <w:snapToGrid w:val="0"/>
                      <w:color w:val="auto"/>
                      <w:szCs w:val="21"/>
                    </w:rPr>
                  </w:pPr>
                  <w:r>
                    <w:rPr>
                      <w:rFonts w:eastAsia="Times New Roman"/>
                      <w:color w:val="auto"/>
                      <w:spacing w:val="1"/>
                      <w:sz w:val="20"/>
                      <w:szCs w:val="20"/>
                    </w:rPr>
                    <w:t>0.0</w:t>
                  </w:r>
                  <w:r>
                    <w:rPr>
                      <w:rFonts w:hint="eastAsia"/>
                      <w:color w:val="auto"/>
                      <w:spacing w:val="1"/>
                      <w:sz w:val="20"/>
                      <w:szCs w:val="20"/>
                    </w:rPr>
                    <w:t>8</w:t>
                  </w:r>
                </w:p>
              </w:tc>
            </w:tr>
            <w:tr w14:paraId="1D8E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505E0D1B">
                  <w:pPr>
                    <w:jc w:val="center"/>
                    <w:rPr>
                      <w:snapToGrid w:val="0"/>
                      <w:color w:val="auto"/>
                      <w:szCs w:val="21"/>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.10.8</w:t>
                  </w:r>
                </w:p>
              </w:tc>
              <w:tc>
                <w:tcPr>
                  <w:tcW w:w="1183" w:type="dxa"/>
                  <w:vMerge w:val="continue"/>
                  <w:vAlign w:val="center"/>
                </w:tcPr>
                <w:p w14:paraId="5F78CFA5">
                  <w:pPr>
                    <w:jc w:val="center"/>
                    <w:rPr>
                      <w:color w:val="auto"/>
                      <w:szCs w:val="21"/>
                    </w:rPr>
                  </w:pPr>
                </w:p>
              </w:tc>
              <w:tc>
                <w:tcPr>
                  <w:tcW w:w="758" w:type="dxa"/>
                  <w:vAlign w:val="center"/>
                </w:tcPr>
                <w:p w14:paraId="57AF9CB4">
                  <w:pPr>
                    <w:jc w:val="center"/>
                    <w:rPr>
                      <w:snapToGrid w:val="0"/>
                      <w:color w:val="auto"/>
                      <w:szCs w:val="21"/>
                    </w:rPr>
                  </w:pPr>
                  <w:r>
                    <w:rPr>
                      <w:rFonts w:hint="eastAsia"/>
                      <w:color w:val="auto"/>
                      <w:spacing w:val="1"/>
                      <w:sz w:val="20"/>
                      <w:szCs w:val="20"/>
                    </w:rPr>
                    <w:t>7.3</w:t>
                  </w:r>
                </w:p>
              </w:tc>
              <w:tc>
                <w:tcPr>
                  <w:tcW w:w="851" w:type="dxa"/>
                  <w:vAlign w:val="center"/>
                </w:tcPr>
                <w:p w14:paraId="4C860F53">
                  <w:pPr>
                    <w:jc w:val="center"/>
                    <w:rPr>
                      <w:snapToGrid w:val="0"/>
                      <w:color w:val="auto"/>
                      <w:szCs w:val="21"/>
                    </w:rPr>
                  </w:pPr>
                  <w:r>
                    <w:rPr>
                      <w:rFonts w:hint="eastAsia"/>
                      <w:color w:val="auto"/>
                      <w:spacing w:val="1"/>
                      <w:sz w:val="20"/>
                      <w:szCs w:val="20"/>
                    </w:rPr>
                    <w:t>6.0</w:t>
                  </w:r>
                </w:p>
              </w:tc>
              <w:tc>
                <w:tcPr>
                  <w:tcW w:w="1532" w:type="dxa"/>
                  <w:vAlign w:val="center"/>
                </w:tcPr>
                <w:p w14:paraId="621AB701">
                  <w:pPr>
                    <w:jc w:val="center"/>
                    <w:rPr>
                      <w:snapToGrid w:val="0"/>
                      <w:color w:val="auto"/>
                      <w:szCs w:val="21"/>
                    </w:rPr>
                  </w:pPr>
                  <w:r>
                    <w:rPr>
                      <w:rFonts w:hint="eastAsia"/>
                      <w:color w:val="auto"/>
                      <w:spacing w:val="1"/>
                      <w:sz w:val="20"/>
                      <w:szCs w:val="20"/>
                    </w:rPr>
                    <w:t>1.9</w:t>
                  </w:r>
                </w:p>
              </w:tc>
              <w:tc>
                <w:tcPr>
                  <w:tcW w:w="1014" w:type="dxa"/>
                  <w:vAlign w:val="center"/>
                </w:tcPr>
                <w:p w14:paraId="44CFA99B">
                  <w:pPr>
                    <w:jc w:val="center"/>
                    <w:rPr>
                      <w:snapToGrid w:val="0"/>
                      <w:color w:val="auto"/>
                      <w:szCs w:val="21"/>
                    </w:rPr>
                  </w:pPr>
                  <w:r>
                    <w:rPr>
                      <w:rFonts w:hint="eastAsia"/>
                      <w:color w:val="auto"/>
                      <w:spacing w:val="1"/>
                      <w:sz w:val="20"/>
                      <w:szCs w:val="20"/>
                    </w:rPr>
                    <w:t>1.8</w:t>
                  </w:r>
                </w:p>
              </w:tc>
              <w:tc>
                <w:tcPr>
                  <w:tcW w:w="864" w:type="dxa"/>
                  <w:vAlign w:val="center"/>
                </w:tcPr>
                <w:p w14:paraId="6EB15B86">
                  <w:pPr>
                    <w:jc w:val="center"/>
                    <w:rPr>
                      <w:snapToGrid w:val="0"/>
                      <w:color w:val="auto"/>
                      <w:szCs w:val="21"/>
                    </w:rPr>
                  </w:pPr>
                  <w:r>
                    <w:rPr>
                      <w:rFonts w:eastAsia="Times New Roman"/>
                      <w:color w:val="auto"/>
                      <w:spacing w:val="1"/>
                      <w:sz w:val="20"/>
                      <w:szCs w:val="20"/>
                    </w:rPr>
                    <w:t>0.</w:t>
                  </w:r>
                  <w:r>
                    <w:rPr>
                      <w:rFonts w:hint="eastAsia"/>
                      <w:color w:val="auto"/>
                      <w:spacing w:val="1"/>
                      <w:sz w:val="20"/>
                      <w:szCs w:val="20"/>
                    </w:rPr>
                    <w:t>21</w:t>
                  </w:r>
                </w:p>
              </w:tc>
              <w:tc>
                <w:tcPr>
                  <w:tcW w:w="835" w:type="dxa"/>
                  <w:vAlign w:val="center"/>
                </w:tcPr>
                <w:p w14:paraId="73B14B36">
                  <w:pPr>
                    <w:jc w:val="center"/>
                    <w:rPr>
                      <w:snapToGrid w:val="0"/>
                      <w:color w:val="auto"/>
                      <w:szCs w:val="21"/>
                    </w:rPr>
                  </w:pPr>
                  <w:r>
                    <w:rPr>
                      <w:rFonts w:eastAsia="Times New Roman"/>
                      <w:color w:val="auto"/>
                      <w:spacing w:val="1"/>
                      <w:sz w:val="20"/>
                      <w:szCs w:val="20"/>
                    </w:rPr>
                    <w:t>0.0</w:t>
                  </w:r>
                  <w:r>
                    <w:rPr>
                      <w:rFonts w:hint="eastAsia"/>
                      <w:color w:val="auto"/>
                      <w:spacing w:val="1"/>
                      <w:sz w:val="20"/>
                      <w:szCs w:val="20"/>
                    </w:rPr>
                    <w:t>3</w:t>
                  </w:r>
                </w:p>
              </w:tc>
            </w:tr>
            <w:tr w14:paraId="0B83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0A63D66A">
                  <w:pPr>
                    <w:jc w:val="center"/>
                    <w:rPr>
                      <w:snapToGrid w:val="0"/>
                      <w:color w:val="auto"/>
                      <w:szCs w:val="21"/>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.11.1</w:t>
                  </w:r>
                </w:p>
              </w:tc>
              <w:tc>
                <w:tcPr>
                  <w:tcW w:w="1183" w:type="dxa"/>
                  <w:vMerge w:val="continue"/>
                  <w:vAlign w:val="center"/>
                </w:tcPr>
                <w:p w14:paraId="19AAC5C1">
                  <w:pPr>
                    <w:jc w:val="center"/>
                    <w:rPr>
                      <w:color w:val="auto"/>
                      <w:szCs w:val="21"/>
                    </w:rPr>
                  </w:pPr>
                </w:p>
              </w:tc>
              <w:tc>
                <w:tcPr>
                  <w:tcW w:w="758" w:type="dxa"/>
                  <w:vAlign w:val="center"/>
                </w:tcPr>
                <w:p w14:paraId="79B9F8BA">
                  <w:pPr>
                    <w:jc w:val="center"/>
                    <w:rPr>
                      <w:snapToGrid w:val="0"/>
                      <w:color w:val="auto"/>
                      <w:szCs w:val="21"/>
                    </w:rPr>
                  </w:pPr>
                  <w:r>
                    <w:rPr>
                      <w:rFonts w:hint="eastAsia"/>
                      <w:color w:val="auto"/>
                      <w:spacing w:val="1"/>
                      <w:sz w:val="20"/>
                      <w:szCs w:val="20"/>
                    </w:rPr>
                    <w:t>7.6</w:t>
                  </w:r>
                </w:p>
              </w:tc>
              <w:tc>
                <w:tcPr>
                  <w:tcW w:w="851" w:type="dxa"/>
                  <w:vAlign w:val="center"/>
                </w:tcPr>
                <w:p w14:paraId="7D3D98E1">
                  <w:pPr>
                    <w:jc w:val="center"/>
                    <w:rPr>
                      <w:snapToGrid w:val="0"/>
                      <w:color w:val="auto"/>
                      <w:szCs w:val="21"/>
                    </w:rPr>
                  </w:pPr>
                  <w:r>
                    <w:rPr>
                      <w:rFonts w:hint="eastAsia"/>
                      <w:color w:val="auto"/>
                      <w:spacing w:val="1"/>
                      <w:sz w:val="20"/>
                      <w:szCs w:val="20"/>
                    </w:rPr>
                    <w:t>6.8</w:t>
                  </w:r>
                </w:p>
              </w:tc>
              <w:tc>
                <w:tcPr>
                  <w:tcW w:w="1532" w:type="dxa"/>
                  <w:vAlign w:val="center"/>
                </w:tcPr>
                <w:p w14:paraId="0E997898">
                  <w:pPr>
                    <w:jc w:val="center"/>
                    <w:rPr>
                      <w:snapToGrid w:val="0"/>
                      <w:color w:val="auto"/>
                      <w:szCs w:val="21"/>
                    </w:rPr>
                  </w:pPr>
                  <w:r>
                    <w:rPr>
                      <w:rFonts w:hint="eastAsia"/>
                      <w:color w:val="auto"/>
                      <w:spacing w:val="1"/>
                      <w:sz w:val="20"/>
                      <w:szCs w:val="20"/>
                    </w:rPr>
                    <w:t>2.2</w:t>
                  </w:r>
                </w:p>
              </w:tc>
              <w:tc>
                <w:tcPr>
                  <w:tcW w:w="1014" w:type="dxa"/>
                  <w:vAlign w:val="center"/>
                </w:tcPr>
                <w:p w14:paraId="5F49341E">
                  <w:pPr>
                    <w:jc w:val="center"/>
                    <w:rPr>
                      <w:snapToGrid w:val="0"/>
                      <w:color w:val="auto"/>
                      <w:szCs w:val="21"/>
                    </w:rPr>
                  </w:pPr>
                  <w:r>
                    <w:rPr>
                      <w:rFonts w:hint="eastAsia"/>
                      <w:color w:val="auto"/>
                      <w:spacing w:val="1"/>
                      <w:sz w:val="20"/>
                      <w:szCs w:val="20"/>
                    </w:rPr>
                    <w:t>2.2</w:t>
                  </w:r>
                </w:p>
              </w:tc>
              <w:tc>
                <w:tcPr>
                  <w:tcW w:w="864" w:type="dxa"/>
                  <w:vAlign w:val="center"/>
                </w:tcPr>
                <w:p w14:paraId="2946408C">
                  <w:pPr>
                    <w:jc w:val="center"/>
                    <w:rPr>
                      <w:snapToGrid w:val="0"/>
                      <w:color w:val="auto"/>
                      <w:szCs w:val="21"/>
                    </w:rPr>
                  </w:pPr>
                  <w:r>
                    <w:rPr>
                      <w:rFonts w:eastAsia="Times New Roman"/>
                      <w:color w:val="auto"/>
                      <w:spacing w:val="1"/>
                      <w:sz w:val="20"/>
                      <w:szCs w:val="20"/>
                    </w:rPr>
                    <w:t>0.</w:t>
                  </w:r>
                  <w:r>
                    <w:rPr>
                      <w:rFonts w:hint="eastAsia"/>
                      <w:color w:val="auto"/>
                      <w:spacing w:val="1"/>
                      <w:sz w:val="20"/>
                      <w:szCs w:val="20"/>
                    </w:rPr>
                    <w:t>37</w:t>
                  </w:r>
                </w:p>
              </w:tc>
              <w:tc>
                <w:tcPr>
                  <w:tcW w:w="835" w:type="dxa"/>
                  <w:vAlign w:val="center"/>
                </w:tcPr>
                <w:p w14:paraId="69ECAE7E">
                  <w:pPr>
                    <w:jc w:val="center"/>
                    <w:rPr>
                      <w:snapToGrid w:val="0"/>
                      <w:color w:val="auto"/>
                      <w:szCs w:val="21"/>
                    </w:rPr>
                  </w:pPr>
                  <w:r>
                    <w:rPr>
                      <w:rFonts w:eastAsia="Times New Roman"/>
                      <w:color w:val="auto"/>
                      <w:spacing w:val="1"/>
                      <w:sz w:val="20"/>
                      <w:szCs w:val="20"/>
                    </w:rPr>
                    <w:t>0.0</w:t>
                  </w:r>
                  <w:r>
                    <w:rPr>
                      <w:rFonts w:hint="eastAsia"/>
                      <w:color w:val="auto"/>
                      <w:spacing w:val="1"/>
                      <w:sz w:val="20"/>
                      <w:szCs w:val="20"/>
                    </w:rPr>
                    <w:t>2</w:t>
                  </w:r>
                </w:p>
              </w:tc>
            </w:tr>
            <w:tr w14:paraId="46B2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4" w:type="dxa"/>
                  <w:vAlign w:val="center"/>
                </w:tcPr>
                <w:p w14:paraId="7C368A8B">
                  <w:pPr>
                    <w:jc w:val="center"/>
                    <w:rPr>
                      <w:snapToGrid w:val="0"/>
                      <w:color w:val="auto"/>
                      <w:szCs w:val="21"/>
                    </w:rPr>
                  </w:pPr>
                  <w:r>
                    <w:rPr>
                      <w:rFonts w:eastAsia="Times New Roman"/>
                      <w:color w:val="auto"/>
                      <w:spacing w:val="1"/>
                      <w:sz w:val="20"/>
                      <w:szCs w:val="20"/>
                    </w:rPr>
                    <w:t>202</w:t>
                  </w:r>
                  <w:r>
                    <w:rPr>
                      <w:rFonts w:hint="eastAsia"/>
                      <w:color w:val="auto"/>
                      <w:spacing w:val="1"/>
                      <w:sz w:val="20"/>
                      <w:szCs w:val="20"/>
                    </w:rPr>
                    <w:t>2</w:t>
                  </w:r>
                  <w:r>
                    <w:rPr>
                      <w:rFonts w:eastAsia="Times New Roman"/>
                      <w:color w:val="auto"/>
                      <w:spacing w:val="1"/>
                      <w:sz w:val="20"/>
                      <w:szCs w:val="20"/>
                    </w:rPr>
                    <w:t>.12.1</w:t>
                  </w:r>
                </w:p>
              </w:tc>
              <w:tc>
                <w:tcPr>
                  <w:tcW w:w="1183" w:type="dxa"/>
                  <w:vMerge w:val="continue"/>
                  <w:vAlign w:val="center"/>
                </w:tcPr>
                <w:p w14:paraId="1C5EC5B4">
                  <w:pPr>
                    <w:jc w:val="center"/>
                    <w:rPr>
                      <w:color w:val="auto"/>
                      <w:szCs w:val="21"/>
                    </w:rPr>
                  </w:pPr>
                </w:p>
              </w:tc>
              <w:tc>
                <w:tcPr>
                  <w:tcW w:w="758" w:type="dxa"/>
                  <w:vAlign w:val="center"/>
                </w:tcPr>
                <w:p w14:paraId="40E6B111">
                  <w:pPr>
                    <w:jc w:val="center"/>
                    <w:rPr>
                      <w:snapToGrid w:val="0"/>
                      <w:color w:val="auto"/>
                      <w:szCs w:val="21"/>
                    </w:rPr>
                  </w:pPr>
                  <w:r>
                    <w:rPr>
                      <w:rFonts w:hint="eastAsia"/>
                      <w:color w:val="auto"/>
                      <w:spacing w:val="1"/>
                      <w:sz w:val="20"/>
                      <w:szCs w:val="20"/>
                    </w:rPr>
                    <w:t>7.5</w:t>
                  </w:r>
                </w:p>
              </w:tc>
              <w:tc>
                <w:tcPr>
                  <w:tcW w:w="851" w:type="dxa"/>
                  <w:vAlign w:val="center"/>
                </w:tcPr>
                <w:p w14:paraId="26A307B5">
                  <w:pPr>
                    <w:jc w:val="center"/>
                    <w:rPr>
                      <w:snapToGrid w:val="0"/>
                      <w:color w:val="auto"/>
                      <w:szCs w:val="21"/>
                    </w:rPr>
                  </w:pPr>
                  <w:r>
                    <w:rPr>
                      <w:rFonts w:hint="eastAsia"/>
                      <w:color w:val="auto"/>
                      <w:spacing w:val="1"/>
                      <w:sz w:val="20"/>
                      <w:szCs w:val="20"/>
                    </w:rPr>
                    <w:t>7.7</w:t>
                  </w:r>
                </w:p>
              </w:tc>
              <w:tc>
                <w:tcPr>
                  <w:tcW w:w="1532" w:type="dxa"/>
                  <w:vAlign w:val="center"/>
                </w:tcPr>
                <w:p w14:paraId="7F32DF6E">
                  <w:pPr>
                    <w:jc w:val="center"/>
                    <w:rPr>
                      <w:snapToGrid w:val="0"/>
                      <w:color w:val="auto"/>
                      <w:szCs w:val="21"/>
                    </w:rPr>
                  </w:pPr>
                  <w:r>
                    <w:rPr>
                      <w:rFonts w:eastAsia="Times New Roman"/>
                      <w:color w:val="auto"/>
                      <w:spacing w:val="1"/>
                      <w:sz w:val="20"/>
                      <w:szCs w:val="20"/>
                    </w:rPr>
                    <w:t>2.4</w:t>
                  </w:r>
                </w:p>
              </w:tc>
              <w:tc>
                <w:tcPr>
                  <w:tcW w:w="1014" w:type="dxa"/>
                  <w:vAlign w:val="center"/>
                </w:tcPr>
                <w:p w14:paraId="799DB05F">
                  <w:pPr>
                    <w:jc w:val="center"/>
                    <w:rPr>
                      <w:snapToGrid w:val="0"/>
                      <w:color w:val="auto"/>
                      <w:szCs w:val="21"/>
                    </w:rPr>
                  </w:pPr>
                  <w:r>
                    <w:rPr>
                      <w:rFonts w:hint="eastAsia"/>
                      <w:color w:val="auto"/>
                      <w:spacing w:val="1"/>
                      <w:sz w:val="20"/>
                      <w:szCs w:val="20"/>
                    </w:rPr>
                    <w:t>2.4</w:t>
                  </w:r>
                </w:p>
              </w:tc>
              <w:tc>
                <w:tcPr>
                  <w:tcW w:w="864" w:type="dxa"/>
                  <w:vAlign w:val="center"/>
                </w:tcPr>
                <w:p w14:paraId="5FCD9976">
                  <w:pPr>
                    <w:jc w:val="center"/>
                    <w:rPr>
                      <w:snapToGrid w:val="0"/>
                      <w:color w:val="auto"/>
                      <w:szCs w:val="21"/>
                    </w:rPr>
                  </w:pPr>
                  <w:r>
                    <w:rPr>
                      <w:rFonts w:eastAsia="Times New Roman"/>
                      <w:color w:val="auto"/>
                      <w:spacing w:val="1"/>
                      <w:sz w:val="20"/>
                      <w:szCs w:val="20"/>
                    </w:rPr>
                    <w:t>0.</w:t>
                  </w:r>
                  <w:r>
                    <w:rPr>
                      <w:rFonts w:hint="eastAsia"/>
                      <w:color w:val="auto"/>
                      <w:spacing w:val="1"/>
                      <w:sz w:val="20"/>
                      <w:szCs w:val="20"/>
                    </w:rPr>
                    <w:t>78</w:t>
                  </w:r>
                </w:p>
              </w:tc>
              <w:tc>
                <w:tcPr>
                  <w:tcW w:w="835" w:type="dxa"/>
                  <w:vAlign w:val="center"/>
                </w:tcPr>
                <w:p w14:paraId="11015EF8">
                  <w:pPr>
                    <w:jc w:val="center"/>
                    <w:rPr>
                      <w:snapToGrid w:val="0"/>
                      <w:color w:val="auto"/>
                      <w:szCs w:val="21"/>
                    </w:rPr>
                  </w:pPr>
                  <w:r>
                    <w:rPr>
                      <w:rFonts w:eastAsia="Times New Roman"/>
                      <w:color w:val="auto"/>
                      <w:spacing w:val="1"/>
                      <w:sz w:val="20"/>
                      <w:szCs w:val="20"/>
                    </w:rPr>
                    <w:t>0.0</w:t>
                  </w:r>
                  <w:r>
                    <w:rPr>
                      <w:rFonts w:hint="eastAsia"/>
                      <w:color w:val="auto"/>
                      <w:spacing w:val="1"/>
                      <w:sz w:val="20"/>
                      <w:szCs w:val="20"/>
                    </w:rPr>
                    <w:t>5</w:t>
                  </w:r>
                </w:p>
              </w:tc>
            </w:tr>
            <w:tr w14:paraId="7ABB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7" w:type="dxa"/>
                  <w:gridSpan w:val="2"/>
                  <w:vAlign w:val="center"/>
                </w:tcPr>
                <w:p w14:paraId="15D30FEB">
                  <w:pPr>
                    <w:jc w:val="center"/>
                    <w:rPr>
                      <w:color w:val="auto"/>
                      <w:szCs w:val="21"/>
                    </w:rPr>
                  </w:pPr>
                  <w:r>
                    <w:rPr>
                      <w:color w:val="auto"/>
                      <w:szCs w:val="21"/>
                    </w:rPr>
                    <w:fldChar w:fldCharType="begin"/>
                  </w:r>
                  <w:r>
                    <w:rPr>
                      <w:rFonts w:hint="eastAsia"/>
                      <w:color w:val="auto"/>
                      <w:szCs w:val="21"/>
                    </w:rPr>
                    <w:instrText xml:space="preserve">= 3 \* ROMAN</w:instrText>
                  </w:r>
                  <w:r>
                    <w:rPr>
                      <w:color w:val="auto"/>
                      <w:szCs w:val="21"/>
                    </w:rPr>
                    <w:fldChar w:fldCharType="separate"/>
                  </w:r>
                  <w:r>
                    <w:rPr>
                      <w:color w:val="auto"/>
                      <w:szCs w:val="21"/>
                    </w:rPr>
                    <w:t>III</w:t>
                  </w:r>
                  <w:r>
                    <w:rPr>
                      <w:color w:val="auto"/>
                      <w:szCs w:val="21"/>
                    </w:rPr>
                    <w:fldChar w:fldCharType="end"/>
                  </w:r>
                  <w:r>
                    <w:rPr>
                      <w:rFonts w:hint="eastAsia"/>
                      <w:color w:val="auto"/>
                      <w:szCs w:val="21"/>
                    </w:rPr>
                    <w:t>类标准值</w:t>
                  </w:r>
                </w:p>
              </w:tc>
              <w:tc>
                <w:tcPr>
                  <w:tcW w:w="758" w:type="dxa"/>
                  <w:vAlign w:val="center"/>
                </w:tcPr>
                <w:p w14:paraId="3E74AB93">
                  <w:pPr>
                    <w:jc w:val="center"/>
                    <w:rPr>
                      <w:color w:val="auto"/>
                      <w:szCs w:val="21"/>
                    </w:rPr>
                  </w:pPr>
                  <w:r>
                    <w:rPr>
                      <w:rFonts w:hint="eastAsia"/>
                      <w:color w:val="auto"/>
                      <w:szCs w:val="21"/>
                    </w:rPr>
                    <w:t>6～9</w:t>
                  </w:r>
                </w:p>
              </w:tc>
              <w:tc>
                <w:tcPr>
                  <w:tcW w:w="851" w:type="dxa"/>
                  <w:vAlign w:val="center"/>
                </w:tcPr>
                <w:p w14:paraId="69FF4076">
                  <w:pPr>
                    <w:jc w:val="center"/>
                    <w:rPr>
                      <w:color w:val="auto"/>
                      <w:szCs w:val="21"/>
                    </w:rPr>
                  </w:pPr>
                  <w:r>
                    <w:rPr>
                      <w:rFonts w:hint="eastAsia"/>
                      <w:color w:val="auto"/>
                      <w:szCs w:val="21"/>
                    </w:rPr>
                    <w:t>≥5</w:t>
                  </w:r>
                </w:p>
              </w:tc>
              <w:tc>
                <w:tcPr>
                  <w:tcW w:w="1532" w:type="dxa"/>
                  <w:vAlign w:val="center"/>
                </w:tcPr>
                <w:p w14:paraId="3718130E">
                  <w:pPr>
                    <w:jc w:val="center"/>
                    <w:rPr>
                      <w:color w:val="auto"/>
                      <w:szCs w:val="21"/>
                    </w:rPr>
                  </w:pPr>
                  <w:r>
                    <w:rPr>
                      <w:rFonts w:hint="eastAsia"/>
                      <w:color w:val="auto"/>
                      <w:szCs w:val="21"/>
                    </w:rPr>
                    <w:t>≤6</w:t>
                  </w:r>
                </w:p>
              </w:tc>
              <w:tc>
                <w:tcPr>
                  <w:tcW w:w="1014" w:type="dxa"/>
                  <w:vAlign w:val="center"/>
                </w:tcPr>
                <w:p w14:paraId="3FB6BAFE">
                  <w:pPr>
                    <w:jc w:val="center"/>
                    <w:rPr>
                      <w:color w:val="auto"/>
                      <w:szCs w:val="21"/>
                    </w:rPr>
                  </w:pPr>
                  <w:r>
                    <w:rPr>
                      <w:rFonts w:hint="eastAsia"/>
                      <w:color w:val="auto"/>
                      <w:szCs w:val="21"/>
                    </w:rPr>
                    <w:t>≤4</w:t>
                  </w:r>
                </w:p>
              </w:tc>
              <w:tc>
                <w:tcPr>
                  <w:tcW w:w="864" w:type="dxa"/>
                  <w:vAlign w:val="center"/>
                </w:tcPr>
                <w:p w14:paraId="744EF109">
                  <w:pPr>
                    <w:jc w:val="center"/>
                    <w:rPr>
                      <w:color w:val="auto"/>
                      <w:szCs w:val="21"/>
                    </w:rPr>
                  </w:pPr>
                  <w:r>
                    <w:rPr>
                      <w:rFonts w:hint="eastAsia"/>
                      <w:color w:val="auto"/>
                      <w:szCs w:val="21"/>
                    </w:rPr>
                    <w:t>≤1</w:t>
                  </w:r>
                </w:p>
              </w:tc>
              <w:tc>
                <w:tcPr>
                  <w:tcW w:w="835" w:type="dxa"/>
                  <w:vAlign w:val="center"/>
                </w:tcPr>
                <w:p w14:paraId="3E3337E6">
                  <w:pPr>
                    <w:jc w:val="center"/>
                    <w:rPr>
                      <w:color w:val="auto"/>
                      <w:szCs w:val="21"/>
                    </w:rPr>
                  </w:pPr>
                  <w:r>
                    <w:rPr>
                      <w:rFonts w:hint="eastAsia"/>
                      <w:color w:val="auto"/>
                      <w:szCs w:val="21"/>
                    </w:rPr>
                    <w:t>≤0.2</w:t>
                  </w:r>
                </w:p>
              </w:tc>
            </w:tr>
            <w:tr w14:paraId="318F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7" w:type="dxa"/>
                  <w:gridSpan w:val="2"/>
                  <w:vAlign w:val="center"/>
                </w:tcPr>
                <w:p w14:paraId="6DBDDE45">
                  <w:pPr>
                    <w:jc w:val="center"/>
                    <w:rPr>
                      <w:color w:val="auto"/>
                      <w:szCs w:val="21"/>
                    </w:rPr>
                  </w:pPr>
                  <w:r>
                    <w:rPr>
                      <w:rFonts w:hint="eastAsia"/>
                      <w:color w:val="auto"/>
                      <w:szCs w:val="21"/>
                    </w:rPr>
                    <w:t>水质类别</w:t>
                  </w:r>
                </w:p>
              </w:tc>
              <w:tc>
                <w:tcPr>
                  <w:tcW w:w="758" w:type="dxa"/>
                  <w:vAlign w:val="center"/>
                </w:tcPr>
                <w:p w14:paraId="7581A317">
                  <w:pPr>
                    <w:jc w:val="center"/>
                    <w:rPr>
                      <w:color w:val="auto"/>
                      <w:szCs w:val="21"/>
                    </w:rPr>
                  </w:pPr>
                  <w:r>
                    <w:rPr>
                      <w:color w:val="auto"/>
                      <w:szCs w:val="21"/>
                    </w:rPr>
                    <w:fldChar w:fldCharType="begin"/>
                  </w:r>
                  <w:r>
                    <w:rPr>
                      <w:rFonts w:hint="eastAsia"/>
                      <w:color w:val="auto"/>
                      <w:szCs w:val="21"/>
                    </w:rPr>
                    <w:instrText xml:space="preserve">= 2 \* ROMAN</w:instrText>
                  </w:r>
                  <w:r>
                    <w:rPr>
                      <w:color w:val="auto"/>
                      <w:szCs w:val="21"/>
                    </w:rPr>
                    <w:fldChar w:fldCharType="separate"/>
                  </w:r>
                  <w:r>
                    <w:rPr>
                      <w:color w:val="auto"/>
                      <w:szCs w:val="21"/>
                    </w:rPr>
                    <w:t>II</w:t>
                  </w:r>
                  <w:r>
                    <w:rPr>
                      <w:color w:val="auto"/>
                      <w:szCs w:val="21"/>
                    </w:rPr>
                    <w:fldChar w:fldCharType="end"/>
                  </w:r>
                </w:p>
              </w:tc>
              <w:tc>
                <w:tcPr>
                  <w:tcW w:w="851" w:type="dxa"/>
                  <w:vAlign w:val="center"/>
                </w:tcPr>
                <w:p w14:paraId="241743F9">
                  <w:pPr>
                    <w:jc w:val="center"/>
                    <w:rPr>
                      <w:color w:val="auto"/>
                      <w:szCs w:val="21"/>
                    </w:rPr>
                  </w:pPr>
                  <w:r>
                    <w:rPr>
                      <w:color w:val="auto"/>
                      <w:szCs w:val="21"/>
                    </w:rPr>
                    <w:fldChar w:fldCharType="begin"/>
                  </w:r>
                  <w:r>
                    <w:rPr>
                      <w:rFonts w:hint="eastAsia"/>
                      <w:color w:val="auto"/>
                      <w:szCs w:val="21"/>
                    </w:rPr>
                    <w:instrText xml:space="preserve">= 2 \* ROMAN</w:instrText>
                  </w:r>
                  <w:r>
                    <w:rPr>
                      <w:color w:val="auto"/>
                      <w:szCs w:val="21"/>
                    </w:rPr>
                    <w:fldChar w:fldCharType="separate"/>
                  </w:r>
                  <w:r>
                    <w:rPr>
                      <w:color w:val="auto"/>
                      <w:szCs w:val="21"/>
                    </w:rPr>
                    <w:t>II</w:t>
                  </w:r>
                  <w:r>
                    <w:rPr>
                      <w:color w:val="auto"/>
                      <w:szCs w:val="21"/>
                    </w:rPr>
                    <w:fldChar w:fldCharType="end"/>
                  </w:r>
                </w:p>
              </w:tc>
              <w:tc>
                <w:tcPr>
                  <w:tcW w:w="1532" w:type="dxa"/>
                  <w:vAlign w:val="center"/>
                </w:tcPr>
                <w:p w14:paraId="32549C27">
                  <w:pPr>
                    <w:jc w:val="center"/>
                    <w:rPr>
                      <w:color w:val="auto"/>
                      <w:szCs w:val="21"/>
                    </w:rPr>
                  </w:pPr>
                  <w:r>
                    <w:rPr>
                      <w:color w:val="auto"/>
                      <w:szCs w:val="21"/>
                    </w:rPr>
                    <w:fldChar w:fldCharType="begin"/>
                  </w:r>
                  <w:r>
                    <w:rPr>
                      <w:rFonts w:hint="eastAsia"/>
                      <w:color w:val="auto"/>
                      <w:szCs w:val="21"/>
                    </w:rPr>
                    <w:instrText xml:space="preserve">= 1 \* ROMAN</w:instrText>
                  </w:r>
                  <w:r>
                    <w:rPr>
                      <w:color w:val="auto"/>
                      <w:szCs w:val="21"/>
                    </w:rPr>
                    <w:fldChar w:fldCharType="separate"/>
                  </w:r>
                  <w:r>
                    <w:rPr>
                      <w:color w:val="auto"/>
                      <w:szCs w:val="21"/>
                    </w:rPr>
                    <w:t>I</w:t>
                  </w:r>
                  <w:r>
                    <w:rPr>
                      <w:color w:val="auto"/>
                      <w:szCs w:val="21"/>
                    </w:rPr>
                    <w:fldChar w:fldCharType="end"/>
                  </w:r>
                </w:p>
              </w:tc>
              <w:tc>
                <w:tcPr>
                  <w:tcW w:w="1014" w:type="dxa"/>
                  <w:vAlign w:val="center"/>
                </w:tcPr>
                <w:p w14:paraId="37D4D274">
                  <w:pPr>
                    <w:jc w:val="center"/>
                    <w:rPr>
                      <w:color w:val="auto"/>
                      <w:szCs w:val="21"/>
                    </w:rPr>
                  </w:pPr>
                  <w:r>
                    <w:rPr>
                      <w:color w:val="auto"/>
                      <w:szCs w:val="21"/>
                    </w:rPr>
                    <w:fldChar w:fldCharType="begin"/>
                  </w:r>
                  <w:r>
                    <w:rPr>
                      <w:rFonts w:hint="eastAsia"/>
                      <w:color w:val="auto"/>
                      <w:szCs w:val="21"/>
                    </w:rPr>
                    <w:instrText xml:space="preserve">= 2 \* ROMAN</w:instrText>
                  </w:r>
                  <w:r>
                    <w:rPr>
                      <w:color w:val="auto"/>
                      <w:szCs w:val="21"/>
                    </w:rPr>
                    <w:fldChar w:fldCharType="separate"/>
                  </w:r>
                  <w:r>
                    <w:rPr>
                      <w:color w:val="auto"/>
                      <w:szCs w:val="21"/>
                    </w:rPr>
                    <w:t>II</w:t>
                  </w:r>
                  <w:r>
                    <w:rPr>
                      <w:color w:val="auto"/>
                      <w:szCs w:val="21"/>
                    </w:rPr>
                    <w:fldChar w:fldCharType="end"/>
                  </w:r>
                </w:p>
              </w:tc>
              <w:tc>
                <w:tcPr>
                  <w:tcW w:w="864" w:type="dxa"/>
                  <w:vAlign w:val="center"/>
                </w:tcPr>
                <w:p w14:paraId="3750B861">
                  <w:pPr>
                    <w:jc w:val="center"/>
                    <w:rPr>
                      <w:color w:val="auto"/>
                      <w:szCs w:val="21"/>
                    </w:rPr>
                  </w:pPr>
                  <w:r>
                    <w:rPr>
                      <w:color w:val="auto"/>
                      <w:szCs w:val="21"/>
                    </w:rPr>
                    <w:fldChar w:fldCharType="begin"/>
                  </w:r>
                  <w:r>
                    <w:rPr>
                      <w:rFonts w:hint="eastAsia"/>
                      <w:color w:val="auto"/>
                      <w:szCs w:val="21"/>
                    </w:rPr>
                    <w:instrText xml:space="preserve">= 3 \* ROMAN</w:instrText>
                  </w:r>
                  <w:r>
                    <w:rPr>
                      <w:color w:val="auto"/>
                      <w:szCs w:val="21"/>
                    </w:rPr>
                    <w:fldChar w:fldCharType="separate"/>
                  </w:r>
                  <w:r>
                    <w:rPr>
                      <w:color w:val="auto"/>
                      <w:szCs w:val="21"/>
                    </w:rPr>
                    <w:t>III</w:t>
                  </w:r>
                  <w:r>
                    <w:rPr>
                      <w:color w:val="auto"/>
                      <w:szCs w:val="21"/>
                    </w:rPr>
                    <w:fldChar w:fldCharType="end"/>
                  </w:r>
                </w:p>
              </w:tc>
              <w:tc>
                <w:tcPr>
                  <w:tcW w:w="835" w:type="dxa"/>
                  <w:vAlign w:val="center"/>
                </w:tcPr>
                <w:p w14:paraId="1827B9F0">
                  <w:pPr>
                    <w:jc w:val="center"/>
                    <w:rPr>
                      <w:color w:val="auto"/>
                      <w:szCs w:val="21"/>
                    </w:rPr>
                  </w:pPr>
                  <w:r>
                    <w:rPr>
                      <w:color w:val="auto"/>
                      <w:szCs w:val="21"/>
                    </w:rPr>
                    <w:fldChar w:fldCharType="begin"/>
                  </w:r>
                  <w:r>
                    <w:rPr>
                      <w:rFonts w:hint="eastAsia"/>
                      <w:color w:val="auto"/>
                      <w:szCs w:val="21"/>
                    </w:rPr>
                    <w:instrText xml:space="preserve">= 2 \* ROMAN</w:instrText>
                  </w:r>
                  <w:r>
                    <w:rPr>
                      <w:color w:val="auto"/>
                      <w:szCs w:val="21"/>
                    </w:rPr>
                    <w:fldChar w:fldCharType="separate"/>
                  </w:r>
                  <w:r>
                    <w:rPr>
                      <w:color w:val="auto"/>
                      <w:szCs w:val="21"/>
                    </w:rPr>
                    <w:t>II</w:t>
                  </w:r>
                  <w:r>
                    <w:rPr>
                      <w:color w:val="auto"/>
                      <w:szCs w:val="21"/>
                    </w:rPr>
                    <w:fldChar w:fldCharType="end"/>
                  </w:r>
                </w:p>
              </w:tc>
            </w:tr>
          </w:tbl>
          <w:p w14:paraId="3038FD52">
            <w:pPr>
              <w:adjustRightInd w:val="0"/>
              <w:snapToGrid w:val="0"/>
              <w:spacing w:line="440" w:lineRule="exact"/>
              <w:jc w:val="left"/>
              <w:rPr>
                <w:color w:val="auto"/>
                <w:sz w:val="24"/>
              </w:rPr>
            </w:pPr>
            <w:r>
              <w:rPr>
                <w:rFonts w:hint="eastAsia"/>
                <w:color w:val="auto"/>
                <w:sz w:val="24"/>
              </w:rPr>
              <w:t xml:space="preserve">    </w:t>
            </w:r>
            <w:r>
              <w:rPr>
                <w:color w:val="auto"/>
                <w:sz w:val="24"/>
              </w:rPr>
              <w:t>监测结果表明，西苕溪（具体为城北污水处理厂排污口下游）各指标均能达到《地表水环境质量标准》(GB3838-2002)中</w:t>
            </w:r>
            <w:r>
              <w:rPr>
                <w:rFonts w:hint="eastAsia" w:ascii="宋体" w:hAnsi="宋体" w:cs="宋体"/>
                <w:color w:val="auto"/>
                <w:sz w:val="24"/>
              </w:rPr>
              <w:t>Ⅲ</w:t>
            </w:r>
            <w:r>
              <w:rPr>
                <w:color w:val="auto"/>
                <w:sz w:val="24"/>
              </w:rPr>
              <w:t>类标准。</w:t>
            </w:r>
          </w:p>
          <w:p w14:paraId="0A19C394">
            <w:pPr>
              <w:pStyle w:val="80"/>
              <w:ind w:firstLine="0" w:firstLineChars="0"/>
              <w:rPr>
                <w:rFonts w:hAnsi="宋体" w:eastAsia="宋体"/>
                <w:b/>
                <w:color w:val="auto"/>
              </w:rPr>
            </w:pPr>
            <w:r>
              <w:rPr>
                <w:rFonts w:hint="eastAsia" w:hAnsi="宋体" w:eastAsia="宋体"/>
                <w:b/>
                <w:color w:val="auto"/>
              </w:rPr>
              <w:t xml:space="preserve">3.1.3 </w:t>
            </w:r>
            <w:r>
              <w:rPr>
                <w:rFonts w:hAnsi="宋体" w:eastAsia="宋体"/>
                <w:b/>
                <w:color w:val="auto"/>
              </w:rPr>
              <w:t>地下水</w:t>
            </w:r>
            <w:r>
              <w:rPr>
                <w:rFonts w:hint="eastAsia" w:hAnsi="宋体" w:eastAsia="宋体"/>
                <w:b/>
                <w:color w:val="auto"/>
              </w:rPr>
              <w:t>、土壤环境</w:t>
            </w:r>
          </w:p>
          <w:p w14:paraId="50E36601">
            <w:pPr>
              <w:pStyle w:val="80"/>
              <w:ind w:firstLine="480"/>
              <w:rPr>
                <w:rFonts w:eastAsia="宋体"/>
                <w:color w:val="auto"/>
              </w:rPr>
            </w:pPr>
            <w:r>
              <w:rPr>
                <w:rFonts w:eastAsia="宋体"/>
                <w:color w:val="auto"/>
              </w:rPr>
              <w:t>本项目生产车间等地面均进行硬化处理并采取防渗措施，基本不存在土壤、地下水环境污染途径。因此</w:t>
            </w:r>
            <w:r>
              <w:rPr>
                <w:rFonts w:hint="eastAsia" w:eastAsia="宋体"/>
                <w:color w:val="auto"/>
              </w:rPr>
              <w:t>不开展环境质量现状调查。</w:t>
            </w:r>
          </w:p>
          <w:p w14:paraId="3BBE40AD">
            <w:pPr>
              <w:spacing w:line="440" w:lineRule="exact"/>
              <w:rPr>
                <w:color w:val="auto"/>
                <w:sz w:val="24"/>
              </w:rPr>
            </w:pPr>
            <w:r>
              <w:rPr>
                <w:rFonts w:hint="eastAsia"/>
                <w:color w:val="auto"/>
                <w:sz w:val="24"/>
              </w:rPr>
              <w:t xml:space="preserve">    同时，根据</w:t>
            </w:r>
            <w:r>
              <w:rPr>
                <w:color w:val="auto"/>
                <w:sz w:val="24"/>
              </w:rPr>
              <w:t>《</w:t>
            </w:r>
            <w:r>
              <w:rPr>
                <w:rFonts w:hint="eastAsia"/>
                <w:color w:val="auto"/>
                <w:sz w:val="24"/>
              </w:rPr>
              <w:t>环境</w:t>
            </w:r>
            <w:r>
              <w:rPr>
                <w:color w:val="auto"/>
                <w:sz w:val="24"/>
              </w:rPr>
              <w:t>影响评价技术导则</w:t>
            </w:r>
            <w:r>
              <w:rPr>
                <w:rFonts w:hint="eastAsia"/>
                <w:color w:val="auto"/>
                <w:sz w:val="24"/>
              </w:rPr>
              <w:t xml:space="preserve"> 土壤</w:t>
            </w:r>
            <w:r>
              <w:rPr>
                <w:color w:val="auto"/>
                <w:sz w:val="24"/>
              </w:rPr>
              <w:t>环境（</w:t>
            </w:r>
            <w:r>
              <w:rPr>
                <w:rFonts w:hint="eastAsia"/>
                <w:color w:val="auto"/>
                <w:sz w:val="24"/>
              </w:rPr>
              <w:t>试行</w:t>
            </w:r>
            <w:r>
              <w:rPr>
                <w:color w:val="auto"/>
                <w:sz w:val="24"/>
              </w:rPr>
              <w:t>）》</w:t>
            </w:r>
            <w:r>
              <w:rPr>
                <w:rFonts w:hint="eastAsia"/>
                <w:color w:val="auto"/>
                <w:sz w:val="24"/>
              </w:rPr>
              <w:t>（HJ964-2018），本项目可</w:t>
            </w:r>
            <w:r>
              <w:rPr>
                <w:color w:val="auto"/>
                <w:sz w:val="24"/>
              </w:rPr>
              <w:t>不进行</w:t>
            </w:r>
            <w:r>
              <w:rPr>
                <w:rFonts w:hint="eastAsia"/>
                <w:color w:val="auto"/>
                <w:sz w:val="24"/>
              </w:rPr>
              <w:t>土壤</w:t>
            </w:r>
            <w:r>
              <w:rPr>
                <w:color w:val="auto"/>
                <w:sz w:val="24"/>
              </w:rPr>
              <w:t>环境</w:t>
            </w:r>
            <w:r>
              <w:rPr>
                <w:rFonts w:hint="eastAsia"/>
                <w:color w:val="auto"/>
                <w:sz w:val="24"/>
              </w:rPr>
              <w:t>影响</w:t>
            </w:r>
            <w:r>
              <w:rPr>
                <w:color w:val="auto"/>
                <w:sz w:val="24"/>
              </w:rPr>
              <w:t>评价。</w:t>
            </w:r>
          </w:p>
          <w:p w14:paraId="26A42F73">
            <w:pPr>
              <w:pStyle w:val="2"/>
              <w:spacing w:line="440" w:lineRule="exact"/>
              <w:ind w:firstLine="480"/>
              <w:rPr>
                <w:color w:val="auto"/>
                <w:sz w:val="24"/>
              </w:rPr>
            </w:pPr>
            <w:r>
              <w:rPr>
                <w:rFonts w:hint="eastAsia"/>
                <w:color w:val="auto"/>
                <w:sz w:val="24"/>
              </w:rPr>
              <w:t>根据</w:t>
            </w:r>
            <w:r>
              <w:rPr>
                <w:color w:val="auto"/>
                <w:sz w:val="24"/>
              </w:rPr>
              <w:t>《</w:t>
            </w:r>
            <w:r>
              <w:rPr>
                <w:rFonts w:hint="eastAsia"/>
                <w:color w:val="auto"/>
                <w:sz w:val="24"/>
              </w:rPr>
              <w:t>环境</w:t>
            </w:r>
            <w:r>
              <w:rPr>
                <w:color w:val="auto"/>
                <w:sz w:val="24"/>
              </w:rPr>
              <w:t>影响评价技术导则</w:t>
            </w:r>
            <w:r>
              <w:rPr>
                <w:rFonts w:hint="eastAsia"/>
                <w:color w:val="auto"/>
                <w:sz w:val="24"/>
              </w:rPr>
              <w:t xml:space="preserve"> 地下水</w:t>
            </w:r>
            <w:r>
              <w:rPr>
                <w:color w:val="auto"/>
                <w:sz w:val="24"/>
              </w:rPr>
              <w:t>环境》</w:t>
            </w:r>
            <w:r>
              <w:rPr>
                <w:rFonts w:hint="eastAsia"/>
                <w:color w:val="auto"/>
                <w:sz w:val="24"/>
              </w:rPr>
              <w:t>（HJ610-2016），本项目可</w:t>
            </w:r>
            <w:r>
              <w:rPr>
                <w:color w:val="auto"/>
                <w:sz w:val="24"/>
              </w:rPr>
              <w:t>不进行地下水环境</w:t>
            </w:r>
            <w:r>
              <w:rPr>
                <w:rFonts w:hint="eastAsia"/>
                <w:color w:val="auto"/>
                <w:sz w:val="24"/>
              </w:rPr>
              <w:t>影响</w:t>
            </w:r>
            <w:r>
              <w:rPr>
                <w:color w:val="auto"/>
                <w:sz w:val="24"/>
              </w:rPr>
              <w:t>评价。</w:t>
            </w:r>
          </w:p>
          <w:p w14:paraId="2E15FC52">
            <w:pPr>
              <w:pStyle w:val="3"/>
              <w:spacing w:line="440" w:lineRule="exact"/>
              <w:ind w:firstLine="0" w:firstLineChars="0"/>
              <w:rPr>
                <w:color w:val="auto"/>
              </w:rPr>
            </w:pPr>
            <w:r>
              <w:rPr>
                <w:rFonts w:hint="eastAsia" w:hAnsi="宋体" w:eastAsia="宋体"/>
                <w:b/>
                <w:color w:val="auto"/>
              </w:rPr>
              <w:t>3.1.4声环境</w:t>
            </w:r>
          </w:p>
          <w:p w14:paraId="210C5D12">
            <w:pPr>
              <w:widowControl/>
              <w:spacing w:line="440" w:lineRule="exact"/>
              <w:ind w:firstLine="480" w:firstLineChars="200"/>
              <w:jc w:val="left"/>
              <w:rPr>
                <w:color w:val="auto"/>
                <w:sz w:val="24"/>
              </w:rPr>
            </w:pPr>
            <w:r>
              <w:rPr>
                <w:rFonts w:hint="eastAsia" w:cs="宋体"/>
                <w:color w:val="auto"/>
                <w:sz w:val="24"/>
              </w:rPr>
              <w:t>本项目位于安吉县</w:t>
            </w:r>
            <w:r>
              <w:rPr>
                <w:rFonts w:hint="eastAsia" w:cs="宋体"/>
                <w:color w:val="auto"/>
                <w:sz w:val="24"/>
                <w:lang w:eastAsia="zh-CN"/>
              </w:rPr>
              <w:t>天荒坪镇白水湾工业园（安吉县春风木制品厂）</w:t>
            </w:r>
            <w:r>
              <w:rPr>
                <w:rFonts w:hint="eastAsia"/>
                <w:color w:val="auto"/>
                <w:sz w:val="24"/>
              </w:rPr>
              <w:t>，区域声环境质量执行</w:t>
            </w:r>
            <w:r>
              <w:rPr>
                <w:color w:val="auto"/>
                <w:sz w:val="24"/>
              </w:rPr>
              <w:t>GB3096-2008</w:t>
            </w:r>
            <w:r>
              <w:rPr>
                <w:rFonts w:hint="eastAsia"/>
                <w:color w:val="auto"/>
                <w:sz w:val="24"/>
              </w:rPr>
              <w:t>《声环境质量标准》</w:t>
            </w:r>
            <w:r>
              <w:rPr>
                <w:color w:val="auto"/>
                <w:sz w:val="24"/>
              </w:rPr>
              <w:t>3</w:t>
            </w:r>
            <w:r>
              <w:rPr>
                <w:rFonts w:hint="eastAsia"/>
                <w:color w:val="auto"/>
                <w:sz w:val="24"/>
              </w:rPr>
              <w:t>类标准。</w:t>
            </w:r>
          </w:p>
          <w:p w14:paraId="61FE56D5">
            <w:pPr>
              <w:pStyle w:val="3"/>
              <w:spacing w:line="440" w:lineRule="exact"/>
              <w:rPr>
                <w:rFonts w:eastAsia="宋体"/>
                <w:color w:val="auto"/>
              </w:rPr>
            </w:pPr>
            <w:r>
              <w:rPr>
                <w:rFonts w:hint="eastAsia" w:eastAsia="宋体" w:cs="宋体"/>
                <w:color w:val="auto"/>
              </w:rPr>
              <w:t>本项目周边50m范围内无声环境保护目标，无需开展声环境质量现状监测。</w:t>
            </w:r>
          </w:p>
          <w:p w14:paraId="48032758">
            <w:pPr>
              <w:pStyle w:val="2"/>
              <w:spacing w:line="440" w:lineRule="exact"/>
              <w:ind w:firstLine="0" w:firstLineChars="0"/>
              <w:jc w:val="left"/>
              <w:rPr>
                <w:color w:val="auto"/>
              </w:rPr>
            </w:pPr>
            <w:r>
              <w:rPr>
                <w:rFonts w:hint="eastAsia" w:hAnsi="宋体"/>
                <w:b/>
                <w:color w:val="auto"/>
                <w:sz w:val="24"/>
              </w:rPr>
              <w:t>3.1.5生态环境</w:t>
            </w:r>
          </w:p>
          <w:p w14:paraId="4BBD0D1C">
            <w:pPr>
              <w:spacing w:line="440" w:lineRule="exact"/>
              <w:ind w:firstLine="480" w:firstLineChars="200"/>
              <w:rPr>
                <w:color w:val="auto"/>
                <w:sz w:val="24"/>
              </w:rPr>
            </w:pPr>
            <w:r>
              <w:rPr>
                <w:rFonts w:hint="eastAsia"/>
                <w:color w:val="auto"/>
                <w:sz w:val="24"/>
              </w:rPr>
              <w:t>本项目位于安吉县天荒坪镇白水湾工业园，企业所在周围人类活动频繁，无原始植被生长和珍贵野生动物活动，区域生态系统敏感程度较低，并且项目无新增用地，用地范围内没有保护目标，故对生态环境影响相对较小。</w:t>
            </w:r>
          </w:p>
          <w:p w14:paraId="650BD7D8">
            <w:pPr>
              <w:pStyle w:val="3"/>
              <w:spacing w:beforeLines="50"/>
              <w:ind w:firstLine="0" w:firstLineChars="0"/>
              <w:rPr>
                <w:rFonts w:hAnsi="宋体" w:eastAsia="宋体"/>
                <w:b/>
                <w:color w:val="auto"/>
              </w:rPr>
            </w:pPr>
            <w:r>
              <w:rPr>
                <w:rFonts w:hint="eastAsia" w:hAnsi="宋体" w:eastAsia="宋体"/>
                <w:b/>
                <w:color w:val="auto"/>
              </w:rPr>
              <w:t>3.1.6电磁辐射</w:t>
            </w:r>
          </w:p>
          <w:p w14:paraId="62475779">
            <w:pPr>
              <w:pStyle w:val="3"/>
              <w:spacing w:beforeLines="50"/>
              <w:rPr>
                <w:color w:val="auto"/>
              </w:rPr>
            </w:pPr>
            <w:r>
              <w:rPr>
                <w:rFonts w:hint="eastAsia" w:ascii="宋体" w:hAnsi="宋体" w:eastAsia="宋体" w:cs="宋体"/>
                <w:color w:val="auto"/>
              </w:rPr>
              <w:t>本项目不涉及电磁辐射。</w:t>
            </w:r>
          </w:p>
        </w:tc>
      </w:tr>
      <w:tr w14:paraId="4CA87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537" w:type="dxa"/>
            <w:vAlign w:val="center"/>
          </w:tcPr>
          <w:p w14:paraId="2E9C1A3F">
            <w:pPr>
              <w:adjustRightInd w:val="0"/>
              <w:snapToGrid w:val="0"/>
              <w:jc w:val="center"/>
              <w:rPr>
                <w:color w:val="auto"/>
                <w:kern w:val="0"/>
                <w:sz w:val="24"/>
              </w:rPr>
            </w:pPr>
            <w:bookmarkStart w:id="7" w:name="_Toc30506"/>
            <w:r>
              <w:rPr>
                <w:rFonts w:hAnsi="宋体"/>
                <w:color w:val="auto"/>
                <w:kern w:val="0"/>
                <w:sz w:val="24"/>
              </w:rPr>
              <w:t>环境</w:t>
            </w:r>
          </w:p>
          <w:p w14:paraId="4AF48384">
            <w:pPr>
              <w:adjustRightInd w:val="0"/>
              <w:snapToGrid w:val="0"/>
              <w:jc w:val="center"/>
              <w:rPr>
                <w:color w:val="auto"/>
                <w:kern w:val="0"/>
                <w:sz w:val="24"/>
              </w:rPr>
            </w:pPr>
            <w:r>
              <w:rPr>
                <w:rFonts w:hAnsi="宋体"/>
                <w:color w:val="auto"/>
                <w:kern w:val="0"/>
                <w:sz w:val="24"/>
              </w:rPr>
              <w:t>保护</w:t>
            </w:r>
          </w:p>
          <w:p w14:paraId="5D4D0C2E">
            <w:pPr>
              <w:adjustRightInd w:val="0"/>
              <w:snapToGrid w:val="0"/>
              <w:jc w:val="center"/>
              <w:rPr>
                <w:rFonts w:hAnsi="宋体"/>
                <w:color w:val="auto"/>
                <w:kern w:val="0"/>
                <w:sz w:val="24"/>
              </w:rPr>
            </w:pPr>
            <w:r>
              <w:rPr>
                <w:rFonts w:hAnsi="宋体"/>
                <w:color w:val="auto"/>
                <w:kern w:val="0"/>
                <w:sz w:val="24"/>
              </w:rPr>
              <w:t>目标</w:t>
            </w:r>
          </w:p>
        </w:tc>
        <w:tc>
          <w:tcPr>
            <w:tcW w:w="8534" w:type="dxa"/>
            <w:vAlign w:val="center"/>
          </w:tcPr>
          <w:p w14:paraId="63C7361F">
            <w:pPr>
              <w:adjustRightInd w:val="0"/>
              <w:snapToGrid w:val="0"/>
              <w:spacing w:line="440" w:lineRule="exact"/>
              <w:rPr>
                <w:rFonts w:hAnsi="宋体"/>
                <w:b/>
                <w:color w:val="auto"/>
                <w:sz w:val="24"/>
              </w:rPr>
            </w:pPr>
            <w:r>
              <w:rPr>
                <w:rFonts w:hint="eastAsia" w:hAnsi="宋体"/>
                <w:b/>
                <w:color w:val="auto"/>
                <w:sz w:val="24"/>
              </w:rPr>
              <w:t xml:space="preserve">3.2 </w:t>
            </w:r>
            <w:r>
              <w:rPr>
                <w:rFonts w:hAnsi="宋体"/>
                <w:b/>
                <w:color w:val="auto"/>
                <w:sz w:val="24"/>
              </w:rPr>
              <w:t>主要环境保护目标：</w:t>
            </w:r>
          </w:p>
          <w:p w14:paraId="1A01E91A">
            <w:pPr>
              <w:adjustRightInd w:val="0"/>
              <w:snapToGrid w:val="0"/>
              <w:spacing w:line="440" w:lineRule="exact"/>
              <w:ind w:firstLine="435"/>
              <w:rPr>
                <w:bCs/>
                <w:color w:val="auto"/>
                <w:sz w:val="24"/>
              </w:rPr>
            </w:pPr>
            <w:r>
              <w:rPr>
                <w:rFonts w:hint="eastAsia"/>
                <w:b/>
                <w:bCs/>
                <w:color w:val="auto"/>
                <w:sz w:val="24"/>
              </w:rPr>
              <w:t>大气</w:t>
            </w:r>
            <w:r>
              <w:rPr>
                <w:b/>
                <w:bCs/>
                <w:color w:val="auto"/>
                <w:sz w:val="24"/>
              </w:rPr>
              <w:t>环境</w:t>
            </w:r>
            <w:r>
              <w:rPr>
                <w:rFonts w:hint="eastAsia"/>
                <w:b/>
                <w:bCs/>
                <w:color w:val="auto"/>
                <w:sz w:val="24"/>
              </w:rPr>
              <w:t>保护</w:t>
            </w:r>
            <w:r>
              <w:rPr>
                <w:b/>
                <w:bCs/>
                <w:color w:val="auto"/>
                <w:sz w:val="24"/>
              </w:rPr>
              <w:t>目标：</w:t>
            </w:r>
            <w:r>
              <w:rPr>
                <w:rFonts w:hint="eastAsia"/>
                <w:bCs/>
                <w:color w:val="auto"/>
                <w:sz w:val="24"/>
              </w:rPr>
              <w:t>区域</w:t>
            </w:r>
            <w:r>
              <w:rPr>
                <w:bCs/>
                <w:color w:val="auto"/>
                <w:sz w:val="24"/>
              </w:rPr>
              <w:t>环境空气质量执行</w:t>
            </w:r>
            <w:r>
              <w:rPr>
                <w:rFonts w:hint="eastAsia"/>
                <w:bCs/>
                <w:color w:val="auto"/>
                <w:sz w:val="24"/>
              </w:rPr>
              <w:t>GB3095-2012《环境空气质量标准》及2018年修改单中的中二级标准。</w:t>
            </w:r>
          </w:p>
          <w:p w14:paraId="153594A1">
            <w:pPr>
              <w:pStyle w:val="2"/>
              <w:spacing w:line="440" w:lineRule="exact"/>
              <w:ind w:firstLine="0" w:firstLineChars="0"/>
              <w:rPr>
                <w:bCs/>
                <w:color w:val="auto"/>
                <w:sz w:val="24"/>
              </w:rPr>
            </w:pPr>
            <w:r>
              <w:rPr>
                <w:rFonts w:hint="eastAsia"/>
                <w:b/>
                <w:bCs/>
                <w:color w:val="auto"/>
                <w:sz w:val="24"/>
              </w:rPr>
              <w:t xml:space="preserve">    地下水水</w:t>
            </w:r>
            <w:r>
              <w:rPr>
                <w:b/>
                <w:bCs/>
                <w:color w:val="auto"/>
                <w:sz w:val="24"/>
              </w:rPr>
              <w:t>环境</w:t>
            </w:r>
            <w:r>
              <w:rPr>
                <w:rFonts w:hint="eastAsia"/>
                <w:b/>
                <w:bCs/>
                <w:color w:val="auto"/>
                <w:sz w:val="24"/>
              </w:rPr>
              <w:t>保护</w:t>
            </w:r>
            <w:r>
              <w:rPr>
                <w:b/>
                <w:bCs/>
                <w:color w:val="auto"/>
                <w:sz w:val="24"/>
              </w:rPr>
              <w:t>目标：</w:t>
            </w:r>
            <w:r>
              <w:rPr>
                <w:bCs/>
                <w:color w:val="auto"/>
                <w:sz w:val="24"/>
              </w:rPr>
              <w:t>经现场踏勘及收集相关资料，本项目厂界外500m范围内无地下水集中式饮用水水源和热源、矿泉水、温泉等特殊地下水资源。</w:t>
            </w:r>
          </w:p>
          <w:p w14:paraId="600DA29A">
            <w:pPr>
              <w:adjustRightInd w:val="0"/>
              <w:snapToGrid w:val="0"/>
              <w:spacing w:line="440" w:lineRule="exact"/>
              <w:rPr>
                <w:color w:val="auto"/>
                <w:kern w:val="0"/>
                <w:sz w:val="24"/>
                <w:szCs w:val="20"/>
              </w:rPr>
            </w:pPr>
            <w:r>
              <w:rPr>
                <w:rFonts w:hint="eastAsia"/>
                <w:b/>
                <w:bCs/>
                <w:color w:val="auto"/>
                <w:sz w:val="24"/>
              </w:rPr>
              <w:t xml:space="preserve">    声</w:t>
            </w:r>
            <w:r>
              <w:rPr>
                <w:b/>
                <w:bCs/>
                <w:color w:val="auto"/>
                <w:sz w:val="24"/>
              </w:rPr>
              <w:t>环境保护目标</w:t>
            </w:r>
            <w:r>
              <w:rPr>
                <w:rFonts w:hint="eastAsia"/>
                <w:b/>
                <w:bCs/>
                <w:color w:val="auto"/>
                <w:sz w:val="24"/>
              </w:rPr>
              <w:t>：</w:t>
            </w:r>
            <w:r>
              <w:rPr>
                <w:rFonts w:hint="eastAsia"/>
                <w:bCs/>
                <w:color w:val="auto"/>
                <w:sz w:val="24"/>
              </w:rPr>
              <w:t>根据</w:t>
            </w:r>
            <w:r>
              <w:rPr>
                <w:bCs/>
                <w:color w:val="auto"/>
                <w:sz w:val="24"/>
              </w:rPr>
              <w:t>环境</w:t>
            </w:r>
            <w:r>
              <w:rPr>
                <w:rFonts w:hint="eastAsia"/>
                <w:bCs/>
                <w:color w:val="auto"/>
                <w:sz w:val="24"/>
              </w:rPr>
              <w:t>功能</w:t>
            </w:r>
            <w:r>
              <w:rPr>
                <w:bCs/>
                <w:color w:val="auto"/>
                <w:sz w:val="24"/>
              </w:rPr>
              <w:t>区划，项目</w:t>
            </w:r>
            <w:r>
              <w:rPr>
                <w:rFonts w:hint="eastAsia"/>
                <w:bCs/>
                <w:color w:val="auto"/>
                <w:sz w:val="24"/>
              </w:rPr>
              <w:t>所在地属于</w:t>
            </w:r>
            <w:r>
              <w:rPr>
                <w:rFonts w:hint="eastAsia" w:hAnsi="宋体"/>
                <w:color w:val="auto"/>
                <w:sz w:val="24"/>
              </w:rPr>
              <w:t>工业园区</w:t>
            </w:r>
            <w:r>
              <w:rPr>
                <w:bCs/>
                <w:color w:val="auto"/>
                <w:sz w:val="24"/>
              </w:rPr>
              <w:t>，为</w:t>
            </w:r>
            <w:r>
              <w:rPr>
                <w:rFonts w:hint="eastAsia"/>
                <w:bCs/>
                <w:color w:val="auto"/>
                <w:sz w:val="24"/>
              </w:rPr>
              <w:t>3类</w:t>
            </w:r>
            <w:r>
              <w:rPr>
                <w:bCs/>
                <w:color w:val="auto"/>
                <w:sz w:val="24"/>
              </w:rPr>
              <w:t>功能区，</w:t>
            </w:r>
            <w:r>
              <w:rPr>
                <w:rFonts w:hint="eastAsia"/>
                <w:bCs/>
                <w:color w:val="auto"/>
                <w:sz w:val="24"/>
              </w:rPr>
              <w:t>声环境</w:t>
            </w:r>
            <w:r>
              <w:rPr>
                <w:bCs/>
                <w:color w:val="auto"/>
                <w:sz w:val="24"/>
              </w:rPr>
              <w:t>执行</w:t>
            </w:r>
            <w:r>
              <w:rPr>
                <w:rFonts w:hint="eastAsia"/>
                <w:bCs/>
                <w:color w:val="auto"/>
                <w:sz w:val="24"/>
              </w:rPr>
              <w:t>GB3096-2008《声环境质量标准》中3类标准。</w:t>
            </w:r>
            <w:r>
              <w:rPr>
                <w:rFonts w:hint="eastAsia"/>
                <w:color w:val="auto"/>
                <w:kern w:val="0"/>
                <w:sz w:val="24"/>
                <w:szCs w:val="20"/>
              </w:rPr>
              <w:t>厂界外50米范围内无声环境保护目标。</w:t>
            </w:r>
          </w:p>
          <w:p w14:paraId="5807BB32">
            <w:pPr>
              <w:pStyle w:val="2"/>
              <w:spacing w:line="440" w:lineRule="exact"/>
              <w:ind w:firstLine="482"/>
              <w:rPr>
                <w:bCs/>
                <w:color w:val="auto"/>
                <w:sz w:val="24"/>
              </w:rPr>
            </w:pPr>
            <w:r>
              <w:rPr>
                <w:rFonts w:hint="eastAsia"/>
                <w:b/>
                <w:bCs/>
                <w:color w:val="auto"/>
                <w:sz w:val="24"/>
              </w:rPr>
              <w:t>生态</w:t>
            </w:r>
            <w:r>
              <w:rPr>
                <w:b/>
                <w:bCs/>
                <w:color w:val="auto"/>
                <w:sz w:val="24"/>
              </w:rPr>
              <w:t>环境</w:t>
            </w:r>
            <w:r>
              <w:rPr>
                <w:rFonts w:hint="eastAsia"/>
                <w:b/>
                <w:bCs/>
                <w:color w:val="auto"/>
                <w:sz w:val="24"/>
              </w:rPr>
              <w:t>保护</w:t>
            </w:r>
            <w:r>
              <w:rPr>
                <w:b/>
                <w:bCs/>
                <w:color w:val="auto"/>
                <w:sz w:val="24"/>
              </w:rPr>
              <w:t>目标：</w:t>
            </w:r>
            <w:r>
              <w:rPr>
                <w:rFonts w:hint="eastAsia"/>
                <w:bCs/>
                <w:color w:val="auto"/>
                <w:sz w:val="24"/>
              </w:rPr>
              <w:t>本项目位于工业园区内，用地范围内无生态环境保护目标。项目</w:t>
            </w:r>
            <w:r>
              <w:rPr>
                <w:bCs/>
                <w:color w:val="auto"/>
                <w:sz w:val="24"/>
              </w:rPr>
              <w:t>主要环境保护目标见表</w:t>
            </w:r>
            <w:r>
              <w:rPr>
                <w:rFonts w:hint="eastAsia"/>
                <w:bCs/>
                <w:color w:val="auto"/>
                <w:sz w:val="24"/>
              </w:rPr>
              <w:t>3</w:t>
            </w:r>
            <w:r>
              <w:rPr>
                <w:bCs/>
                <w:color w:val="auto"/>
                <w:sz w:val="24"/>
              </w:rPr>
              <w:t>-</w:t>
            </w:r>
            <w:r>
              <w:rPr>
                <w:rFonts w:hint="eastAsia"/>
                <w:bCs/>
                <w:color w:val="auto"/>
                <w:sz w:val="24"/>
              </w:rPr>
              <w:t>7。</w:t>
            </w:r>
          </w:p>
          <w:p w14:paraId="3C9C357B">
            <w:pPr>
              <w:spacing w:line="440" w:lineRule="exact"/>
              <w:jc w:val="center"/>
              <w:rPr>
                <w:rFonts w:hAnsi="宋体"/>
                <w:b/>
                <w:color w:val="auto"/>
                <w:szCs w:val="21"/>
              </w:rPr>
            </w:pPr>
            <w:r>
              <w:rPr>
                <w:rFonts w:hAnsi="宋体"/>
                <w:b/>
                <w:color w:val="auto"/>
                <w:szCs w:val="21"/>
              </w:rPr>
              <w:t>表3-</w:t>
            </w:r>
            <w:r>
              <w:rPr>
                <w:rFonts w:hint="eastAsia" w:hAnsi="宋体"/>
                <w:b/>
                <w:color w:val="auto"/>
                <w:szCs w:val="21"/>
              </w:rPr>
              <w:t>7 主要</w:t>
            </w:r>
            <w:r>
              <w:rPr>
                <w:rFonts w:hAnsi="宋体"/>
                <w:b/>
                <w:color w:val="auto"/>
                <w:szCs w:val="21"/>
              </w:rPr>
              <w:t>环境保护目标</w:t>
            </w:r>
            <w:r>
              <w:rPr>
                <w:rFonts w:hint="eastAsia" w:hAnsi="宋体"/>
                <w:b/>
                <w:color w:val="auto"/>
                <w:szCs w:val="21"/>
              </w:rPr>
              <w:t>一览表</w:t>
            </w:r>
          </w:p>
          <w:tbl>
            <w:tblPr>
              <w:tblStyle w:val="37"/>
              <w:tblW w:w="831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21"/>
              <w:gridCol w:w="546"/>
              <w:gridCol w:w="969"/>
              <w:gridCol w:w="988"/>
              <w:gridCol w:w="1073"/>
              <w:gridCol w:w="1091"/>
              <w:gridCol w:w="915"/>
              <w:gridCol w:w="926"/>
              <w:gridCol w:w="551"/>
              <w:gridCol w:w="938"/>
            </w:tblGrid>
            <w:tr w14:paraId="3BD9F10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21" w:type="dxa"/>
                  <w:vMerge w:val="restart"/>
                  <w:tcBorders>
                    <w:left w:val="single" w:color="000000" w:sz="4" w:space="0"/>
                    <w:right w:val="single" w:color="auto" w:sz="4" w:space="0"/>
                  </w:tcBorders>
                  <w:vAlign w:val="center"/>
                </w:tcPr>
                <w:p w14:paraId="709C7554">
                  <w:pPr>
                    <w:pStyle w:val="109"/>
                    <w:spacing w:before="0"/>
                    <w:rPr>
                      <w:b/>
                      <w:color w:val="auto"/>
                      <w:sz w:val="21"/>
                    </w:rPr>
                  </w:pPr>
                  <w:r>
                    <w:rPr>
                      <w:b/>
                      <w:color w:val="auto"/>
                      <w:sz w:val="21"/>
                    </w:rPr>
                    <w:t>编号</w:t>
                  </w:r>
                </w:p>
              </w:tc>
              <w:tc>
                <w:tcPr>
                  <w:tcW w:w="546" w:type="dxa"/>
                  <w:vMerge w:val="restart"/>
                  <w:tcBorders>
                    <w:left w:val="single" w:color="auto" w:sz="4" w:space="0"/>
                  </w:tcBorders>
                  <w:vAlign w:val="center"/>
                </w:tcPr>
                <w:p w14:paraId="03D089E5">
                  <w:pPr>
                    <w:pStyle w:val="109"/>
                    <w:spacing w:before="0"/>
                    <w:rPr>
                      <w:b/>
                      <w:color w:val="auto"/>
                      <w:sz w:val="21"/>
                    </w:rPr>
                  </w:pPr>
                  <w:r>
                    <w:rPr>
                      <w:b/>
                      <w:color w:val="auto"/>
                      <w:sz w:val="21"/>
                    </w:rPr>
                    <w:t>环境要素</w:t>
                  </w:r>
                </w:p>
              </w:tc>
              <w:tc>
                <w:tcPr>
                  <w:tcW w:w="969" w:type="dxa"/>
                  <w:vMerge w:val="restart"/>
                  <w:vAlign w:val="center"/>
                </w:tcPr>
                <w:p w14:paraId="73552DD6">
                  <w:pPr>
                    <w:pStyle w:val="109"/>
                    <w:spacing w:before="0"/>
                    <w:rPr>
                      <w:b/>
                      <w:color w:val="auto"/>
                      <w:sz w:val="21"/>
                    </w:rPr>
                  </w:pPr>
                  <w:r>
                    <w:rPr>
                      <w:b/>
                      <w:color w:val="auto"/>
                      <w:sz w:val="21"/>
                    </w:rPr>
                    <w:t>环境</w:t>
                  </w:r>
                </w:p>
                <w:p w14:paraId="0787EBB9">
                  <w:pPr>
                    <w:pStyle w:val="109"/>
                    <w:spacing w:before="0"/>
                    <w:rPr>
                      <w:b/>
                      <w:color w:val="auto"/>
                      <w:sz w:val="21"/>
                    </w:rPr>
                  </w:pPr>
                  <w:r>
                    <w:rPr>
                      <w:b/>
                      <w:color w:val="auto"/>
                      <w:sz w:val="21"/>
                    </w:rPr>
                    <w:t>敏感点</w:t>
                  </w:r>
                </w:p>
              </w:tc>
              <w:tc>
                <w:tcPr>
                  <w:tcW w:w="2061" w:type="dxa"/>
                  <w:gridSpan w:val="2"/>
                  <w:vAlign w:val="center"/>
                </w:tcPr>
                <w:p w14:paraId="4E314C8C">
                  <w:pPr>
                    <w:pStyle w:val="109"/>
                    <w:spacing w:before="0"/>
                    <w:rPr>
                      <w:b/>
                      <w:color w:val="auto"/>
                      <w:sz w:val="21"/>
                    </w:rPr>
                  </w:pPr>
                  <w:r>
                    <w:rPr>
                      <w:b/>
                      <w:color w:val="auto"/>
                      <w:sz w:val="21"/>
                    </w:rPr>
                    <w:t>坐标</w:t>
                  </w:r>
                  <w:r>
                    <w:rPr>
                      <w:rFonts w:hint="eastAsia"/>
                      <w:b/>
                      <w:color w:val="auto"/>
                      <w:sz w:val="21"/>
                    </w:rPr>
                    <w:t>/m</w:t>
                  </w:r>
                </w:p>
              </w:tc>
              <w:tc>
                <w:tcPr>
                  <w:tcW w:w="1091" w:type="dxa"/>
                  <w:vMerge w:val="restart"/>
                  <w:vAlign w:val="center"/>
                </w:tcPr>
                <w:p w14:paraId="5290EDB8">
                  <w:pPr>
                    <w:pStyle w:val="109"/>
                    <w:spacing w:before="0"/>
                    <w:rPr>
                      <w:b/>
                      <w:color w:val="auto"/>
                      <w:sz w:val="21"/>
                    </w:rPr>
                  </w:pPr>
                  <w:r>
                    <w:rPr>
                      <w:b/>
                      <w:color w:val="auto"/>
                      <w:sz w:val="21"/>
                    </w:rPr>
                    <w:t>保护</w:t>
                  </w:r>
                </w:p>
                <w:p w14:paraId="004AAA0C">
                  <w:pPr>
                    <w:pStyle w:val="109"/>
                    <w:spacing w:before="0"/>
                    <w:rPr>
                      <w:b/>
                      <w:color w:val="auto"/>
                      <w:sz w:val="21"/>
                    </w:rPr>
                  </w:pPr>
                  <w:r>
                    <w:rPr>
                      <w:b/>
                      <w:color w:val="auto"/>
                      <w:sz w:val="21"/>
                    </w:rPr>
                    <w:t>对象</w:t>
                  </w:r>
                </w:p>
              </w:tc>
              <w:tc>
                <w:tcPr>
                  <w:tcW w:w="915" w:type="dxa"/>
                  <w:vMerge w:val="restart"/>
                  <w:vAlign w:val="center"/>
                </w:tcPr>
                <w:p w14:paraId="06CA15B9">
                  <w:pPr>
                    <w:pStyle w:val="109"/>
                    <w:spacing w:before="0"/>
                    <w:rPr>
                      <w:b/>
                      <w:color w:val="auto"/>
                      <w:sz w:val="21"/>
                    </w:rPr>
                  </w:pPr>
                  <w:r>
                    <w:rPr>
                      <w:b/>
                      <w:color w:val="auto"/>
                      <w:sz w:val="21"/>
                    </w:rPr>
                    <w:t>保护内容</w:t>
                  </w:r>
                  <w:r>
                    <w:rPr>
                      <w:rFonts w:hint="eastAsia"/>
                      <w:b/>
                      <w:color w:val="auto"/>
                      <w:sz w:val="21"/>
                    </w:rPr>
                    <w:t>（人）</w:t>
                  </w:r>
                </w:p>
              </w:tc>
              <w:tc>
                <w:tcPr>
                  <w:tcW w:w="926" w:type="dxa"/>
                  <w:vMerge w:val="restart"/>
                  <w:vAlign w:val="center"/>
                </w:tcPr>
                <w:p w14:paraId="679A23B5">
                  <w:pPr>
                    <w:pStyle w:val="109"/>
                    <w:spacing w:before="0"/>
                    <w:rPr>
                      <w:b/>
                      <w:color w:val="auto"/>
                      <w:sz w:val="21"/>
                    </w:rPr>
                  </w:pPr>
                  <w:r>
                    <w:rPr>
                      <w:rFonts w:hint="eastAsia"/>
                      <w:b/>
                      <w:color w:val="auto"/>
                      <w:sz w:val="21"/>
                    </w:rPr>
                    <w:t>环境</w:t>
                  </w:r>
                </w:p>
                <w:p w14:paraId="5B99710C">
                  <w:pPr>
                    <w:pStyle w:val="109"/>
                    <w:spacing w:before="0"/>
                    <w:rPr>
                      <w:b/>
                      <w:color w:val="auto"/>
                      <w:sz w:val="21"/>
                    </w:rPr>
                  </w:pPr>
                  <w:r>
                    <w:rPr>
                      <w:rFonts w:hint="eastAsia"/>
                      <w:b/>
                      <w:color w:val="auto"/>
                      <w:sz w:val="21"/>
                    </w:rPr>
                    <w:t>功能区</w:t>
                  </w:r>
                </w:p>
              </w:tc>
              <w:tc>
                <w:tcPr>
                  <w:tcW w:w="551" w:type="dxa"/>
                  <w:vMerge w:val="restart"/>
                  <w:vAlign w:val="center"/>
                </w:tcPr>
                <w:p w14:paraId="1F6A151F">
                  <w:pPr>
                    <w:pStyle w:val="109"/>
                    <w:spacing w:before="0"/>
                    <w:rPr>
                      <w:b/>
                      <w:color w:val="auto"/>
                      <w:sz w:val="21"/>
                    </w:rPr>
                  </w:pPr>
                  <w:r>
                    <w:rPr>
                      <w:b/>
                      <w:color w:val="auto"/>
                      <w:sz w:val="21"/>
                    </w:rPr>
                    <w:t>相对</w:t>
                  </w:r>
                </w:p>
                <w:p w14:paraId="26EFB3D4">
                  <w:pPr>
                    <w:pStyle w:val="109"/>
                    <w:spacing w:before="0"/>
                    <w:rPr>
                      <w:b/>
                      <w:color w:val="auto"/>
                      <w:sz w:val="21"/>
                    </w:rPr>
                  </w:pPr>
                  <w:r>
                    <w:rPr>
                      <w:b/>
                      <w:color w:val="auto"/>
                      <w:sz w:val="21"/>
                    </w:rPr>
                    <w:t>方位</w:t>
                  </w:r>
                </w:p>
              </w:tc>
              <w:tc>
                <w:tcPr>
                  <w:tcW w:w="938" w:type="dxa"/>
                  <w:vMerge w:val="restart"/>
                  <w:tcBorders>
                    <w:right w:val="single" w:color="000000" w:sz="4" w:space="0"/>
                  </w:tcBorders>
                  <w:vAlign w:val="center"/>
                </w:tcPr>
                <w:p w14:paraId="4EEF1A90">
                  <w:pPr>
                    <w:pStyle w:val="109"/>
                    <w:spacing w:before="0"/>
                    <w:rPr>
                      <w:b/>
                      <w:color w:val="auto"/>
                      <w:sz w:val="21"/>
                    </w:rPr>
                  </w:pPr>
                  <w:r>
                    <w:rPr>
                      <w:b/>
                      <w:color w:val="auto"/>
                      <w:sz w:val="21"/>
                    </w:rPr>
                    <w:t>与厂区距离约（</w:t>
                  </w:r>
                  <w:r>
                    <w:rPr>
                      <w:rFonts w:hint="eastAsia"/>
                      <w:b/>
                      <w:color w:val="auto"/>
                      <w:sz w:val="21"/>
                    </w:rPr>
                    <w:t>m</w:t>
                  </w:r>
                  <w:r>
                    <w:rPr>
                      <w:b/>
                      <w:color w:val="auto"/>
                      <w:sz w:val="21"/>
                    </w:rPr>
                    <w:t>）</w:t>
                  </w:r>
                </w:p>
              </w:tc>
            </w:tr>
            <w:tr w14:paraId="60709C7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21" w:type="dxa"/>
                  <w:vMerge w:val="continue"/>
                  <w:tcBorders>
                    <w:left w:val="single" w:color="000000" w:sz="4" w:space="0"/>
                    <w:bottom w:val="single" w:color="auto" w:sz="4" w:space="0"/>
                    <w:right w:val="single" w:color="auto" w:sz="4" w:space="0"/>
                  </w:tcBorders>
                  <w:vAlign w:val="center"/>
                </w:tcPr>
                <w:p w14:paraId="131646E1">
                  <w:pPr>
                    <w:pStyle w:val="109"/>
                    <w:spacing w:before="89"/>
                    <w:ind w:left="98" w:right="87"/>
                    <w:rPr>
                      <w:color w:val="auto"/>
                      <w:sz w:val="21"/>
                    </w:rPr>
                  </w:pPr>
                </w:p>
              </w:tc>
              <w:tc>
                <w:tcPr>
                  <w:tcW w:w="546" w:type="dxa"/>
                  <w:vMerge w:val="continue"/>
                  <w:tcBorders>
                    <w:left w:val="single" w:color="auto" w:sz="4" w:space="0"/>
                    <w:bottom w:val="single" w:color="auto" w:sz="4" w:space="0"/>
                  </w:tcBorders>
                  <w:vAlign w:val="center"/>
                </w:tcPr>
                <w:p w14:paraId="657B6BF6">
                  <w:pPr>
                    <w:pStyle w:val="109"/>
                    <w:spacing w:before="89"/>
                    <w:ind w:left="98" w:right="87"/>
                    <w:rPr>
                      <w:color w:val="auto"/>
                      <w:sz w:val="21"/>
                    </w:rPr>
                  </w:pPr>
                </w:p>
              </w:tc>
              <w:tc>
                <w:tcPr>
                  <w:tcW w:w="969" w:type="dxa"/>
                  <w:vMerge w:val="continue"/>
                  <w:vAlign w:val="center"/>
                </w:tcPr>
                <w:p w14:paraId="1C529EC2">
                  <w:pPr>
                    <w:pStyle w:val="109"/>
                    <w:spacing w:before="30"/>
                    <w:ind w:left="53" w:right="46"/>
                    <w:rPr>
                      <w:rFonts w:eastAsia="Times New Roman"/>
                      <w:color w:val="auto"/>
                      <w:sz w:val="21"/>
                    </w:rPr>
                  </w:pPr>
                </w:p>
              </w:tc>
              <w:tc>
                <w:tcPr>
                  <w:tcW w:w="988" w:type="dxa"/>
                  <w:vAlign w:val="center"/>
                </w:tcPr>
                <w:p w14:paraId="213298E5">
                  <w:pPr>
                    <w:pStyle w:val="109"/>
                    <w:spacing w:before="0"/>
                    <w:rPr>
                      <w:color w:val="auto"/>
                      <w:sz w:val="21"/>
                      <w:szCs w:val="21"/>
                    </w:rPr>
                  </w:pPr>
                  <w:r>
                    <w:rPr>
                      <w:rFonts w:hint="eastAsia"/>
                      <w:color w:val="auto"/>
                      <w:sz w:val="21"/>
                      <w:szCs w:val="21"/>
                    </w:rPr>
                    <w:t>X</w:t>
                  </w:r>
                </w:p>
              </w:tc>
              <w:tc>
                <w:tcPr>
                  <w:tcW w:w="1073" w:type="dxa"/>
                  <w:vAlign w:val="center"/>
                </w:tcPr>
                <w:p w14:paraId="34AB6B13">
                  <w:pPr>
                    <w:pStyle w:val="109"/>
                    <w:spacing w:before="0"/>
                    <w:rPr>
                      <w:color w:val="auto"/>
                      <w:sz w:val="21"/>
                      <w:szCs w:val="21"/>
                    </w:rPr>
                  </w:pPr>
                  <w:r>
                    <w:rPr>
                      <w:rFonts w:hint="eastAsia"/>
                      <w:color w:val="auto"/>
                      <w:sz w:val="21"/>
                      <w:szCs w:val="21"/>
                    </w:rPr>
                    <w:t>Y</w:t>
                  </w:r>
                </w:p>
              </w:tc>
              <w:tc>
                <w:tcPr>
                  <w:tcW w:w="1091" w:type="dxa"/>
                  <w:vMerge w:val="continue"/>
                  <w:vAlign w:val="center"/>
                </w:tcPr>
                <w:p w14:paraId="1BD38D14">
                  <w:pPr>
                    <w:pStyle w:val="109"/>
                    <w:spacing w:before="44"/>
                    <w:ind w:left="112" w:right="102"/>
                    <w:rPr>
                      <w:color w:val="auto"/>
                      <w:sz w:val="21"/>
                      <w:szCs w:val="21"/>
                    </w:rPr>
                  </w:pPr>
                </w:p>
              </w:tc>
              <w:tc>
                <w:tcPr>
                  <w:tcW w:w="915" w:type="dxa"/>
                  <w:vMerge w:val="continue"/>
                  <w:vAlign w:val="center"/>
                </w:tcPr>
                <w:p w14:paraId="00476991">
                  <w:pPr>
                    <w:pStyle w:val="109"/>
                    <w:spacing w:before="44"/>
                    <w:ind w:left="110" w:right="102"/>
                    <w:rPr>
                      <w:color w:val="auto"/>
                      <w:sz w:val="21"/>
                      <w:szCs w:val="21"/>
                    </w:rPr>
                  </w:pPr>
                </w:p>
              </w:tc>
              <w:tc>
                <w:tcPr>
                  <w:tcW w:w="926" w:type="dxa"/>
                  <w:vMerge w:val="continue"/>
                  <w:vAlign w:val="center"/>
                </w:tcPr>
                <w:p w14:paraId="4F93004F">
                  <w:pPr>
                    <w:pStyle w:val="109"/>
                    <w:spacing w:before="44"/>
                    <w:ind w:left="101" w:right="90"/>
                    <w:rPr>
                      <w:color w:val="auto"/>
                      <w:sz w:val="21"/>
                      <w:szCs w:val="21"/>
                    </w:rPr>
                  </w:pPr>
                </w:p>
              </w:tc>
              <w:tc>
                <w:tcPr>
                  <w:tcW w:w="551" w:type="dxa"/>
                  <w:vMerge w:val="continue"/>
                  <w:vAlign w:val="center"/>
                </w:tcPr>
                <w:p w14:paraId="22BBD544">
                  <w:pPr>
                    <w:pStyle w:val="109"/>
                    <w:spacing w:before="44"/>
                    <w:ind w:left="100" w:right="91"/>
                    <w:rPr>
                      <w:color w:val="auto"/>
                      <w:sz w:val="21"/>
                      <w:szCs w:val="21"/>
                    </w:rPr>
                  </w:pPr>
                </w:p>
              </w:tc>
              <w:tc>
                <w:tcPr>
                  <w:tcW w:w="938" w:type="dxa"/>
                  <w:vMerge w:val="continue"/>
                  <w:tcBorders>
                    <w:right w:val="single" w:color="000000" w:sz="4" w:space="0"/>
                  </w:tcBorders>
                  <w:vAlign w:val="center"/>
                </w:tcPr>
                <w:p w14:paraId="23EBE1C6">
                  <w:pPr>
                    <w:pStyle w:val="109"/>
                    <w:spacing w:before="44"/>
                    <w:ind w:left="101" w:right="91"/>
                    <w:rPr>
                      <w:color w:val="auto"/>
                      <w:sz w:val="21"/>
                      <w:szCs w:val="21"/>
                    </w:rPr>
                  </w:pPr>
                </w:p>
              </w:tc>
            </w:tr>
            <w:tr w14:paraId="6DF8E96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21" w:type="dxa"/>
                  <w:tcBorders>
                    <w:top w:val="single" w:color="auto" w:sz="4" w:space="0"/>
                    <w:left w:val="single" w:color="000000" w:sz="4" w:space="0"/>
                    <w:right w:val="single" w:color="auto" w:sz="4" w:space="0"/>
                  </w:tcBorders>
                  <w:vAlign w:val="center"/>
                </w:tcPr>
                <w:p w14:paraId="63B55E84">
                  <w:pPr>
                    <w:jc w:val="center"/>
                    <w:rPr>
                      <w:color w:val="auto"/>
                      <w:szCs w:val="21"/>
                    </w:rPr>
                  </w:pPr>
                  <w:r>
                    <w:rPr>
                      <w:rFonts w:hint="eastAsia"/>
                      <w:color w:val="auto"/>
                      <w:szCs w:val="21"/>
                    </w:rPr>
                    <w:t>1</w:t>
                  </w:r>
                </w:p>
              </w:tc>
              <w:tc>
                <w:tcPr>
                  <w:tcW w:w="546" w:type="dxa"/>
                  <w:tcBorders>
                    <w:top w:val="single" w:color="auto" w:sz="4" w:space="0"/>
                    <w:left w:val="single" w:color="auto" w:sz="4" w:space="0"/>
                  </w:tcBorders>
                  <w:vAlign w:val="center"/>
                </w:tcPr>
                <w:p w14:paraId="18AD2538">
                  <w:pPr>
                    <w:pStyle w:val="109"/>
                    <w:ind w:left="53" w:right="45"/>
                    <w:rPr>
                      <w:color w:val="auto"/>
                      <w:sz w:val="21"/>
                      <w:szCs w:val="21"/>
                    </w:rPr>
                  </w:pPr>
                  <w:r>
                    <w:rPr>
                      <w:color w:val="auto"/>
                      <w:sz w:val="21"/>
                      <w:szCs w:val="21"/>
                    </w:rPr>
                    <w:t>环境空气</w:t>
                  </w:r>
                </w:p>
              </w:tc>
              <w:tc>
                <w:tcPr>
                  <w:tcW w:w="969" w:type="dxa"/>
                  <w:vAlign w:val="center"/>
                </w:tcPr>
                <w:p w14:paraId="77AEC6FF">
                  <w:pPr>
                    <w:jc w:val="center"/>
                    <w:rPr>
                      <w:color w:val="auto"/>
                      <w:szCs w:val="21"/>
                    </w:rPr>
                  </w:pPr>
                  <w:r>
                    <w:rPr>
                      <w:rFonts w:hAnsi="宋体"/>
                      <w:color w:val="auto"/>
                      <w:szCs w:val="21"/>
                    </w:rPr>
                    <w:t>项目周围</w:t>
                  </w:r>
                  <w:r>
                    <w:rPr>
                      <w:rFonts w:hint="eastAsia" w:hAnsi="宋体"/>
                      <w:color w:val="auto"/>
                      <w:szCs w:val="21"/>
                    </w:rPr>
                    <w:t>500m范围内</w:t>
                  </w:r>
                  <w:r>
                    <w:rPr>
                      <w:rFonts w:hAnsi="宋体"/>
                      <w:color w:val="auto"/>
                      <w:szCs w:val="21"/>
                    </w:rPr>
                    <w:t>区域</w:t>
                  </w:r>
                </w:p>
              </w:tc>
              <w:tc>
                <w:tcPr>
                  <w:tcW w:w="988" w:type="dxa"/>
                  <w:vAlign w:val="center"/>
                </w:tcPr>
                <w:p w14:paraId="7D98D3AB">
                  <w:pPr>
                    <w:pStyle w:val="19"/>
                    <w:snapToGrid w:val="0"/>
                    <w:jc w:val="center"/>
                    <w:rPr>
                      <w:rFonts w:ascii="Times New Roman" w:hAnsi="Times New Roman"/>
                      <w:color w:val="auto"/>
                    </w:rPr>
                  </w:pPr>
                  <w:r>
                    <w:rPr>
                      <w:rFonts w:hint="eastAsia" w:ascii="Times New Roman" w:hAnsi="Times New Roman"/>
                      <w:color w:val="auto"/>
                    </w:rPr>
                    <w:t>753329.57</w:t>
                  </w:r>
                </w:p>
              </w:tc>
              <w:tc>
                <w:tcPr>
                  <w:tcW w:w="1073" w:type="dxa"/>
                  <w:vAlign w:val="center"/>
                </w:tcPr>
                <w:p w14:paraId="045EE5CB">
                  <w:pPr>
                    <w:pStyle w:val="19"/>
                    <w:snapToGrid w:val="0"/>
                    <w:jc w:val="center"/>
                    <w:rPr>
                      <w:rFonts w:ascii="Times New Roman" w:hAnsi="Times New Roman"/>
                      <w:color w:val="auto"/>
                    </w:rPr>
                  </w:pPr>
                  <w:r>
                    <w:rPr>
                      <w:rFonts w:hint="eastAsia" w:ascii="Times New Roman" w:hAnsi="Times New Roman"/>
                      <w:color w:val="auto"/>
                    </w:rPr>
                    <w:t>3383999.19</w:t>
                  </w:r>
                </w:p>
              </w:tc>
              <w:tc>
                <w:tcPr>
                  <w:tcW w:w="1091" w:type="dxa"/>
                  <w:vAlign w:val="center"/>
                </w:tcPr>
                <w:p w14:paraId="62215B8C">
                  <w:pPr>
                    <w:jc w:val="center"/>
                    <w:rPr>
                      <w:color w:val="auto"/>
                    </w:rPr>
                  </w:pPr>
                  <w:r>
                    <w:rPr>
                      <w:rFonts w:hint="eastAsia"/>
                      <w:color w:val="auto"/>
                    </w:rPr>
                    <w:t>白水湾村</w:t>
                  </w:r>
                </w:p>
                <w:p w14:paraId="7F7635E2">
                  <w:pPr>
                    <w:pStyle w:val="2"/>
                    <w:ind w:firstLine="0" w:firstLineChars="0"/>
                    <w:jc w:val="center"/>
                    <w:rPr>
                      <w:color w:val="auto"/>
                    </w:rPr>
                  </w:pPr>
                  <w:r>
                    <w:rPr>
                      <w:rFonts w:hint="eastAsia"/>
                      <w:color w:val="auto"/>
                    </w:rPr>
                    <w:t>黄纸碓</w:t>
                  </w:r>
                </w:p>
              </w:tc>
              <w:tc>
                <w:tcPr>
                  <w:tcW w:w="915" w:type="dxa"/>
                  <w:vAlign w:val="center"/>
                </w:tcPr>
                <w:p w14:paraId="66AECC00">
                  <w:pPr>
                    <w:jc w:val="center"/>
                    <w:rPr>
                      <w:color w:val="auto"/>
                      <w:szCs w:val="21"/>
                    </w:rPr>
                  </w:pPr>
                  <w:r>
                    <w:rPr>
                      <w:color w:val="auto"/>
                      <w:szCs w:val="21"/>
                    </w:rPr>
                    <w:t>约</w:t>
                  </w:r>
                  <w:r>
                    <w:rPr>
                      <w:rFonts w:hint="eastAsia"/>
                      <w:color w:val="auto"/>
                      <w:szCs w:val="21"/>
                    </w:rPr>
                    <w:t>80</w:t>
                  </w:r>
                  <w:r>
                    <w:rPr>
                      <w:rFonts w:hAnsi="宋体"/>
                      <w:color w:val="auto"/>
                      <w:szCs w:val="21"/>
                    </w:rPr>
                    <w:t>户</w:t>
                  </w:r>
                  <w:r>
                    <w:rPr>
                      <w:rFonts w:hint="eastAsia" w:hAnsi="宋体"/>
                      <w:color w:val="auto"/>
                      <w:szCs w:val="21"/>
                    </w:rPr>
                    <w:t>/</w:t>
                  </w:r>
                  <w:r>
                    <w:rPr>
                      <w:rFonts w:hint="eastAsia"/>
                      <w:color w:val="auto"/>
                      <w:szCs w:val="21"/>
                    </w:rPr>
                    <w:t>240</w:t>
                  </w:r>
                  <w:r>
                    <w:rPr>
                      <w:rFonts w:hAnsi="宋体"/>
                      <w:color w:val="auto"/>
                      <w:szCs w:val="21"/>
                    </w:rPr>
                    <w:t>人</w:t>
                  </w:r>
                </w:p>
              </w:tc>
              <w:tc>
                <w:tcPr>
                  <w:tcW w:w="926" w:type="dxa"/>
                  <w:vAlign w:val="center"/>
                </w:tcPr>
                <w:p w14:paraId="5BFBE17A">
                  <w:pPr>
                    <w:pStyle w:val="226"/>
                    <w:spacing w:after="0" w:line="240" w:lineRule="auto"/>
                    <w:ind w:left="102" w:right="91"/>
                    <w:jc w:val="center"/>
                    <w:rPr>
                      <w:color w:val="auto"/>
                      <w:szCs w:val="21"/>
                    </w:rPr>
                  </w:pPr>
                  <w:r>
                    <w:rPr>
                      <w:rFonts w:hint="eastAsia"/>
                      <w:color w:val="auto"/>
                      <w:szCs w:val="21"/>
                    </w:rPr>
                    <w:t>2类区</w:t>
                  </w:r>
                </w:p>
              </w:tc>
              <w:tc>
                <w:tcPr>
                  <w:tcW w:w="551" w:type="dxa"/>
                  <w:vAlign w:val="center"/>
                </w:tcPr>
                <w:p w14:paraId="5E49F6C2">
                  <w:pPr>
                    <w:pStyle w:val="109"/>
                    <w:spacing w:before="44"/>
                    <w:ind w:left="100" w:right="91"/>
                    <w:rPr>
                      <w:color w:val="auto"/>
                      <w:sz w:val="21"/>
                      <w:szCs w:val="21"/>
                    </w:rPr>
                  </w:pPr>
                  <w:r>
                    <w:rPr>
                      <w:rFonts w:hint="eastAsia"/>
                      <w:color w:val="auto"/>
                      <w:sz w:val="21"/>
                      <w:szCs w:val="21"/>
                    </w:rPr>
                    <w:t>W</w:t>
                  </w:r>
                </w:p>
              </w:tc>
              <w:tc>
                <w:tcPr>
                  <w:tcW w:w="938" w:type="dxa"/>
                  <w:tcBorders>
                    <w:right w:val="single" w:color="000000" w:sz="4" w:space="0"/>
                  </w:tcBorders>
                  <w:vAlign w:val="center"/>
                </w:tcPr>
                <w:p w14:paraId="4CB1D786">
                  <w:pPr>
                    <w:pStyle w:val="109"/>
                    <w:spacing w:before="44"/>
                    <w:ind w:left="101" w:right="91"/>
                    <w:rPr>
                      <w:rFonts w:hint="default" w:eastAsia="宋体"/>
                      <w:color w:val="auto"/>
                      <w:sz w:val="21"/>
                      <w:szCs w:val="21"/>
                      <w:lang w:val="en-US" w:eastAsia="zh-CN"/>
                    </w:rPr>
                  </w:pPr>
                  <w:r>
                    <w:rPr>
                      <w:rFonts w:hint="eastAsia" w:hAnsi="宋体"/>
                      <w:color w:val="auto"/>
                      <w:sz w:val="21"/>
                      <w:szCs w:val="21"/>
                      <w:lang w:val="en-US" w:eastAsia="zh-CN"/>
                    </w:rPr>
                    <w:t>300</w:t>
                  </w:r>
                </w:p>
              </w:tc>
            </w:tr>
          </w:tbl>
          <w:p w14:paraId="07CA7C11">
            <w:pPr>
              <w:spacing w:line="440" w:lineRule="exact"/>
              <w:jc w:val="center"/>
              <w:rPr>
                <w:rFonts w:hAnsi="宋体"/>
                <w:b/>
                <w:color w:val="auto"/>
                <w:szCs w:val="21"/>
              </w:rPr>
            </w:pPr>
          </w:p>
          <w:p w14:paraId="6ACFE43F">
            <w:pPr>
              <w:pStyle w:val="2"/>
              <w:spacing w:line="440" w:lineRule="exact"/>
              <w:ind w:firstLine="480"/>
              <w:rPr>
                <w:rFonts w:ascii="宋体" w:hAnsi="宋体" w:cs="宋体"/>
                <w:color w:val="auto"/>
                <w:sz w:val="24"/>
              </w:rPr>
            </w:pPr>
          </w:p>
        </w:tc>
      </w:tr>
    </w:tbl>
    <w:p w14:paraId="339EBBA3">
      <w:pPr>
        <w:pStyle w:val="32"/>
        <w:spacing w:before="0" w:beforeAutospacing="0" w:after="0" w:afterAutospacing="0"/>
        <w:jc w:val="center"/>
        <w:outlineLvl w:val="0"/>
        <w:rPr>
          <w:rFonts w:ascii="Times New Roman" w:hAnsi="Times New Roman"/>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7"/>
        <w:tblW w:w="91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31"/>
      </w:tblGrid>
      <w:tr w14:paraId="61B78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456" w:type="dxa"/>
            <w:tcMar>
              <w:left w:w="28" w:type="dxa"/>
              <w:right w:w="28" w:type="dxa"/>
            </w:tcMar>
            <w:vAlign w:val="center"/>
          </w:tcPr>
          <w:p w14:paraId="21AB28CA">
            <w:pPr>
              <w:adjustRightInd w:val="0"/>
              <w:snapToGrid w:val="0"/>
              <w:jc w:val="center"/>
              <w:rPr>
                <w:color w:val="auto"/>
                <w:kern w:val="0"/>
                <w:sz w:val="24"/>
              </w:rPr>
            </w:pPr>
            <w:r>
              <w:rPr>
                <w:rFonts w:hAnsi="宋体"/>
                <w:color w:val="auto"/>
                <w:kern w:val="0"/>
                <w:sz w:val="24"/>
              </w:rPr>
              <w:t>污染</w:t>
            </w:r>
          </w:p>
          <w:p w14:paraId="66C55489">
            <w:pPr>
              <w:adjustRightInd w:val="0"/>
              <w:snapToGrid w:val="0"/>
              <w:jc w:val="center"/>
              <w:rPr>
                <w:color w:val="auto"/>
                <w:kern w:val="0"/>
                <w:sz w:val="24"/>
              </w:rPr>
            </w:pPr>
            <w:r>
              <w:rPr>
                <w:rFonts w:hAnsi="宋体"/>
                <w:color w:val="auto"/>
                <w:kern w:val="0"/>
                <w:sz w:val="24"/>
              </w:rPr>
              <w:t>物排</w:t>
            </w:r>
          </w:p>
          <w:p w14:paraId="05068E46">
            <w:pPr>
              <w:adjustRightInd w:val="0"/>
              <w:snapToGrid w:val="0"/>
              <w:jc w:val="center"/>
              <w:rPr>
                <w:color w:val="auto"/>
                <w:kern w:val="0"/>
                <w:sz w:val="24"/>
              </w:rPr>
            </w:pPr>
            <w:r>
              <w:rPr>
                <w:rFonts w:hAnsi="宋体"/>
                <w:color w:val="auto"/>
                <w:kern w:val="0"/>
                <w:sz w:val="24"/>
              </w:rPr>
              <w:t>放控</w:t>
            </w:r>
          </w:p>
          <w:p w14:paraId="007B141F">
            <w:pPr>
              <w:adjustRightInd w:val="0"/>
              <w:snapToGrid w:val="0"/>
              <w:jc w:val="center"/>
              <w:rPr>
                <w:color w:val="auto"/>
                <w:kern w:val="0"/>
                <w:sz w:val="24"/>
              </w:rPr>
            </w:pPr>
            <w:r>
              <w:rPr>
                <w:rFonts w:hAnsi="宋体"/>
                <w:color w:val="auto"/>
                <w:kern w:val="0"/>
                <w:sz w:val="24"/>
              </w:rPr>
              <w:t>制标</w:t>
            </w:r>
          </w:p>
          <w:p w14:paraId="0DA40DA4">
            <w:pPr>
              <w:adjustRightInd w:val="0"/>
              <w:snapToGrid w:val="0"/>
              <w:jc w:val="center"/>
              <w:rPr>
                <w:color w:val="auto"/>
                <w:kern w:val="0"/>
                <w:szCs w:val="21"/>
              </w:rPr>
            </w:pPr>
            <w:r>
              <w:rPr>
                <w:rFonts w:hAnsi="宋体"/>
                <w:color w:val="auto"/>
                <w:kern w:val="0"/>
                <w:sz w:val="24"/>
              </w:rPr>
              <w:t>准</w:t>
            </w:r>
          </w:p>
        </w:tc>
        <w:tc>
          <w:tcPr>
            <w:tcW w:w="8731" w:type="dxa"/>
            <w:vAlign w:val="center"/>
          </w:tcPr>
          <w:p w14:paraId="36C8E98F">
            <w:pPr>
              <w:adjustRightInd w:val="0"/>
              <w:snapToGrid w:val="0"/>
              <w:spacing w:line="440" w:lineRule="exact"/>
              <w:rPr>
                <w:rFonts w:hAnsi="宋体"/>
                <w:b/>
                <w:color w:val="auto"/>
                <w:sz w:val="24"/>
              </w:rPr>
            </w:pPr>
            <w:r>
              <w:rPr>
                <w:rFonts w:hint="eastAsia" w:hAnsi="宋体"/>
                <w:b/>
                <w:color w:val="auto"/>
                <w:sz w:val="24"/>
              </w:rPr>
              <w:t>3.3 污染物排放控制标准</w:t>
            </w:r>
          </w:p>
          <w:p w14:paraId="2E9A1F73">
            <w:pPr>
              <w:adjustRightInd w:val="0"/>
              <w:snapToGrid w:val="0"/>
              <w:spacing w:line="440" w:lineRule="exact"/>
              <w:rPr>
                <w:rFonts w:hAnsi="宋体"/>
                <w:b/>
                <w:color w:val="auto"/>
                <w:sz w:val="24"/>
              </w:rPr>
            </w:pPr>
            <w:r>
              <w:rPr>
                <w:rFonts w:hint="eastAsia" w:hAnsi="宋体"/>
                <w:b/>
                <w:color w:val="auto"/>
                <w:sz w:val="24"/>
              </w:rPr>
              <w:t>3.3.1</w:t>
            </w:r>
            <w:r>
              <w:rPr>
                <w:rFonts w:hAnsi="宋体"/>
                <w:b/>
                <w:color w:val="auto"/>
                <w:sz w:val="24"/>
              </w:rPr>
              <w:t>废水</w:t>
            </w:r>
          </w:p>
          <w:p w14:paraId="5A84056D">
            <w:pPr>
              <w:spacing w:line="440" w:lineRule="exact"/>
              <w:ind w:firstLine="480" w:firstLineChars="200"/>
              <w:rPr>
                <w:rFonts w:hAnsi="宋体"/>
                <w:color w:val="auto"/>
                <w:sz w:val="24"/>
              </w:rPr>
            </w:pPr>
            <w:r>
              <w:rPr>
                <w:rFonts w:hint="eastAsia"/>
                <w:bCs/>
                <w:color w:val="auto"/>
                <w:sz w:val="24"/>
                <w:lang w:val="en-GB"/>
              </w:rPr>
              <w:t>项目生活污水经化粪池预处理后通过污水管网排入安吉净源污水处理有限公司城北污水处理厂集中处理。生活污水经化粪池预处理后达到《污水综合排放标准》(GB8978-1996) 三级标准、《工业企业废水氮、磷污染物间接排放限值》(DB33/887-2013) 中间接排放限值（氨氮和总磷指标）和安吉净源污水处理有限公司城北污水处理厂纳管标准中较严标准要求，具体见下表</w:t>
            </w:r>
            <w:r>
              <w:rPr>
                <w:rFonts w:hint="eastAsia"/>
                <w:bCs/>
                <w:color w:val="auto"/>
                <w:sz w:val="24"/>
              </w:rPr>
              <w:t>3-8</w:t>
            </w:r>
            <w:r>
              <w:rPr>
                <w:rFonts w:hint="eastAsia"/>
                <w:bCs/>
                <w:color w:val="auto"/>
                <w:sz w:val="24"/>
                <w:lang w:val="en-GB"/>
              </w:rPr>
              <w:t>。</w:t>
            </w:r>
          </w:p>
          <w:p w14:paraId="074C610E">
            <w:pPr>
              <w:spacing w:line="440" w:lineRule="exact"/>
              <w:jc w:val="center"/>
              <w:rPr>
                <w:b/>
                <w:color w:val="auto"/>
                <w:szCs w:val="21"/>
              </w:rPr>
            </w:pPr>
            <w:r>
              <w:rPr>
                <w:b/>
                <w:color w:val="auto"/>
                <w:szCs w:val="21"/>
              </w:rPr>
              <w:t>表</w:t>
            </w:r>
            <w:r>
              <w:rPr>
                <w:rFonts w:hint="eastAsia"/>
                <w:b/>
                <w:color w:val="auto"/>
                <w:szCs w:val="21"/>
              </w:rPr>
              <w:t>3</w:t>
            </w:r>
            <w:r>
              <w:rPr>
                <w:b/>
                <w:color w:val="auto"/>
                <w:szCs w:val="21"/>
              </w:rPr>
              <w:t>-</w:t>
            </w:r>
            <w:r>
              <w:rPr>
                <w:rFonts w:hint="eastAsia"/>
                <w:b/>
                <w:color w:val="auto"/>
                <w:szCs w:val="21"/>
              </w:rPr>
              <w:t>8</w:t>
            </w:r>
            <w:r>
              <w:rPr>
                <w:b/>
                <w:color w:val="auto"/>
                <w:szCs w:val="21"/>
              </w:rPr>
              <w:t xml:space="preserve">  </w:t>
            </w:r>
            <w:r>
              <w:rPr>
                <w:rFonts w:hint="eastAsia"/>
                <w:b/>
                <w:color w:val="auto"/>
                <w:szCs w:val="21"/>
              </w:rPr>
              <w:t>本项目生活污水纳管标准</w:t>
            </w:r>
          </w:p>
          <w:p w14:paraId="563D0CF9">
            <w:pPr>
              <w:ind w:firstLine="420" w:firstLineChars="200"/>
              <w:jc w:val="right"/>
              <w:rPr>
                <w:color w:val="auto"/>
                <w:szCs w:val="21"/>
              </w:rPr>
            </w:pPr>
            <w:r>
              <w:rPr>
                <w:color w:val="auto"/>
                <w:szCs w:val="21"/>
              </w:rPr>
              <w:t>单位：mg/L（pH除外）</w:t>
            </w:r>
          </w:p>
          <w:tbl>
            <w:tblPr>
              <w:tblStyle w:val="3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2386"/>
              <w:gridCol w:w="2272"/>
              <w:gridCol w:w="2277"/>
            </w:tblGrid>
            <w:tr w14:paraId="35974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vMerge w:val="restart"/>
                  <w:tcBorders>
                    <w:top w:val="single" w:color="auto" w:sz="4" w:space="0"/>
                    <w:left w:val="single" w:color="auto" w:sz="4" w:space="0"/>
                    <w:right w:val="single" w:color="auto" w:sz="4" w:space="0"/>
                  </w:tcBorders>
                  <w:vAlign w:val="center"/>
                </w:tcPr>
                <w:p w14:paraId="15D8F9AB">
                  <w:pPr>
                    <w:adjustRightInd w:val="0"/>
                    <w:snapToGrid w:val="0"/>
                    <w:jc w:val="center"/>
                    <w:rPr>
                      <w:b/>
                      <w:bCs/>
                      <w:color w:val="auto"/>
                      <w:szCs w:val="21"/>
                    </w:rPr>
                  </w:pPr>
                  <w:r>
                    <w:rPr>
                      <w:rFonts w:hint="eastAsia"/>
                      <w:b/>
                      <w:bCs/>
                      <w:color w:val="auto"/>
                      <w:szCs w:val="21"/>
                    </w:rPr>
                    <w:t>污染物</w:t>
                  </w:r>
                </w:p>
              </w:tc>
              <w:tc>
                <w:tcPr>
                  <w:tcW w:w="6935" w:type="dxa"/>
                  <w:gridSpan w:val="3"/>
                  <w:tcBorders>
                    <w:top w:val="single" w:color="auto" w:sz="4" w:space="0"/>
                    <w:left w:val="single" w:color="auto" w:sz="4" w:space="0"/>
                    <w:bottom w:val="single" w:color="auto" w:sz="4" w:space="0"/>
                    <w:right w:val="single" w:color="auto" w:sz="4" w:space="0"/>
                  </w:tcBorders>
                  <w:vAlign w:val="center"/>
                </w:tcPr>
                <w:p w14:paraId="3C2992BD">
                  <w:pPr>
                    <w:adjustRightInd w:val="0"/>
                    <w:snapToGrid w:val="0"/>
                    <w:jc w:val="center"/>
                    <w:rPr>
                      <w:b/>
                      <w:color w:val="auto"/>
                      <w:szCs w:val="21"/>
                    </w:rPr>
                  </w:pPr>
                  <w:r>
                    <w:rPr>
                      <w:rFonts w:hint="eastAsia"/>
                      <w:b/>
                      <w:color w:val="auto"/>
                      <w:szCs w:val="21"/>
                    </w:rPr>
                    <w:t>标准数值</w:t>
                  </w:r>
                </w:p>
              </w:tc>
            </w:tr>
            <w:tr w14:paraId="57738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vMerge w:val="continue"/>
                  <w:tcBorders>
                    <w:left w:val="single" w:color="auto" w:sz="4" w:space="0"/>
                    <w:bottom w:val="single" w:color="auto" w:sz="4" w:space="0"/>
                    <w:right w:val="single" w:color="auto" w:sz="4" w:space="0"/>
                  </w:tcBorders>
                  <w:vAlign w:val="center"/>
                </w:tcPr>
                <w:p w14:paraId="04DC50B1">
                  <w:pPr>
                    <w:adjustRightInd w:val="0"/>
                    <w:snapToGrid w:val="0"/>
                    <w:jc w:val="center"/>
                    <w:rPr>
                      <w:b/>
                      <w:bCs/>
                      <w:color w:val="auto"/>
                      <w:szCs w:val="21"/>
                    </w:rPr>
                  </w:pPr>
                </w:p>
              </w:tc>
              <w:tc>
                <w:tcPr>
                  <w:tcW w:w="2386" w:type="dxa"/>
                  <w:tcBorders>
                    <w:top w:val="single" w:color="auto" w:sz="4" w:space="0"/>
                    <w:left w:val="single" w:color="auto" w:sz="4" w:space="0"/>
                    <w:bottom w:val="single" w:color="auto" w:sz="4" w:space="0"/>
                    <w:right w:val="single" w:color="auto" w:sz="4" w:space="0"/>
                  </w:tcBorders>
                  <w:vAlign w:val="center"/>
                </w:tcPr>
                <w:p w14:paraId="3F9CDFC8">
                  <w:pPr>
                    <w:adjustRightInd w:val="0"/>
                    <w:snapToGrid w:val="0"/>
                    <w:jc w:val="center"/>
                    <w:rPr>
                      <w:b/>
                      <w:bCs/>
                      <w:color w:val="auto"/>
                      <w:szCs w:val="21"/>
                    </w:rPr>
                  </w:pPr>
                  <w:r>
                    <w:rPr>
                      <w:rFonts w:hint="eastAsia"/>
                      <w:b/>
                      <w:bCs/>
                      <w:color w:val="auto"/>
                    </w:rPr>
                    <w:t>《污水综合排放标准》三级标准</w:t>
                  </w:r>
                </w:p>
              </w:tc>
              <w:tc>
                <w:tcPr>
                  <w:tcW w:w="2272" w:type="dxa"/>
                  <w:tcBorders>
                    <w:top w:val="single" w:color="auto" w:sz="4" w:space="0"/>
                    <w:left w:val="single" w:color="auto" w:sz="4" w:space="0"/>
                    <w:bottom w:val="single" w:color="auto" w:sz="4" w:space="0"/>
                    <w:right w:val="single" w:color="auto" w:sz="4" w:space="0"/>
                  </w:tcBorders>
                  <w:vAlign w:val="center"/>
                </w:tcPr>
                <w:p w14:paraId="62346B6F">
                  <w:pPr>
                    <w:adjustRightInd w:val="0"/>
                    <w:snapToGrid w:val="0"/>
                    <w:jc w:val="center"/>
                    <w:rPr>
                      <w:b/>
                      <w:bCs/>
                      <w:color w:val="auto"/>
                      <w:szCs w:val="21"/>
                    </w:rPr>
                  </w:pPr>
                  <w:r>
                    <w:rPr>
                      <w:rFonts w:hint="eastAsia"/>
                      <w:b/>
                      <w:bCs/>
                      <w:color w:val="auto"/>
                    </w:rPr>
                    <w:t>《工业企业废水氮、磷污染物间接排放限值》(DB33/887-2013)</w:t>
                  </w:r>
                </w:p>
              </w:tc>
              <w:tc>
                <w:tcPr>
                  <w:tcW w:w="2277" w:type="dxa"/>
                  <w:tcBorders>
                    <w:top w:val="single" w:color="auto" w:sz="4" w:space="0"/>
                    <w:left w:val="single" w:color="auto" w:sz="4" w:space="0"/>
                    <w:bottom w:val="single" w:color="auto" w:sz="4" w:space="0"/>
                    <w:right w:val="single" w:color="auto" w:sz="4" w:space="0"/>
                  </w:tcBorders>
                  <w:vAlign w:val="center"/>
                </w:tcPr>
                <w:p w14:paraId="4BD37F0B">
                  <w:pPr>
                    <w:adjustRightInd w:val="0"/>
                    <w:snapToGrid w:val="0"/>
                    <w:jc w:val="center"/>
                    <w:rPr>
                      <w:b/>
                      <w:bCs/>
                      <w:color w:val="auto"/>
                      <w:szCs w:val="21"/>
                    </w:rPr>
                  </w:pPr>
                  <w:r>
                    <w:rPr>
                      <w:rFonts w:hint="eastAsia"/>
                      <w:b/>
                      <w:bCs/>
                      <w:color w:val="auto"/>
                    </w:rPr>
                    <w:t>安吉净源污水处理有限公司城北污水处理厂纳管准</w:t>
                  </w:r>
                </w:p>
              </w:tc>
            </w:tr>
            <w:tr w14:paraId="43453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4FE98E6D">
                  <w:pPr>
                    <w:adjustRightInd w:val="0"/>
                    <w:snapToGrid w:val="0"/>
                    <w:jc w:val="center"/>
                    <w:rPr>
                      <w:bCs/>
                      <w:color w:val="auto"/>
                      <w:szCs w:val="21"/>
                    </w:rPr>
                  </w:pPr>
                  <w:r>
                    <w:rPr>
                      <w:rFonts w:hint="eastAsia"/>
                      <w:bCs/>
                      <w:color w:val="auto"/>
                      <w:szCs w:val="21"/>
                    </w:rPr>
                    <w:t>pH</w:t>
                  </w:r>
                </w:p>
              </w:tc>
              <w:tc>
                <w:tcPr>
                  <w:tcW w:w="2386" w:type="dxa"/>
                  <w:tcBorders>
                    <w:top w:val="single" w:color="auto" w:sz="4" w:space="0"/>
                    <w:left w:val="single" w:color="auto" w:sz="4" w:space="0"/>
                    <w:bottom w:val="single" w:color="auto" w:sz="4" w:space="0"/>
                    <w:right w:val="single" w:color="auto" w:sz="4" w:space="0"/>
                  </w:tcBorders>
                  <w:vAlign w:val="center"/>
                </w:tcPr>
                <w:p w14:paraId="123052D0">
                  <w:pPr>
                    <w:adjustRightInd w:val="0"/>
                    <w:snapToGrid w:val="0"/>
                    <w:jc w:val="center"/>
                    <w:rPr>
                      <w:color w:val="auto"/>
                    </w:rPr>
                  </w:pPr>
                  <w:r>
                    <w:rPr>
                      <w:rFonts w:hint="eastAsia"/>
                      <w:color w:val="auto"/>
                    </w:rPr>
                    <w:t>6</w:t>
                  </w:r>
                  <w:r>
                    <w:rPr>
                      <w:rFonts w:ascii="Arial" w:hAnsi="Arial" w:cs="Arial"/>
                      <w:color w:val="auto"/>
                      <w:sz w:val="19"/>
                      <w:szCs w:val="19"/>
                      <w:shd w:val="clear" w:color="auto" w:fill="FFFFFF"/>
                    </w:rPr>
                    <w:t>~</w:t>
                  </w:r>
                  <w:r>
                    <w:rPr>
                      <w:rFonts w:hint="eastAsia"/>
                      <w:color w:val="auto"/>
                    </w:rPr>
                    <w:t>9</w:t>
                  </w:r>
                </w:p>
              </w:tc>
              <w:tc>
                <w:tcPr>
                  <w:tcW w:w="2272" w:type="dxa"/>
                  <w:tcBorders>
                    <w:top w:val="single" w:color="auto" w:sz="4" w:space="0"/>
                    <w:left w:val="single" w:color="auto" w:sz="4" w:space="0"/>
                    <w:bottom w:val="single" w:color="auto" w:sz="4" w:space="0"/>
                    <w:right w:val="single" w:color="auto" w:sz="4" w:space="0"/>
                  </w:tcBorders>
                  <w:vAlign w:val="center"/>
                </w:tcPr>
                <w:p w14:paraId="7603E0FA">
                  <w:pPr>
                    <w:adjustRightInd w:val="0"/>
                    <w:snapToGrid w:val="0"/>
                    <w:jc w:val="center"/>
                    <w:rPr>
                      <w:color w:val="auto"/>
                    </w:rPr>
                  </w:pPr>
                  <w:r>
                    <w:rPr>
                      <w:rFonts w:hint="eastAsia"/>
                      <w:color w:val="auto"/>
                    </w:rPr>
                    <w:t>/</w:t>
                  </w:r>
                </w:p>
              </w:tc>
              <w:tc>
                <w:tcPr>
                  <w:tcW w:w="2277" w:type="dxa"/>
                  <w:tcBorders>
                    <w:top w:val="single" w:color="auto" w:sz="4" w:space="0"/>
                    <w:left w:val="single" w:color="auto" w:sz="4" w:space="0"/>
                    <w:bottom w:val="single" w:color="auto" w:sz="4" w:space="0"/>
                    <w:right w:val="single" w:color="auto" w:sz="4" w:space="0"/>
                  </w:tcBorders>
                  <w:vAlign w:val="center"/>
                </w:tcPr>
                <w:p w14:paraId="6EB93E05">
                  <w:pPr>
                    <w:adjustRightInd w:val="0"/>
                    <w:snapToGrid w:val="0"/>
                    <w:jc w:val="center"/>
                    <w:rPr>
                      <w:color w:val="auto"/>
                    </w:rPr>
                  </w:pPr>
                  <w:r>
                    <w:rPr>
                      <w:rFonts w:hint="eastAsia"/>
                      <w:color w:val="auto"/>
                    </w:rPr>
                    <w:t>6</w:t>
                  </w:r>
                  <w:r>
                    <w:rPr>
                      <w:rFonts w:ascii="Arial" w:hAnsi="Arial" w:cs="Arial"/>
                      <w:color w:val="auto"/>
                      <w:sz w:val="19"/>
                      <w:szCs w:val="19"/>
                      <w:shd w:val="clear" w:color="auto" w:fill="FFFFFF"/>
                    </w:rPr>
                    <w:t>~</w:t>
                  </w:r>
                  <w:r>
                    <w:rPr>
                      <w:rFonts w:hint="eastAsia"/>
                      <w:color w:val="auto"/>
                    </w:rPr>
                    <w:t>9</w:t>
                  </w:r>
                </w:p>
              </w:tc>
            </w:tr>
            <w:tr w14:paraId="439D1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7E2E8C3D">
                  <w:pPr>
                    <w:adjustRightInd w:val="0"/>
                    <w:snapToGrid w:val="0"/>
                    <w:jc w:val="center"/>
                    <w:rPr>
                      <w:bCs/>
                      <w:color w:val="auto"/>
                      <w:szCs w:val="21"/>
                    </w:rPr>
                  </w:pPr>
                  <w:r>
                    <w:rPr>
                      <w:rFonts w:hint="eastAsia"/>
                      <w:bCs/>
                      <w:color w:val="auto"/>
                      <w:szCs w:val="21"/>
                    </w:rPr>
                    <w:t>COD</w:t>
                  </w:r>
                  <w:r>
                    <w:rPr>
                      <w:rFonts w:hint="eastAsia"/>
                      <w:bCs/>
                      <w:color w:val="auto"/>
                      <w:szCs w:val="21"/>
                      <w:vertAlign w:val="subscript"/>
                    </w:rPr>
                    <w:t>Cr</w:t>
                  </w:r>
                </w:p>
              </w:tc>
              <w:tc>
                <w:tcPr>
                  <w:tcW w:w="2386" w:type="dxa"/>
                  <w:tcBorders>
                    <w:top w:val="single" w:color="auto" w:sz="4" w:space="0"/>
                    <w:left w:val="single" w:color="auto" w:sz="4" w:space="0"/>
                    <w:bottom w:val="single" w:color="auto" w:sz="4" w:space="0"/>
                    <w:right w:val="single" w:color="auto" w:sz="4" w:space="0"/>
                  </w:tcBorders>
                  <w:vAlign w:val="center"/>
                </w:tcPr>
                <w:p w14:paraId="497BA1CF">
                  <w:pPr>
                    <w:adjustRightInd w:val="0"/>
                    <w:snapToGrid w:val="0"/>
                    <w:jc w:val="center"/>
                    <w:rPr>
                      <w:color w:val="auto"/>
                    </w:rPr>
                  </w:pPr>
                  <w:r>
                    <w:rPr>
                      <w:rFonts w:hint="eastAsia"/>
                      <w:color w:val="auto"/>
                    </w:rPr>
                    <w:t>500</w:t>
                  </w:r>
                </w:p>
              </w:tc>
              <w:tc>
                <w:tcPr>
                  <w:tcW w:w="2272" w:type="dxa"/>
                  <w:tcBorders>
                    <w:top w:val="single" w:color="auto" w:sz="4" w:space="0"/>
                    <w:left w:val="single" w:color="auto" w:sz="4" w:space="0"/>
                    <w:bottom w:val="single" w:color="auto" w:sz="4" w:space="0"/>
                    <w:right w:val="single" w:color="auto" w:sz="4" w:space="0"/>
                  </w:tcBorders>
                  <w:vAlign w:val="center"/>
                </w:tcPr>
                <w:p w14:paraId="32D1EC64">
                  <w:pPr>
                    <w:adjustRightInd w:val="0"/>
                    <w:snapToGrid w:val="0"/>
                    <w:jc w:val="center"/>
                    <w:rPr>
                      <w:color w:val="auto"/>
                    </w:rPr>
                  </w:pPr>
                  <w:r>
                    <w:rPr>
                      <w:rFonts w:hint="eastAsia"/>
                      <w:color w:val="auto"/>
                    </w:rPr>
                    <w:t>/</w:t>
                  </w:r>
                </w:p>
              </w:tc>
              <w:tc>
                <w:tcPr>
                  <w:tcW w:w="2277" w:type="dxa"/>
                  <w:tcBorders>
                    <w:top w:val="single" w:color="auto" w:sz="4" w:space="0"/>
                    <w:left w:val="single" w:color="auto" w:sz="4" w:space="0"/>
                    <w:bottom w:val="single" w:color="auto" w:sz="4" w:space="0"/>
                    <w:right w:val="single" w:color="auto" w:sz="4" w:space="0"/>
                  </w:tcBorders>
                  <w:vAlign w:val="center"/>
                </w:tcPr>
                <w:p w14:paraId="1702CDFB">
                  <w:pPr>
                    <w:adjustRightInd w:val="0"/>
                    <w:snapToGrid w:val="0"/>
                    <w:jc w:val="center"/>
                    <w:rPr>
                      <w:color w:val="auto"/>
                    </w:rPr>
                  </w:pPr>
                  <w:r>
                    <w:rPr>
                      <w:rFonts w:hint="eastAsia"/>
                      <w:color w:val="auto"/>
                    </w:rPr>
                    <w:t>450</w:t>
                  </w:r>
                </w:p>
              </w:tc>
            </w:tr>
            <w:tr w14:paraId="151B1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3B9F5F6F">
                  <w:pPr>
                    <w:adjustRightInd w:val="0"/>
                    <w:snapToGrid w:val="0"/>
                    <w:jc w:val="center"/>
                    <w:rPr>
                      <w:bCs/>
                      <w:color w:val="auto"/>
                      <w:szCs w:val="21"/>
                    </w:rPr>
                  </w:pPr>
                  <w:r>
                    <w:rPr>
                      <w:rFonts w:hint="eastAsia"/>
                      <w:bCs/>
                      <w:color w:val="auto"/>
                      <w:szCs w:val="21"/>
                    </w:rPr>
                    <w:t>BOD</w:t>
                  </w:r>
                  <w:r>
                    <w:rPr>
                      <w:rFonts w:hint="eastAsia"/>
                      <w:bCs/>
                      <w:color w:val="auto"/>
                      <w:szCs w:val="21"/>
                      <w:vertAlign w:val="subscript"/>
                    </w:rPr>
                    <w:t>5</w:t>
                  </w:r>
                </w:p>
              </w:tc>
              <w:tc>
                <w:tcPr>
                  <w:tcW w:w="2386" w:type="dxa"/>
                  <w:tcBorders>
                    <w:top w:val="single" w:color="auto" w:sz="4" w:space="0"/>
                    <w:left w:val="single" w:color="auto" w:sz="4" w:space="0"/>
                    <w:bottom w:val="single" w:color="auto" w:sz="4" w:space="0"/>
                    <w:right w:val="single" w:color="auto" w:sz="4" w:space="0"/>
                  </w:tcBorders>
                  <w:vAlign w:val="center"/>
                </w:tcPr>
                <w:p w14:paraId="4E28408C">
                  <w:pPr>
                    <w:adjustRightInd w:val="0"/>
                    <w:snapToGrid w:val="0"/>
                    <w:jc w:val="center"/>
                    <w:rPr>
                      <w:color w:val="auto"/>
                    </w:rPr>
                  </w:pPr>
                  <w:r>
                    <w:rPr>
                      <w:rFonts w:hint="eastAsia"/>
                      <w:color w:val="auto"/>
                    </w:rPr>
                    <w:t>300</w:t>
                  </w:r>
                </w:p>
              </w:tc>
              <w:tc>
                <w:tcPr>
                  <w:tcW w:w="2272" w:type="dxa"/>
                  <w:tcBorders>
                    <w:top w:val="single" w:color="auto" w:sz="4" w:space="0"/>
                    <w:left w:val="single" w:color="auto" w:sz="4" w:space="0"/>
                    <w:bottom w:val="single" w:color="auto" w:sz="4" w:space="0"/>
                    <w:right w:val="single" w:color="auto" w:sz="4" w:space="0"/>
                  </w:tcBorders>
                  <w:vAlign w:val="center"/>
                </w:tcPr>
                <w:p w14:paraId="0AF9D0F4">
                  <w:pPr>
                    <w:adjustRightInd w:val="0"/>
                    <w:snapToGrid w:val="0"/>
                    <w:jc w:val="center"/>
                    <w:rPr>
                      <w:color w:val="auto"/>
                    </w:rPr>
                  </w:pPr>
                  <w:r>
                    <w:rPr>
                      <w:rFonts w:hint="eastAsia"/>
                      <w:color w:val="auto"/>
                    </w:rPr>
                    <w:t>/</w:t>
                  </w:r>
                </w:p>
              </w:tc>
              <w:tc>
                <w:tcPr>
                  <w:tcW w:w="2277" w:type="dxa"/>
                  <w:tcBorders>
                    <w:top w:val="single" w:color="auto" w:sz="4" w:space="0"/>
                    <w:left w:val="single" w:color="auto" w:sz="4" w:space="0"/>
                    <w:bottom w:val="single" w:color="auto" w:sz="4" w:space="0"/>
                    <w:right w:val="single" w:color="auto" w:sz="4" w:space="0"/>
                  </w:tcBorders>
                  <w:vAlign w:val="center"/>
                </w:tcPr>
                <w:p w14:paraId="0C97E3D5">
                  <w:pPr>
                    <w:adjustRightInd w:val="0"/>
                    <w:snapToGrid w:val="0"/>
                    <w:jc w:val="center"/>
                    <w:rPr>
                      <w:color w:val="auto"/>
                    </w:rPr>
                  </w:pPr>
                  <w:r>
                    <w:rPr>
                      <w:rFonts w:hint="eastAsia"/>
                      <w:color w:val="auto"/>
                    </w:rPr>
                    <w:t>150</w:t>
                  </w:r>
                </w:p>
              </w:tc>
            </w:tr>
            <w:tr w14:paraId="518E0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4893A30A">
                  <w:pPr>
                    <w:adjustRightInd w:val="0"/>
                    <w:snapToGrid w:val="0"/>
                    <w:jc w:val="center"/>
                    <w:rPr>
                      <w:bCs/>
                      <w:color w:val="auto"/>
                      <w:szCs w:val="21"/>
                    </w:rPr>
                  </w:pPr>
                  <w:r>
                    <w:rPr>
                      <w:rFonts w:hint="eastAsia"/>
                      <w:bCs/>
                      <w:color w:val="auto"/>
                      <w:szCs w:val="21"/>
                    </w:rPr>
                    <w:t>SS</w:t>
                  </w:r>
                </w:p>
              </w:tc>
              <w:tc>
                <w:tcPr>
                  <w:tcW w:w="2386" w:type="dxa"/>
                  <w:tcBorders>
                    <w:top w:val="single" w:color="auto" w:sz="4" w:space="0"/>
                    <w:left w:val="single" w:color="auto" w:sz="4" w:space="0"/>
                    <w:bottom w:val="single" w:color="auto" w:sz="4" w:space="0"/>
                    <w:right w:val="single" w:color="auto" w:sz="4" w:space="0"/>
                  </w:tcBorders>
                  <w:vAlign w:val="center"/>
                </w:tcPr>
                <w:p w14:paraId="650EFFE4">
                  <w:pPr>
                    <w:adjustRightInd w:val="0"/>
                    <w:snapToGrid w:val="0"/>
                    <w:jc w:val="center"/>
                    <w:rPr>
                      <w:color w:val="auto"/>
                    </w:rPr>
                  </w:pPr>
                  <w:r>
                    <w:rPr>
                      <w:rFonts w:hint="eastAsia"/>
                      <w:color w:val="auto"/>
                    </w:rPr>
                    <w:t>400</w:t>
                  </w:r>
                </w:p>
              </w:tc>
              <w:tc>
                <w:tcPr>
                  <w:tcW w:w="2272" w:type="dxa"/>
                  <w:tcBorders>
                    <w:top w:val="single" w:color="auto" w:sz="4" w:space="0"/>
                    <w:left w:val="single" w:color="auto" w:sz="4" w:space="0"/>
                    <w:bottom w:val="single" w:color="auto" w:sz="4" w:space="0"/>
                    <w:right w:val="single" w:color="auto" w:sz="4" w:space="0"/>
                  </w:tcBorders>
                  <w:vAlign w:val="center"/>
                </w:tcPr>
                <w:p w14:paraId="01D6C473">
                  <w:pPr>
                    <w:adjustRightInd w:val="0"/>
                    <w:snapToGrid w:val="0"/>
                    <w:jc w:val="center"/>
                    <w:rPr>
                      <w:color w:val="auto"/>
                    </w:rPr>
                  </w:pPr>
                  <w:r>
                    <w:rPr>
                      <w:rFonts w:hint="eastAsia"/>
                      <w:color w:val="auto"/>
                    </w:rPr>
                    <w:t>/</w:t>
                  </w:r>
                </w:p>
              </w:tc>
              <w:tc>
                <w:tcPr>
                  <w:tcW w:w="2277" w:type="dxa"/>
                  <w:tcBorders>
                    <w:top w:val="single" w:color="auto" w:sz="4" w:space="0"/>
                    <w:left w:val="single" w:color="auto" w:sz="4" w:space="0"/>
                    <w:bottom w:val="single" w:color="auto" w:sz="4" w:space="0"/>
                    <w:right w:val="single" w:color="auto" w:sz="4" w:space="0"/>
                  </w:tcBorders>
                  <w:vAlign w:val="center"/>
                </w:tcPr>
                <w:p w14:paraId="6FE28A31">
                  <w:pPr>
                    <w:adjustRightInd w:val="0"/>
                    <w:snapToGrid w:val="0"/>
                    <w:jc w:val="center"/>
                    <w:rPr>
                      <w:color w:val="auto"/>
                    </w:rPr>
                  </w:pPr>
                  <w:r>
                    <w:rPr>
                      <w:rFonts w:hint="eastAsia"/>
                      <w:color w:val="auto"/>
                    </w:rPr>
                    <w:t>150</w:t>
                  </w:r>
                </w:p>
              </w:tc>
            </w:tr>
            <w:tr w14:paraId="1C379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0FB04218">
                  <w:pPr>
                    <w:adjustRightInd w:val="0"/>
                    <w:snapToGrid w:val="0"/>
                    <w:jc w:val="center"/>
                    <w:rPr>
                      <w:bCs/>
                      <w:color w:val="auto"/>
                      <w:szCs w:val="21"/>
                    </w:rPr>
                  </w:pPr>
                  <w:r>
                    <w:rPr>
                      <w:rFonts w:hint="eastAsia"/>
                      <w:bCs/>
                      <w:color w:val="auto"/>
                      <w:szCs w:val="21"/>
                    </w:rPr>
                    <w:t>TP</w:t>
                  </w:r>
                </w:p>
              </w:tc>
              <w:tc>
                <w:tcPr>
                  <w:tcW w:w="2386" w:type="dxa"/>
                  <w:tcBorders>
                    <w:top w:val="single" w:color="auto" w:sz="4" w:space="0"/>
                    <w:left w:val="single" w:color="auto" w:sz="4" w:space="0"/>
                    <w:bottom w:val="single" w:color="auto" w:sz="4" w:space="0"/>
                    <w:right w:val="single" w:color="auto" w:sz="4" w:space="0"/>
                  </w:tcBorders>
                  <w:vAlign w:val="center"/>
                </w:tcPr>
                <w:p w14:paraId="453115AC">
                  <w:pPr>
                    <w:adjustRightInd w:val="0"/>
                    <w:snapToGrid w:val="0"/>
                    <w:jc w:val="center"/>
                    <w:rPr>
                      <w:color w:val="auto"/>
                    </w:rPr>
                  </w:pPr>
                  <w:r>
                    <w:rPr>
                      <w:rFonts w:hint="eastAsia"/>
                      <w:color w:val="auto"/>
                    </w:rPr>
                    <w:t>/</w:t>
                  </w:r>
                </w:p>
              </w:tc>
              <w:tc>
                <w:tcPr>
                  <w:tcW w:w="2272" w:type="dxa"/>
                  <w:tcBorders>
                    <w:top w:val="single" w:color="auto" w:sz="4" w:space="0"/>
                    <w:left w:val="single" w:color="auto" w:sz="4" w:space="0"/>
                    <w:bottom w:val="single" w:color="auto" w:sz="4" w:space="0"/>
                    <w:right w:val="single" w:color="auto" w:sz="4" w:space="0"/>
                  </w:tcBorders>
                  <w:vAlign w:val="center"/>
                </w:tcPr>
                <w:p w14:paraId="33B357D4">
                  <w:pPr>
                    <w:adjustRightInd w:val="0"/>
                    <w:snapToGrid w:val="0"/>
                    <w:jc w:val="center"/>
                    <w:rPr>
                      <w:color w:val="auto"/>
                    </w:rPr>
                  </w:pPr>
                  <w:r>
                    <w:rPr>
                      <w:rFonts w:hint="eastAsia"/>
                      <w:color w:val="auto"/>
                    </w:rPr>
                    <w:t>8</w:t>
                  </w:r>
                </w:p>
              </w:tc>
              <w:tc>
                <w:tcPr>
                  <w:tcW w:w="2277" w:type="dxa"/>
                  <w:tcBorders>
                    <w:top w:val="single" w:color="auto" w:sz="4" w:space="0"/>
                    <w:left w:val="single" w:color="auto" w:sz="4" w:space="0"/>
                    <w:bottom w:val="single" w:color="auto" w:sz="4" w:space="0"/>
                    <w:right w:val="single" w:color="auto" w:sz="4" w:space="0"/>
                  </w:tcBorders>
                  <w:vAlign w:val="center"/>
                </w:tcPr>
                <w:p w14:paraId="0BB44F71">
                  <w:pPr>
                    <w:adjustRightInd w:val="0"/>
                    <w:snapToGrid w:val="0"/>
                    <w:jc w:val="center"/>
                    <w:rPr>
                      <w:color w:val="auto"/>
                    </w:rPr>
                  </w:pPr>
                  <w:r>
                    <w:rPr>
                      <w:rFonts w:hint="eastAsia"/>
                      <w:color w:val="auto"/>
                    </w:rPr>
                    <w:t>2</w:t>
                  </w:r>
                </w:p>
              </w:tc>
            </w:tr>
            <w:tr w14:paraId="107EB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0F25C3BD">
                  <w:pPr>
                    <w:adjustRightInd w:val="0"/>
                    <w:snapToGrid w:val="0"/>
                    <w:jc w:val="center"/>
                    <w:rPr>
                      <w:bCs/>
                      <w:color w:val="auto"/>
                      <w:szCs w:val="21"/>
                    </w:rPr>
                  </w:pPr>
                  <w:r>
                    <w:rPr>
                      <w:rFonts w:hint="eastAsia"/>
                      <w:bCs/>
                      <w:color w:val="auto"/>
                      <w:szCs w:val="21"/>
                    </w:rPr>
                    <w:t>NH</w:t>
                  </w:r>
                  <w:r>
                    <w:rPr>
                      <w:rFonts w:hint="eastAsia"/>
                      <w:bCs/>
                      <w:color w:val="auto"/>
                      <w:szCs w:val="21"/>
                      <w:vertAlign w:val="subscript"/>
                    </w:rPr>
                    <w:t>3</w:t>
                  </w:r>
                  <w:r>
                    <w:rPr>
                      <w:rFonts w:hint="eastAsia"/>
                      <w:bCs/>
                      <w:color w:val="auto"/>
                      <w:szCs w:val="21"/>
                    </w:rPr>
                    <w:t>-N</w:t>
                  </w:r>
                </w:p>
              </w:tc>
              <w:tc>
                <w:tcPr>
                  <w:tcW w:w="2386" w:type="dxa"/>
                  <w:tcBorders>
                    <w:top w:val="single" w:color="auto" w:sz="4" w:space="0"/>
                    <w:left w:val="single" w:color="auto" w:sz="4" w:space="0"/>
                    <w:bottom w:val="single" w:color="auto" w:sz="4" w:space="0"/>
                    <w:right w:val="single" w:color="auto" w:sz="4" w:space="0"/>
                  </w:tcBorders>
                  <w:vAlign w:val="center"/>
                </w:tcPr>
                <w:p w14:paraId="0F05D259">
                  <w:pPr>
                    <w:adjustRightInd w:val="0"/>
                    <w:snapToGrid w:val="0"/>
                    <w:jc w:val="center"/>
                    <w:rPr>
                      <w:color w:val="auto"/>
                    </w:rPr>
                  </w:pPr>
                  <w:r>
                    <w:rPr>
                      <w:rFonts w:hint="eastAsia"/>
                      <w:color w:val="auto"/>
                    </w:rPr>
                    <w:t>/</w:t>
                  </w:r>
                </w:p>
              </w:tc>
              <w:tc>
                <w:tcPr>
                  <w:tcW w:w="2272" w:type="dxa"/>
                  <w:tcBorders>
                    <w:top w:val="single" w:color="auto" w:sz="4" w:space="0"/>
                    <w:left w:val="single" w:color="auto" w:sz="4" w:space="0"/>
                    <w:bottom w:val="single" w:color="auto" w:sz="4" w:space="0"/>
                    <w:right w:val="single" w:color="auto" w:sz="4" w:space="0"/>
                  </w:tcBorders>
                  <w:vAlign w:val="center"/>
                </w:tcPr>
                <w:p w14:paraId="0AA19D5F">
                  <w:pPr>
                    <w:adjustRightInd w:val="0"/>
                    <w:snapToGrid w:val="0"/>
                    <w:jc w:val="center"/>
                    <w:rPr>
                      <w:color w:val="auto"/>
                    </w:rPr>
                  </w:pPr>
                  <w:r>
                    <w:rPr>
                      <w:rFonts w:hint="eastAsia"/>
                      <w:color w:val="auto"/>
                    </w:rPr>
                    <w:t>35</w:t>
                  </w:r>
                </w:p>
              </w:tc>
              <w:tc>
                <w:tcPr>
                  <w:tcW w:w="2277" w:type="dxa"/>
                  <w:tcBorders>
                    <w:top w:val="single" w:color="auto" w:sz="4" w:space="0"/>
                    <w:left w:val="single" w:color="auto" w:sz="4" w:space="0"/>
                    <w:bottom w:val="single" w:color="auto" w:sz="4" w:space="0"/>
                    <w:right w:val="single" w:color="auto" w:sz="4" w:space="0"/>
                  </w:tcBorders>
                  <w:vAlign w:val="center"/>
                </w:tcPr>
                <w:p w14:paraId="3B710F67">
                  <w:pPr>
                    <w:adjustRightInd w:val="0"/>
                    <w:snapToGrid w:val="0"/>
                    <w:jc w:val="center"/>
                    <w:rPr>
                      <w:color w:val="auto"/>
                    </w:rPr>
                  </w:pPr>
                  <w:r>
                    <w:rPr>
                      <w:rFonts w:hint="eastAsia"/>
                      <w:color w:val="auto"/>
                    </w:rPr>
                    <w:t>20</w:t>
                  </w:r>
                </w:p>
              </w:tc>
            </w:tr>
            <w:tr w14:paraId="6A8E2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745F070B">
                  <w:pPr>
                    <w:adjustRightInd w:val="0"/>
                    <w:snapToGrid w:val="0"/>
                    <w:jc w:val="center"/>
                    <w:rPr>
                      <w:bCs/>
                      <w:color w:val="auto"/>
                      <w:szCs w:val="21"/>
                    </w:rPr>
                  </w:pPr>
                  <w:r>
                    <w:rPr>
                      <w:rFonts w:hint="eastAsia"/>
                      <w:bCs/>
                      <w:color w:val="auto"/>
                      <w:szCs w:val="21"/>
                    </w:rPr>
                    <w:t>动植物油</w:t>
                  </w:r>
                </w:p>
              </w:tc>
              <w:tc>
                <w:tcPr>
                  <w:tcW w:w="2386" w:type="dxa"/>
                  <w:tcBorders>
                    <w:top w:val="single" w:color="auto" w:sz="4" w:space="0"/>
                    <w:left w:val="single" w:color="auto" w:sz="4" w:space="0"/>
                    <w:bottom w:val="single" w:color="auto" w:sz="4" w:space="0"/>
                    <w:right w:val="single" w:color="auto" w:sz="4" w:space="0"/>
                  </w:tcBorders>
                  <w:vAlign w:val="center"/>
                </w:tcPr>
                <w:p w14:paraId="59B2C6BF">
                  <w:pPr>
                    <w:adjustRightInd w:val="0"/>
                    <w:snapToGrid w:val="0"/>
                    <w:jc w:val="center"/>
                    <w:rPr>
                      <w:color w:val="auto"/>
                    </w:rPr>
                  </w:pPr>
                  <w:r>
                    <w:rPr>
                      <w:rFonts w:hint="eastAsia"/>
                      <w:color w:val="auto"/>
                    </w:rPr>
                    <w:t>100</w:t>
                  </w:r>
                </w:p>
              </w:tc>
              <w:tc>
                <w:tcPr>
                  <w:tcW w:w="2272" w:type="dxa"/>
                  <w:tcBorders>
                    <w:top w:val="single" w:color="auto" w:sz="4" w:space="0"/>
                    <w:left w:val="single" w:color="auto" w:sz="4" w:space="0"/>
                    <w:bottom w:val="single" w:color="auto" w:sz="4" w:space="0"/>
                    <w:right w:val="single" w:color="auto" w:sz="4" w:space="0"/>
                  </w:tcBorders>
                  <w:vAlign w:val="center"/>
                </w:tcPr>
                <w:p w14:paraId="3ED8572F">
                  <w:pPr>
                    <w:adjustRightInd w:val="0"/>
                    <w:snapToGrid w:val="0"/>
                    <w:jc w:val="center"/>
                    <w:rPr>
                      <w:color w:val="auto"/>
                    </w:rPr>
                  </w:pPr>
                  <w:r>
                    <w:rPr>
                      <w:rFonts w:hint="eastAsia"/>
                      <w:color w:val="auto"/>
                    </w:rPr>
                    <w:t>/</w:t>
                  </w:r>
                </w:p>
              </w:tc>
              <w:tc>
                <w:tcPr>
                  <w:tcW w:w="2277" w:type="dxa"/>
                  <w:tcBorders>
                    <w:top w:val="single" w:color="auto" w:sz="4" w:space="0"/>
                    <w:left w:val="single" w:color="auto" w:sz="4" w:space="0"/>
                    <w:bottom w:val="single" w:color="auto" w:sz="4" w:space="0"/>
                    <w:right w:val="single" w:color="auto" w:sz="4" w:space="0"/>
                  </w:tcBorders>
                  <w:vAlign w:val="center"/>
                </w:tcPr>
                <w:p w14:paraId="50341CCD">
                  <w:pPr>
                    <w:adjustRightInd w:val="0"/>
                    <w:snapToGrid w:val="0"/>
                    <w:jc w:val="center"/>
                    <w:rPr>
                      <w:color w:val="auto"/>
                    </w:rPr>
                  </w:pPr>
                  <w:r>
                    <w:rPr>
                      <w:rFonts w:hint="eastAsia"/>
                      <w:color w:val="auto"/>
                    </w:rPr>
                    <w:t>/</w:t>
                  </w:r>
                </w:p>
              </w:tc>
            </w:tr>
          </w:tbl>
          <w:p w14:paraId="186E0317">
            <w:pPr>
              <w:spacing w:line="440" w:lineRule="exact"/>
              <w:ind w:firstLine="480" w:firstLineChars="200"/>
              <w:rPr>
                <w:color w:val="auto"/>
                <w:sz w:val="24"/>
              </w:rPr>
            </w:pPr>
            <w:r>
              <w:rPr>
                <w:bCs/>
                <w:color w:val="auto"/>
                <w:sz w:val="24"/>
              </w:rPr>
              <w:t>安吉净源污水处理有限公司城北污水处理厂尾水排放执行</w:t>
            </w:r>
            <w:r>
              <w:rPr>
                <w:color w:val="auto"/>
                <w:sz w:val="24"/>
                <w:lang w:val="zh-CN"/>
              </w:rPr>
              <w:t>《城镇污水处理厂污染物排放标准》(GB18918-2002)中的一级标准中A标准</w:t>
            </w:r>
            <w:r>
              <w:rPr>
                <w:color w:val="auto"/>
                <w:sz w:val="24"/>
              </w:rPr>
              <w:t>，见表</w:t>
            </w:r>
            <w:r>
              <w:rPr>
                <w:rFonts w:hint="eastAsia"/>
                <w:color w:val="auto"/>
                <w:sz w:val="24"/>
              </w:rPr>
              <w:t>3</w:t>
            </w:r>
            <w:r>
              <w:rPr>
                <w:color w:val="auto"/>
                <w:sz w:val="24"/>
              </w:rPr>
              <w:t>-</w:t>
            </w:r>
            <w:r>
              <w:rPr>
                <w:rFonts w:hint="eastAsia"/>
                <w:color w:val="auto"/>
                <w:sz w:val="24"/>
              </w:rPr>
              <w:t>9</w:t>
            </w:r>
            <w:r>
              <w:rPr>
                <w:color w:val="auto"/>
                <w:sz w:val="24"/>
              </w:rPr>
              <w:t>。</w:t>
            </w:r>
          </w:p>
          <w:p w14:paraId="40765F50">
            <w:pPr>
              <w:spacing w:line="440" w:lineRule="exact"/>
              <w:jc w:val="center"/>
              <w:rPr>
                <w:b/>
                <w:color w:val="auto"/>
                <w:szCs w:val="21"/>
              </w:rPr>
            </w:pPr>
            <w:r>
              <w:rPr>
                <w:b/>
                <w:color w:val="auto"/>
                <w:szCs w:val="21"/>
              </w:rPr>
              <w:t>表</w:t>
            </w:r>
            <w:r>
              <w:rPr>
                <w:rFonts w:hint="eastAsia"/>
                <w:b/>
                <w:color w:val="auto"/>
                <w:szCs w:val="21"/>
              </w:rPr>
              <w:t>3</w:t>
            </w:r>
            <w:r>
              <w:rPr>
                <w:b/>
                <w:color w:val="auto"/>
                <w:szCs w:val="21"/>
              </w:rPr>
              <w:t>-</w:t>
            </w:r>
            <w:r>
              <w:rPr>
                <w:rFonts w:hint="eastAsia"/>
                <w:b/>
                <w:color w:val="auto"/>
                <w:szCs w:val="21"/>
              </w:rPr>
              <w:t>9</w:t>
            </w:r>
            <w:r>
              <w:rPr>
                <w:b/>
                <w:color w:val="auto"/>
                <w:szCs w:val="21"/>
              </w:rPr>
              <w:t xml:space="preserve">  GB18918-2002《城镇污水处理厂污染物排放标准》一级标准</w:t>
            </w:r>
          </w:p>
          <w:p w14:paraId="1CE3501B">
            <w:pPr>
              <w:jc w:val="right"/>
              <w:rPr>
                <w:color w:val="auto"/>
              </w:rPr>
            </w:pPr>
            <w:r>
              <w:rPr>
                <w:color w:val="auto"/>
              </w:rPr>
              <w:t>单位：mg/L（pH除外）</w:t>
            </w:r>
          </w:p>
          <w:tbl>
            <w:tblPr>
              <w:tblStyle w:val="37"/>
              <w:tblW w:w="850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63"/>
              <w:gridCol w:w="1064"/>
              <w:gridCol w:w="1063"/>
              <w:gridCol w:w="1063"/>
              <w:gridCol w:w="1063"/>
              <w:gridCol w:w="1063"/>
              <w:gridCol w:w="1063"/>
              <w:gridCol w:w="1063"/>
            </w:tblGrid>
            <w:tr w14:paraId="741CB9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063" w:type="dxa"/>
                  <w:vAlign w:val="center"/>
                </w:tcPr>
                <w:p w14:paraId="28CFEE4F">
                  <w:pPr>
                    <w:adjustRightInd w:val="0"/>
                    <w:snapToGrid w:val="0"/>
                    <w:jc w:val="center"/>
                    <w:rPr>
                      <w:b/>
                      <w:color w:val="auto"/>
                      <w:szCs w:val="21"/>
                    </w:rPr>
                  </w:pPr>
                  <w:r>
                    <w:rPr>
                      <w:b/>
                      <w:color w:val="auto"/>
                      <w:szCs w:val="21"/>
                    </w:rPr>
                    <w:t>项  目</w:t>
                  </w:r>
                </w:p>
              </w:tc>
              <w:tc>
                <w:tcPr>
                  <w:tcW w:w="1064" w:type="dxa"/>
                  <w:vAlign w:val="center"/>
                </w:tcPr>
                <w:p w14:paraId="384AD38F">
                  <w:pPr>
                    <w:adjustRightInd w:val="0"/>
                    <w:snapToGrid w:val="0"/>
                    <w:jc w:val="center"/>
                    <w:rPr>
                      <w:bCs/>
                      <w:color w:val="auto"/>
                      <w:szCs w:val="21"/>
                    </w:rPr>
                  </w:pPr>
                  <w:r>
                    <w:rPr>
                      <w:bCs/>
                      <w:color w:val="auto"/>
                      <w:szCs w:val="21"/>
                    </w:rPr>
                    <w:t>pH</w:t>
                  </w:r>
                </w:p>
              </w:tc>
              <w:tc>
                <w:tcPr>
                  <w:tcW w:w="1063" w:type="dxa"/>
                  <w:vAlign w:val="center"/>
                </w:tcPr>
                <w:p w14:paraId="62C89086">
                  <w:pPr>
                    <w:adjustRightInd w:val="0"/>
                    <w:snapToGrid w:val="0"/>
                    <w:jc w:val="center"/>
                    <w:rPr>
                      <w:bCs/>
                      <w:color w:val="auto"/>
                      <w:szCs w:val="21"/>
                    </w:rPr>
                  </w:pPr>
                  <w:r>
                    <w:rPr>
                      <w:bCs/>
                      <w:color w:val="auto"/>
                      <w:szCs w:val="21"/>
                    </w:rPr>
                    <w:t>COD</w:t>
                  </w:r>
                  <w:r>
                    <w:rPr>
                      <w:bCs/>
                      <w:color w:val="auto"/>
                      <w:szCs w:val="21"/>
                      <w:vertAlign w:val="subscript"/>
                    </w:rPr>
                    <w:t>Cr</w:t>
                  </w:r>
                </w:p>
              </w:tc>
              <w:tc>
                <w:tcPr>
                  <w:tcW w:w="1063" w:type="dxa"/>
                  <w:vAlign w:val="center"/>
                </w:tcPr>
                <w:p w14:paraId="6223E328">
                  <w:pPr>
                    <w:adjustRightInd w:val="0"/>
                    <w:snapToGrid w:val="0"/>
                    <w:jc w:val="center"/>
                    <w:rPr>
                      <w:bCs/>
                      <w:color w:val="auto"/>
                      <w:szCs w:val="21"/>
                    </w:rPr>
                  </w:pPr>
                  <w:r>
                    <w:rPr>
                      <w:bCs/>
                      <w:color w:val="auto"/>
                      <w:szCs w:val="21"/>
                    </w:rPr>
                    <w:t>BOD</w:t>
                  </w:r>
                  <w:r>
                    <w:rPr>
                      <w:bCs/>
                      <w:color w:val="auto"/>
                      <w:szCs w:val="21"/>
                      <w:vertAlign w:val="subscript"/>
                    </w:rPr>
                    <w:t>5</w:t>
                  </w:r>
                </w:p>
              </w:tc>
              <w:tc>
                <w:tcPr>
                  <w:tcW w:w="1063" w:type="dxa"/>
                  <w:vAlign w:val="center"/>
                </w:tcPr>
                <w:p w14:paraId="6CFBF471">
                  <w:pPr>
                    <w:adjustRightInd w:val="0"/>
                    <w:snapToGrid w:val="0"/>
                    <w:jc w:val="center"/>
                    <w:rPr>
                      <w:bCs/>
                      <w:color w:val="auto"/>
                      <w:szCs w:val="21"/>
                    </w:rPr>
                  </w:pPr>
                  <w:r>
                    <w:rPr>
                      <w:bCs/>
                      <w:color w:val="auto"/>
                      <w:szCs w:val="21"/>
                    </w:rPr>
                    <w:t>SS</w:t>
                  </w:r>
                </w:p>
              </w:tc>
              <w:tc>
                <w:tcPr>
                  <w:tcW w:w="1063" w:type="dxa"/>
                  <w:vAlign w:val="center"/>
                </w:tcPr>
                <w:p w14:paraId="55E44EE4">
                  <w:pPr>
                    <w:pStyle w:val="139"/>
                    <w:snapToGrid/>
                    <w:rPr>
                      <w:bCs/>
                      <w:color w:val="auto"/>
                      <w:spacing w:val="0"/>
                      <w:szCs w:val="21"/>
                    </w:rPr>
                  </w:pPr>
                  <w:r>
                    <w:rPr>
                      <w:bCs/>
                      <w:color w:val="auto"/>
                      <w:spacing w:val="0"/>
                      <w:szCs w:val="21"/>
                    </w:rPr>
                    <w:t>NH</w:t>
                  </w:r>
                  <w:r>
                    <w:rPr>
                      <w:bCs/>
                      <w:color w:val="auto"/>
                      <w:spacing w:val="0"/>
                      <w:szCs w:val="21"/>
                      <w:vertAlign w:val="subscript"/>
                    </w:rPr>
                    <w:t>3</w:t>
                  </w:r>
                  <w:r>
                    <w:rPr>
                      <w:bCs/>
                      <w:color w:val="auto"/>
                      <w:spacing w:val="0"/>
                      <w:szCs w:val="21"/>
                    </w:rPr>
                    <w:t>-N</w:t>
                  </w:r>
                </w:p>
              </w:tc>
              <w:tc>
                <w:tcPr>
                  <w:tcW w:w="1063" w:type="dxa"/>
                  <w:vAlign w:val="center"/>
                </w:tcPr>
                <w:p w14:paraId="3C833040">
                  <w:pPr>
                    <w:pStyle w:val="139"/>
                    <w:snapToGrid/>
                    <w:rPr>
                      <w:color w:val="auto"/>
                      <w:szCs w:val="21"/>
                    </w:rPr>
                  </w:pPr>
                  <w:r>
                    <w:rPr>
                      <w:rFonts w:hint="eastAsia"/>
                      <w:color w:val="auto"/>
                      <w:szCs w:val="21"/>
                    </w:rPr>
                    <w:t>总磷</w:t>
                  </w:r>
                </w:p>
                <w:p w14:paraId="32113503">
                  <w:pPr>
                    <w:pStyle w:val="139"/>
                    <w:snapToGrid/>
                    <w:rPr>
                      <w:bCs/>
                      <w:color w:val="auto"/>
                      <w:spacing w:val="0"/>
                      <w:szCs w:val="21"/>
                    </w:rPr>
                  </w:pPr>
                  <w:r>
                    <w:rPr>
                      <w:color w:val="auto"/>
                      <w:szCs w:val="21"/>
                    </w:rPr>
                    <w:t>(以P计)</w:t>
                  </w:r>
                </w:p>
              </w:tc>
              <w:tc>
                <w:tcPr>
                  <w:tcW w:w="1063" w:type="dxa"/>
                  <w:vAlign w:val="center"/>
                </w:tcPr>
                <w:p w14:paraId="3E5E0C4D">
                  <w:pPr>
                    <w:pStyle w:val="139"/>
                    <w:snapToGrid/>
                    <w:rPr>
                      <w:bCs/>
                      <w:color w:val="auto"/>
                      <w:spacing w:val="0"/>
                      <w:szCs w:val="21"/>
                    </w:rPr>
                  </w:pPr>
                  <w:r>
                    <w:rPr>
                      <w:bCs/>
                      <w:color w:val="auto"/>
                      <w:spacing w:val="0"/>
                      <w:szCs w:val="21"/>
                    </w:rPr>
                    <w:t>石油类</w:t>
                  </w:r>
                </w:p>
              </w:tc>
            </w:tr>
            <w:tr w14:paraId="2F7F99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063" w:type="dxa"/>
                  <w:vAlign w:val="center"/>
                </w:tcPr>
                <w:p w14:paraId="0EDC1F66">
                  <w:pPr>
                    <w:adjustRightInd w:val="0"/>
                    <w:snapToGrid w:val="0"/>
                    <w:jc w:val="center"/>
                    <w:rPr>
                      <w:b/>
                      <w:color w:val="auto"/>
                    </w:rPr>
                  </w:pPr>
                  <w:r>
                    <w:rPr>
                      <w:b/>
                      <w:color w:val="auto"/>
                    </w:rPr>
                    <w:t>标准值</w:t>
                  </w:r>
                </w:p>
              </w:tc>
              <w:tc>
                <w:tcPr>
                  <w:tcW w:w="1064" w:type="dxa"/>
                  <w:vAlign w:val="center"/>
                </w:tcPr>
                <w:p w14:paraId="6F623938">
                  <w:pPr>
                    <w:jc w:val="center"/>
                    <w:rPr>
                      <w:color w:val="auto"/>
                    </w:rPr>
                  </w:pPr>
                  <w:r>
                    <w:rPr>
                      <w:color w:val="auto"/>
                    </w:rPr>
                    <w:t>6～9</w:t>
                  </w:r>
                </w:p>
              </w:tc>
              <w:tc>
                <w:tcPr>
                  <w:tcW w:w="1063" w:type="dxa"/>
                  <w:vAlign w:val="center"/>
                </w:tcPr>
                <w:p w14:paraId="56CE443B">
                  <w:pPr>
                    <w:jc w:val="center"/>
                    <w:rPr>
                      <w:color w:val="auto"/>
                    </w:rPr>
                  </w:pPr>
                  <w:r>
                    <w:rPr>
                      <w:color w:val="auto"/>
                    </w:rPr>
                    <w:t>≤</w:t>
                  </w:r>
                  <w:r>
                    <w:rPr>
                      <w:rFonts w:hint="eastAsia"/>
                      <w:color w:val="auto"/>
                    </w:rPr>
                    <w:t>5</w:t>
                  </w:r>
                  <w:r>
                    <w:rPr>
                      <w:color w:val="auto"/>
                    </w:rPr>
                    <w:t>0</w:t>
                  </w:r>
                </w:p>
              </w:tc>
              <w:tc>
                <w:tcPr>
                  <w:tcW w:w="1063" w:type="dxa"/>
                  <w:vAlign w:val="center"/>
                </w:tcPr>
                <w:p w14:paraId="77984B47">
                  <w:pPr>
                    <w:jc w:val="center"/>
                    <w:rPr>
                      <w:color w:val="auto"/>
                    </w:rPr>
                  </w:pPr>
                  <w:r>
                    <w:rPr>
                      <w:color w:val="auto"/>
                    </w:rPr>
                    <w:t>≤10</w:t>
                  </w:r>
                </w:p>
              </w:tc>
              <w:tc>
                <w:tcPr>
                  <w:tcW w:w="1063" w:type="dxa"/>
                  <w:vAlign w:val="center"/>
                </w:tcPr>
                <w:p w14:paraId="798A5DDF">
                  <w:pPr>
                    <w:jc w:val="center"/>
                    <w:rPr>
                      <w:color w:val="auto"/>
                    </w:rPr>
                  </w:pPr>
                  <w:r>
                    <w:rPr>
                      <w:color w:val="auto"/>
                    </w:rPr>
                    <w:t>≤10</w:t>
                  </w:r>
                </w:p>
              </w:tc>
              <w:tc>
                <w:tcPr>
                  <w:tcW w:w="1063" w:type="dxa"/>
                  <w:vAlign w:val="center"/>
                </w:tcPr>
                <w:p w14:paraId="6A7327AA">
                  <w:pPr>
                    <w:adjustRightInd w:val="0"/>
                    <w:snapToGrid w:val="0"/>
                    <w:jc w:val="center"/>
                    <w:rPr>
                      <w:color w:val="auto"/>
                    </w:rPr>
                  </w:pPr>
                  <w:r>
                    <w:rPr>
                      <w:color w:val="auto"/>
                    </w:rPr>
                    <w:t>≤5(8)</w:t>
                  </w:r>
                </w:p>
              </w:tc>
              <w:tc>
                <w:tcPr>
                  <w:tcW w:w="1063" w:type="dxa"/>
                  <w:vAlign w:val="center"/>
                </w:tcPr>
                <w:p w14:paraId="3D67687D">
                  <w:pPr>
                    <w:adjustRightInd w:val="0"/>
                    <w:snapToGrid w:val="0"/>
                    <w:jc w:val="center"/>
                    <w:rPr>
                      <w:color w:val="auto"/>
                    </w:rPr>
                  </w:pPr>
                  <w:r>
                    <w:rPr>
                      <w:color w:val="auto"/>
                    </w:rPr>
                    <w:t>≤0.5</w:t>
                  </w:r>
                </w:p>
              </w:tc>
              <w:tc>
                <w:tcPr>
                  <w:tcW w:w="1063" w:type="dxa"/>
                  <w:vAlign w:val="center"/>
                </w:tcPr>
                <w:p w14:paraId="7DD32682">
                  <w:pPr>
                    <w:adjustRightInd w:val="0"/>
                    <w:snapToGrid w:val="0"/>
                    <w:jc w:val="center"/>
                    <w:rPr>
                      <w:color w:val="auto"/>
                    </w:rPr>
                  </w:pPr>
                  <w:r>
                    <w:rPr>
                      <w:color w:val="auto"/>
                    </w:rPr>
                    <w:t>≤1</w:t>
                  </w:r>
                </w:p>
              </w:tc>
            </w:tr>
          </w:tbl>
          <w:p w14:paraId="1825F934">
            <w:pPr>
              <w:adjustRightInd w:val="0"/>
              <w:snapToGrid w:val="0"/>
              <w:rPr>
                <w:bCs/>
                <w:color w:val="auto"/>
                <w:szCs w:val="21"/>
              </w:rPr>
            </w:pPr>
            <w:r>
              <w:rPr>
                <w:color w:val="auto"/>
                <w:szCs w:val="21"/>
              </w:rPr>
              <w:t>注：括号外数值为水温＞12</w:t>
            </w:r>
            <w:r>
              <w:rPr>
                <w:rFonts w:hint="eastAsia" w:ascii="宋体" w:hAnsi="宋体" w:cs="宋体"/>
                <w:bCs/>
                <w:color w:val="auto"/>
                <w:szCs w:val="21"/>
              </w:rPr>
              <w:t>℃</w:t>
            </w:r>
            <w:r>
              <w:rPr>
                <w:bCs/>
                <w:color w:val="auto"/>
                <w:szCs w:val="21"/>
              </w:rPr>
              <w:t>时控制指标，括号内数值为水温</w:t>
            </w:r>
            <w:r>
              <w:rPr>
                <w:color w:val="auto"/>
                <w:szCs w:val="21"/>
              </w:rPr>
              <w:t>≤12</w:t>
            </w:r>
            <w:r>
              <w:rPr>
                <w:rFonts w:hint="eastAsia" w:ascii="宋体" w:hAnsi="宋体" w:cs="宋体"/>
                <w:bCs/>
                <w:color w:val="auto"/>
                <w:szCs w:val="21"/>
              </w:rPr>
              <w:t>℃</w:t>
            </w:r>
            <w:r>
              <w:rPr>
                <w:bCs/>
                <w:color w:val="auto"/>
                <w:szCs w:val="21"/>
              </w:rPr>
              <w:t>时控制指标。</w:t>
            </w:r>
          </w:p>
          <w:p w14:paraId="1772ECEA">
            <w:pPr>
              <w:widowControl/>
              <w:spacing w:line="440" w:lineRule="exact"/>
              <w:ind w:firstLine="480" w:firstLineChars="200"/>
              <w:jc w:val="left"/>
              <w:rPr>
                <w:rFonts w:hAnsi="宋体"/>
                <w:color w:val="auto"/>
                <w:sz w:val="24"/>
              </w:rPr>
            </w:pPr>
            <w:r>
              <w:rPr>
                <w:rFonts w:hint="eastAsia" w:hAnsi="宋体"/>
                <w:color w:val="auto"/>
                <w:sz w:val="24"/>
              </w:rPr>
              <w:t>同时根据《湖州市生态环境局 湖州市住房和城乡建设局关于执行〈城镇污水处理厂主要水污染物排放标准〉DB33/2169-2018的通知》，安吉净源污水处理有限公司城北污水处理厂于</w:t>
            </w:r>
            <w:r>
              <w:rPr>
                <w:rFonts w:hint="eastAsia"/>
                <w:color w:val="auto"/>
                <w:kern w:val="0"/>
                <w:sz w:val="24"/>
                <w:szCs w:val="20"/>
              </w:rPr>
              <w:t>2023年6月起</w:t>
            </w:r>
            <w:r>
              <w:rPr>
                <w:rFonts w:hint="eastAsia" w:hAnsi="宋体"/>
                <w:color w:val="auto"/>
                <w:sz w:val="24"/>
              </w:rPr>
              <w:t>执行《城镇污水处理厂主要水污染物排放标准》DB33/2169-2018中表1标准，具体污染物标准见表3-10。</w:t>
            </w:r>
          </w:p>
          <w:p w14:paraId="2AAEF450">
            <w:pPr>
              <w:widowControl/>
              <w:spacing w:line="440" w:lineRule="exact"/>
              <w:jc w:val="center"/>
              <w:rPr>
                <w:rFonts w:hAnsi="宋体"/>
                <w:b/>
                <w:bCs/>
                <w:color w:val="auto"/>
                <w:szCs w:val="21"/>
              </w:rPr>
            </w:pPr>
          </w:p>
          <w:p w14:paraId="361E73AD">
            <w:pPr>
              <w:widowControl/>
              <w:spacing w:line="440" w:lineRule="exact"/>
              <w:jc w:val="center"/>
              <w:rPr>
                <w:rFonts w:hAnsi="宋体"/>
                <w:b/>
                <w:bCs/>
                <w:color w:val="auto"/>
                <w:szCs w:val="21"/>
              </w:rPr>
            </w:pPr>
            <w:r>
              <w:rPr>
                <w:rFonts w:hint="eastAsia" w:hAnsi="宋体"/>
                <w:b/>
                <w:bCs/>
                <w:color w:val="auto"/>
                <w:szCs w:val="21"/>
              </w:rPr>
              <w:t>表3-10  DB33/2169-2018《城镇污水处理厂主要水污染物排放标准》表1标准</w:t>
            </w:r>
          </w:p>
          <w:p w14:paraId="0DC867BE">
            <w:pPr>
              <w:jc w:val="right"/>
              <w:rPr>
                <w:color w:val="auto"/>
              </w:rPr>
            </w:pPr>
            <w:r>
              <w:rPr>
                <w:color w:val="auto"/>
              </w:rPr>
              <w:t>单位：mg/L（pH除外）</w:t>
            </w:r>
          </w:p>
          <w:tbl>
            <w:tblPr>
              <w:tblStyle w:val="37"/>
              <w:tblW w:w="850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01"/>
              <w:gridCol w:w="1701"/>
              <w:gridCol w:w="1715"/>
              <w:gridCol w:w="1549"/>
              <w:gridCol w:w="1838"/>
            </w:tblGrid>
            <w:tr w14:paraId="0AC2ED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063" w:type="dxa"/>
                  <w:vAlign w:val="center"/>
                </w:tcPr>
                <w:p w14:paraId="4469CDC5">
                  <w:pPr>
                    <w:widowControl/>
                    <w:ind w:firstLine="422" w:firstLineChars="200"/>
                    <w:jc w:val="left"/>
                    <w:rPr>
                      <w:rFonts w:hAnsi="宋体"/>
                      <w:b/>
                      <w:bCs/>
                      <w:color w:val="auto"/>
                      <w:szCs w:val="21"/>
                    </w:rPr>
                  </w:pPr>
                  <w:r>
                    <w:rPr>
                      <w:rFonts w:hint="eastAsia" w:hAnsi="宋体"/>
                      <w:b/>
                      <w:bCs/>
                      <w:color w:val="auto"/>
                      <w:szCs w:val="21"/>
                    </w:rPr>
                    <w:t>项  目</w:t>
                  </w:r>
                </w:p>
              </w:tc>
              <w:tc>
                <w:tcPr>
                  <w:tcW w:w="1063" w:type="dxa"/>
                  <w:vAlign w:val="center"/>
                </w:tcPr>
                <w:p w14:paraId="185426B7">
                  <w:pPr>
                    <w:adjustRightInd w:val="0"/>
                    <w:snapToGrid w:val="0"/>
                    <w:jc w:val="center"/>
                    <w:rPr>
                      <w:rFonts w:hAnsi="宋体"/>
                      <w:color w:val="auto"/>
                      <w:szCs w:val="21"/>
                    </w:rPr>
                  </w:pPr>
                  <w:r>
                    <w:rPr>
                      <w:rFonts w:hint="eastAsia" w:hAnsi="宋体"/>
                      <w:color w:val="auto"/>
                      <w:szCs w:val="21"/>
                    </w:rPr>
                    <w:t>COD</w:t>
                  </w:r>
                  <w:r>
                    <w:rPr>
                      <w:rFonts w:hint="eastAsia" w:hAnsi="宋体"/>
                      <w:color w:val="auto"/>
                      <w:szCs w:val="21"/>
                      <w:vertAlign w:val="subscript"/>
                    </w:rPr>
                    <w:t>Cr</w:t>
                  </w:r>
                </w:p>
              </w:tc>
              <w:tc>
                <w:tcPr>
                  <w:tcW w:w="1072" w:type="dxa"/>
                  <w:vAlign w:val="center"/>
                </w:tcPr>
                <w:p w14:paraId="5382E0DF">
                  <w:pPr>
                    <w:widowControl/>
                    <w:jc w:val="center"/>
                    <w:rPr>
                      <w:rFonts w:hAnsi="宋体"/>
                      <w:color w:val="auto"/>
                      <w:szCs w:val="21"/>
                    </w:rPr>
                  </w:pPr>
                  <w:r>
                    <w:rPr>
                      <w:rFonts w:hint="eastAsia" w:hAnsi="宋体"/>
                      <w:color w:val="auto"/>
                      <w:szCs w:val="21"/>
                    </w:rPr>
                    <w:t>氨氮</w:t>
                  </w:r>
                </w:p>
              </w:tc>
              <w:tc>
                <w:tcPr>
                  <w:tcW w:w="968" w:type="dxa"/>
                  <w:vAlign w:val="center"/>
                </w:tcPr>
                <w:p w14:paraId="36C2B018">
                  <w:pPr>
                    <w:adjustRightInd w:val="0"/>
                    <w:snapToGrid w:val="0"/>
                    <w:jc w:val="center"/>
                    <w:rPr>
                      <w:rFonts w:hAnsi="宋体"/>
                      <w:color w:val="auto"/>
                      <w:szCs w:val="21"/>
                    </w:rPr>
                  </w:pPr>
                  <w:r>
                    <w:rPr>
                      <w:rFonts w:hint="eastAsia" w:hAnsi="宋体"/>
                      <w:color w:val="auto"/>
                      <w:szCs w:val="21"/>
                    </w:rPr>
                    <w:t>总氮</w:t>
                  </w:r>
                </w:p>
              </w:tc>
              <w:tc>
                <w:tcPr>
                  <w:tcW w:w="1149" w:type="dxa"/>
                  <w:vAlign w:val="center"/>
                </w:tcPr>
                <w:p w14:paraId="5B294684">
                  <w:pPr>
                    <w:widowControl/>
                    <w:jc w:val="center"/>
                    <w:rPr>
                      <w:rFonts w:hAnsi="宋体"/>
                      <w:color w:val="auto"/>
                      <w:szCs w:val="21"/>
                    </w:rPr>
                  </w:pPr>
                  <w:r>
                    <w:rPr>
                      <w:rFonts w:hint="eastAsia" w:hAnsi="宋体"/>
                      <w:color w:val="auto"/>
                      <w:szCs w:val="21"/>
                    </w:rPr>
                    <w:t>总磷</w:t>
                  </w:r>
                </w:p>
              </w:tc>
            </w:tr>
            <w:tr w14:paraId="02E97E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063" w:type="dxa"/>
                  <w:vAlign w:val="center"/>
                </w:tcPr>
                <w:p w14:paraId="7C4E4498">
                  <w:pPr>
                    <w:widowControl/>
                    <w:ind w:firstLine="422" w:firstLineChars="200"/>
                    <w:jc w:val="left"/>
                    <w:rPr>
                      <w:rFonts w:hAnsi="宋体"/>
                      <w:b/>
                      <w:bCs/>
                      <w:color w:val="auto"/>
                      <w:szCs w:val="21"/>
                    </w:rPr>
                  </w:pPr>
                  <w:r>
                    <w:rPr>
                      <w:rFonts w:hint="eastAsia" w:hAnsi="宋体"/>
                      <w:b/>
                      <w:bCs/>
                      <w:color w:val="auto"/>
                      <w:szCs w:val="21"/>
                    </w:rPr>
                    <w:t>标准值</w:t>
                  </w:r>
                </w:p>
              </w:tc>
              <w:tc>
                <w:tcPr>
                  <w:tcW w:w="1063" w:type="dxa"/>
                  <w:vAlign w:val="center"/>
                </w:tcPr>
                <w:p w14:paraId="5202740D">
                  <w:pPr>
                    <w:adjustRightInd w:val="0"/>
                    <w:snapToGrid w:val="0"/>
                    <w:jc w:val="center"/>
                    <w:rPr>
                      <w:color w:val="auto"/>
                      <w:szCs w:val="21"/>
                    </w:rPr>
                  </w:pPr>
                  <w:r>
                    <w:rPr>
                      <w:color w:val="auto"/>
                      <w:szCs w:val="21"/>
                    </w:rPr>
                    <w:t>≤40</w:t>
                  </w:r>
                </w:p>
              </w:tc>
              <w:tc>
                <w:tcPr>
                  <w:tcW w:w="1072" w:type="dxa"/>
                  <w:vAlign w:val="center"/>
                </w:tcPr>
                <w:p w14:paraId="52538626">
                  <w:pPr>
                    <w:adjustRightInd w:val="0"/>
                    <w:snapToGrid w:val="0"/>
                    <w:jc w:val="center"/>
                    <w:rPr>
                      <w:color w:val="auto"/>
                      <w:szCs w:val="21"/>
                    </w:rPr>
                  </w:pPr>
                  <w:r>
                    <w:rPr>
                      <w:color w:val="auto"/>
                      <w:szCs w:val="21"/>
                    </w:rPr>
                    <w:t>≤2(</w:t>
                  </w:r>
                  <w:r>
                    <w:rPr>
                      <w:rFonts w:hint="eastAsia"/>
                      <w:color w:val="auto"/>
                      <w:szCs w:val="21"/>
                    </w:rPr>
                    <w:t>4</w:t>
                  </w:r>
                  <w:r>
                    <w:rPr>
                      <w:color w:val="auto"/>
                      <w:szCs w:val="21"/>
                    </w:rPr>
                    <w:t>)</w:t>
                  </w:r>
                </w:p>
              </w:tc>
              <w:tc>
                <w:tcPr>
                  <w:tcW w:w="968" w:type="dxa"/>
                  <w:vAlign w:val="center"/>
                </w:tcPr>
                <w:p w14:paraId="19ECE2C4">
                  <w:pPr>
                    <w:adjustRightInd w:val="0"/>
                    <w:snapToGrid w:val="0"/>
                    <w:jc w:val="center"/>
                    <w:rPr>
                      <w:color w:val="auto"/>
                      <w:szCs w:val="21"/>
                    </w:rPr>
                  </w:pPr>
                  <w:r>
                    <w:rPr>
                      <w:color w:val="auto"/>
                      <w:szCs w:val="21"/>
                    </w:rPr>
                    <w:t>≤12(15)</w:t>
                  </w:r>
                </w:p>
              </w:tc>
              <w:tc>
                <w:tcPr>
                  <w:tcW w:w="1149" w:type="dxa"/>
                  <w:vAlign w:val="center"/>
                </w:tcPr>
                <w:p w14:paraId="50A33D70">
                  <w:pPr>
                    <w:adjustRightInd w:val="0"/>
                    <w:snapToGrid w:val="0"/>
                    <w:jc w:val="center"/>
                    <w:rPr>
                      <w:color w:val="auto"/>
                      <w:szCs w:val="21"/>
                    </w:rPr>
                  </w:pPr>
                  <w:r>
                    <w:rPr>
                      <w:color w:val="auto"/>
                    </w:rPr>
                    <w:t>≤</w:t>
                  </w:r>
                  <w:r>
                    <w:rPr>
                      <w:color w:val="auto"/>
                      <w:szCs w:val="21"/>
                    </w:rPr>
                    <w:t>0.3</w:t>
                  </w:r>
                </w:p>
              </w:tc>
            </w:tr>
          </w:tbl>
          <w:p w14:paraId="72AE6DAC">
            <w:pPr>
              <w:pStyle w:val="19"/>
              <w:rPr>
                <w:color w:val="auto"/>
              </w:rPr>
            </w:pPr>
            <w:r>
              <w:rPr>
                <w:rFonts w:hint="eastAsia"/>
                <w:color w:val="auto"/>
              </w:rPr>
              <w:t xml:space="preserve">    </w:t>
            </w:r>
            <w:r>
              <w:rPr>
                <w:rFonts w:hint="eastAsia" w:ascii="Times New Roman" w:hAnsi="宋体"/>
                <w:color w:val="auto"/>
              </w:rPr>
              <w:t>注：括号内数值为每年11月1日至次年3月31日执行。</w:t>
            </w:r>
          </w:p>
          <w:p w14:paraId="508D4F38">
            <w:pPr>
              <w:adjustRightInd w:val="0"/>
              <w:snapToGrid w:val="0"/>
              <w:spacing w:line="440" w:lineRule="exact"/>
              <w:rPr>
                <w:rFonts w:hAnsi="宋体"/>
                <w:b/>
                <w:color w:val="auto"/>
                <w:sz w:val="24"/>
              </w:rPr>
            </w:pPr>
            <w:r>
              <w:rPr>
                <w:rFonts w:hint="eastAsia" w:hAnsi="宋体"/>
                <w:b/>
                <w:color w:val="auto"/>
                <w:sz w:val="24"/>
              </w:rPr>
              <w:t xml:space="preserve">3.3.2 </w:t>
            </w:r>
            <w:r>
              <w:rPr>
                <w:rFonts w:hAnsi="宋体"/>
                <w:b/>
                <w:color w:val="auto"/>
                <w:sz w:val="24"/>
              </w:rPr>
              <w:t>废</w:t>
            </w:r>
            <w:r>
              <w:rPr>
                <w:rFonts w:hint="eastAsia" w:hAnsi="宋体"/>
                <w:b/>
                <w:color w:val="auto"/>
                <w:sz w:val="24"/>
              </w:rPr>
              <w:t>气</w:t>
            </w:r>
          </w:p>
          <w:p w14:paraId="51FADD5F">
            <w:pPr>
              <w:pStyle w:val="4"/>
              <w:shd w:val="clear" w:color="auto" w:fill="FFFFFF"/>
              <w:spacing w:before="0" w:after="0" w:line="440" w:lineRule="atLeast"/>
              <w:ind w:left="0" w:firstLine="0"/>
              <w:rPr>
                <w:rFonts w:eastAsia="宋体"/>
                <w:b w:val="0"/>
                <w:color w:val="auto"/>
                <w:kern w:val="2"/>
                <w:sz w:val="24"/>
                <w:szCs w:val="24"/>
              </w:rPr>
            </w:pPr>
            <w:r>
              <w:rPr>
                <w:rFonts w:hint="eastAsia" w:eastAsia="宋体"/>
                <w:b w:val="0"/>
                <w:color w:val="auto"/>
                <w:kern w:val="2"/>
                <w:sz w:val="24"/>
                <w:szCs w:val="24"/>
              </w:rPr>
              <w:t xml:space="preserve">     </w:t>
            </w:r>
            <w:bookmarkStart w:id="8" w:name="_Toc17438"/>
            <w:r>
              <w:rPr>
                <w:rFonts w:eastAsia="宋体"/>
                <w:b w:val="0"/>
                <w:color w:val="auto"/>
                <w:kern w:val="2"/>
                <w:sz w:val="24"/>
                <w:szCs w:val="24"/>
              </w:rPr>
              <w:t>项目营运期</w:t>
            </w:r>
            <w:r>
              <w:rPr>
                <w:rFonts w:hint="eastAsia" w:eastAsia="宋体"/>
                <w:b w:val="0"/>
                <w:color w:val="auto"/>
                <w:kern w:val="2"/>
                <w:sz w:val="24"/>
                <w:szCs w:val="24"/>
              </w:rPr>
              <w:t>颗粒物</w:t>
            </w:r>
            <w:r>
              <w:rPr>
                <w:rFonts w:eastAsia="宋体"/>
                <w:b w:val="0"/>
                <w:color w:val="auto"/>
                <w:kern w:val="2"/>
                <w:sz w:val="24"/>
                <w:szCs w:val="24"/>
              </w:rPr>
              <w:t>执行《大气污染物综合排放标准》（GB16297-1996）中规定的</w:t>
            </w:r>
            <w:r>
              <w:rPr>
                <w:rFonts w:hint="eastAsia" w:eastAsia="宋体"/>
                <w:b w:val="0"/>
                <w:color w:val="auto"/>
                <w:kern w:val="2"/>
                <w:sz w:val="24"/>
                <w:szCs w:val="24"/>
              </w:rPr>
              <w:t>“</w:t>
            </w:r>
            <w:r>
              <w:rPr>
                <w:rFonts w:eastAsia="宋体"/>
                <w:b w:val="0"/>
                <w:color w:val="auto"/>
                <w:kern w:val="2"/>
                <w:sz w:val="24"/>
                <w:szCs w:val="24"/>
              </w:rPr>
              <w:t>新污染源、二级标准</w:t>
            </w:r>
            <w:r>
              <w:rPr>
                <w:rFonts w:hint="eastAsia" w:eastAsia="宋体"/>
                <w:b w:val="0"/>
                <w:color w:val="auto"/>
                <w:kern w:val="2"/>
                <w:sz w:val="24"/>
                <w:szCs w:val="24"/>
              </w:rPr>
              <w:t>”，具体见表3-11。</w:t>
            </w:r>
            <w:bookmarkEnd w:id="8"/>
          </w:p>
          <w:p w14:paraId="213FA758">
            <w:pPr>
              <w:spacing w:line="440" w:lineRule="exact"/>
              <w:jc w:val="center"/>
              <w:rPr>
                <w:b/>
                <w:color w:val="auto"/>
                <w:szCs w:val="21"/>
              </w:rPr>
            </w:pPr>
            <w:r>
              <w:rPr>
                <w:b/>
                <w:color w:val="auto"/>
                <w:szCs w:val="21"/>
              </w:rPr>
              <w:t>表</w:t>
            </w:r>
            <w:r>
              <w:rPr>
                <w:rFonts w:hint="eastAsia"/>
                <w:b/>
                <w:color w:val="auto"/>
                <w:szCs w:val="21"/>
              </w:rPr>
              <w:t>3</w:t>
            </w:r>
            <w:r>
              <w:rPr>
                <w:b/>
                <w:color w:val="auto"/>
                <w:szCs w:val="21"/>
              </w:rPr>
              <w:t>-</w:t>
            </w:r>
            <w:r>
              <w:rPr>
                <w:rFonts w:hint="eastAsia"/>
                <w:b/>
                <w:color w:val="auto"/>
                <w:szCs w:val="21"/>
              </w:rPr>
              <w:t>11</w:t>
            </w:r>
            <w:r>
              <w:rPr>
                <w:b/>
                <w:color w:val="auto"/>
                <w:szCs w:val="21"/>
              </w:rPr>
              <w:t xml:space="preserve">  大气污染物综合排放标准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320"/>
              <w:gridCol w:w="1545"/>
              <w:gridCol w:w="1230"/>
              <w:gridCol w:w="1831"/>
              <w:gridCol w:w="1287"/>
            </w:tblGrid>
            <w:tr w14:paraId="1DFC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2" w:type="dxa"/>
                  <w:vMerge w:val="restart"/>
                  <w:vAlign w:val="center"/>
                </w:tcPr>
                <w:p w14:paraId="7893CBE2">
                  <w:pPr>
                    <w:adjustRightInd w:val="0"/>
                    <w:snapToGrid w:val="0"/>
                    <w:jc w:val="center"/>
                    <w:rPr>
                      <w:b/>
                      <w:color w:val="auto"/>
                    </w:rPr>
                  </w:pPr>
                  <w:r>
                    <w:rPr>
                      <w:rFonts w:hint="eastAsia"/>
                      <w:color w:val="auto"/>
                      <w:sz w:val="24"/>
                    </w:rPr>
                    <w:t xml:space="preserve"> </w:t>
                  </w:r>
                  <w:r>
                    <w:rPr>
                      <w:b/>
                      <w:color w:val="auto"/>
                    </w:rPr>
                    <w:t>污染物</w:t>
                  </w:r>
                </w:p>
              </w:tc>
              <w:tc>
                <w:tcPr>
                  <w:tcW w:w="1320" w:type="dxa"/>
                  <w:vMerge w:val="restart"/>
                  <w:vAlign w:val="center"/>
                </w:tcPr>
                <w:p w14:paraId="1E938C22">
                  <w:pPr>
                    <w:adjustRightInd w:val="0"/>
                    <w:snapToGrid w:val="0"/>
                    <w:ind w:left="96"/>
                    <w:jc w:val="center"/>
                    <w:rPr>
                      <w:b/>
                      <w:color w:val="auto"/>
                    </w:rPr>
                  </w:pPr>
                  <w:r>
                    <w:rPr>
                      <w:b/>
                      <w:color w:val="auto"/>
                    </w:rPr>
                    <w:t>最高允许</w:t>
                  </w:r>
                </w:p>
                <w:p w14:paraId="227F0F62">
                  <w:pPr>
                    <w:adjustRightInd w:val="0"/>
                    <w:snapToGrid w:val="0"/>
                    <w:ind w:left="96"/>
                    <w:jc w:val="center"/>
                    <w:rPr>
                      <w:b/>
                      <w:color w:val="auto"/>
                    </w:rPr>
                  </w:pPr>
                  <w:r>
                    <w:rPr>
                      <w:b/>
                      <w:color w:val="auto"/>
                    </w:rPr>
                    <w:t>排放浓度</w:t>
                  </w:r>
                </w:p>
                <w:p w14:paraId="0EAC8581">
                  <w:pPr>
                    <w:adjustRightInd w:val="0"/>
                    <w:snapToGrid w:val="0"/>
                    <w:ind w:left="96"/>
                    <w:jc w:val="center"/>
                    <w:rPr>
                      <w:b/>
                      <w:bCs/>
                      <w:color w:val="auto"/>
                    </w:rPr>
                  </w:pPr>
                  <w:r>
                    <w:rPr>
                      <w:b/>
                      <w:bCs/>
                      <w:color w:val="auto"/>
                    </w:rPr>
                    <w:t>(mg/m</w:t>
                  </w:r>
                  <w:r>
                    <w:rPr>
                      <w:b/>
                      <w:bCs/>
                      <w:color w:val="auto"/>
                      <w:vertAlign w:val="superscript"/>
                    </w:rPr>
                    <w:t>3</w:t>
                  </w:r>
                  <w:r>
                    <w:rPr>
                      <w:b/>
                      <w:bCs/>
                      <w:color w:val="auto"/>
                    </w:rPr>
                    <w:t>)</w:t>
                  </w:r>
                </w:p>
              </w:tc>
              <w:tc>
                <w:tcPr>
                  <w:tcW w:w="2775" w:type="dxa"/>
                  <w:gridSpan w:val="2"/>
                  <w:vAlign w:val="center"/>
                </w:tcPr>
                <w:p w14:paraId="7CE8361B">
                  <w:pPr>
                    <w:adjustRightInd w:val="0"/>
                    <w:snapToGrid w:val="0"/>
                    <w:ind w:left="96"/>
                    <w:jc w:val="center"/>
                    <w:rPr>
                      <w:b/>
                      <w:color w:val="auto"/>
                    </w:rPr>
                  </w:pPr>
                  <w:r>
                    <w:rPr>
                      <w:b/>
                      <w:color w:val="auto"/>
                    </w:rPr>
                    <w:t>最高允许排放速率(kg/h)</w:t>
                  </w:r>
                </w:p>
              </w:tc>
              <w:tc>
                <w:tcPr>
                  <w:tcW w:w="3118" w:type="dxa"/>
                  <w:gridSpan w:val="2"/>
                  <w:vAlign w:val="center"/>
                </w:tcPr>
                <w:p w14:paraId="75FD6B21">
                  <w:pPr>
                    <w:jc w:val="center"/>
                    <w:rPr>
                      <w:b/>
                      <w:bCs/>
                      <w:color w:val="auto"/>
                    </w:rPr>
                  </w:pPr>
                  <w:r>
                    <w:rPr>
                      <w:b/>
                      <w:color w:val="auto"/>
                    </w:rPr>
                    <w:t>无组织排放监控浓度限值</w:t>
                  </w:r>
                </w:p>
              </w:tc>
            </w:tr>
            <w:tr w14:paraId="5A63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2" w:type="dxa"/>
                  <w:vMerge w:val="continue"/>
                  <w:vAlign w:val="center"/>
                </w:tcPr>
                <w:p w14:paraId="028C4C8D">
                  <w:pPr>
                    <w:adjustRightInd w:val="0"/>
                    <w:snapToGrid w:val="0"/>
                    <w:ind w:left="202" w:leftChars="96"/>
                    <w:jc w:val="center"/>
                    <w:rPr>
                      <w:rFonts w:eastAsia="楷体_GB2312"/>
                      <w:b/>
                      <w:color w:val="auto"/>
                    </w:rPr>
                  </w:pPr>
                </w:p>
              </w:tc>
              <w:tc>
                <w:tcPr>
                  <w:tcW w:w="1320" w:type="dxa"/>
                  <w:vMerge w:val="continue"/>
                  <w:vAlign w:val="center"/>
                </w:tcPr>
                <w:p w14:paraId="6CB4EF85">
                  <w:pPr>
                    <w:adjustRightInd w:val="0"/>
                    <w:snapToGrid w:val="0"/>
                    <w:jc w:val="center"/>
                    <w:rPr>
                      <w:rFonts w:eastAsia="楷体_GB2312"/>
                      <w:b/>
                      <w:color w:val="auto"/>
                    </w:rPr>
                  </w:pPr>
                </w:p>
              </w:tc>
              <w:tc>
                <w:tcPr>
                  <w:tcW w:w="1545" w:type="dxa"/>
                  <w:vAlign w:val="center"/>
                </w:tcPr>
                <w:p w14:paraId="40823311">
                  <w:pPr>
                    <w:adjustRightInd w:val="0"/>
                    <w:snapToGrid w:val="0"/>
                    <w:jc w:val="center"/>
                    <w:rPr>
                      <w:b/>
                      <w:bCs/>
                      <w:color w:val="auto"/>
                    </w:rPr>
                  </w:pPr>
                  <w:r>
                    <w:rPr>
                      <w:b/>
                      <w:bCs/>
                      <w:color w:val="auto"/>
                    </w:rPr>
                    <w:t>排气筒高度(m)</w:t>
                  </w:r>
                </w:p>
              </w:tc>
              <w:tc>
                <w:tcPr>
                  <w:tcW w:w="1230" w:type="dxa"/>
                  <w:vAlign w:val="center"/>
                </w:tcPr>
                <w:p w14:paraId="4CF82D80">
                  <w:pPr>
                    <w:adjustRightInd w:val="0"/>
                    <w:snapToGrid w:val="0"/>
                    <w:jc w:val="center"/>
                    <w:rPr>
                      <w:b/>
                      <w:bCs/>
                      <w:color w:val="auto"/>
                    </w:rPr>
                  </w:pPr>
                  <w:r>
                    <w:rPr>
                      <w:b/>
                      <w:bCs/>
                      <w:color w:val="auto"/>
                    </w:rPr>
                    <w:t>二级标准值</w:t>
                  </w:r>
                </w:p>
              </w:tc>
              <w:tc>
                <w:tcPr>
                  <w:tcW w:w="1831" w:type="dxa"/>
                  <w:tcMar>
                    <w:left w:w="0" w:type="dxa"/>
                    <w:right w:w="0" w:type="dxa"/>
                  </w:tcMar>
                  <w:vAlign w:val="center"/>
                </w:tcPr>
                <w:p w14:paraId="2D08A4E8">
                  <w:pPr>
                    <w:adjustRightInd w:val="0"/>
                    <w:snapToGrid w:val="0"/>
                    <w:jc w:val="center"/>
                    <w:rPr>
                      <w:rFonts w:eastAsia="黑体"/>
                      <w:b/>
                      <w:color w:val="auto"/>
                    </w:rPr>
                  </w:pPr>
                  <w:r>
                    <w:rPr>
                      <w:b/>
                      <w:color w:val="auto"/>
                    </w:rPr>
                    <w:t>监控点</w:t>
                  </w:r>
                </w:p>
              </w:tc>
              <w:tc>
                <w:tcPr>
                  <w:tcW w:w="1287" w:type="dxa"/>
                  <w:vAlign w:val="center"/>
                </w:tcPr>
                <w:p w14:paraId="454ED056">
                  <w:pPr>
                    <w:jc w:val="center"/>
                    <w:rPr>
                      <w:b/>
                      <w:color w:val="auto"/>
                    </w:rPr>
                  </w:pPr>
                  <w:r>
                    <w:rPr>
                      <w:b/>
                      <w:color w:val="auto"/>
                    </w:rPr>
                    <w:t>浓度</w:t>
                  </w:r>
                </w:p>
                <w:p w14:paraId="6AC9DFA4">
                  <w:pPr>
                    <w:adjustRightInd w:val="0"/>
                    <w:snapToGrid w:val="0"/>
                    <w:jc w:val="center"/>
                    <w:rPr>
                      <w:rFonts w:eastAsia="黑体"/>
                      <w:b/>
                      <w:color w:val="auto"/>
                    </w:rPr>
                  </w:pPr>
                  <w:r>
                    <w:rPr>
                      <w:b/>
                      <w:bCs/>
                      <w:color w:val="auto"/>
                    </w:rPr>
                    <w:t>（mg/m</w:t>
                  </w:r>
                  <w:r>
                    <w:rPr>
                      <w:b/>
                      <w:bCs/>
                      <w:color w:val="auto"/>
                      <w:vertAlign w:val="superscript"/>
                    </w:rPr>
                    <w:t>3</w:t>
                  </w:r>
                  <w:r>
                    <w:rPr>
                      <w:b/>
                      <w:bCs/>
                      <w:color w:val="auto"/>
                    </w:rPr>
                    <w:t>）</w:t>
                  </w:r>
                </w:p>
              </w:tc>
            </w:tr>
            <w:tr w14:paraId="5A59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2" w:type="dxa"/>
                  <w:vMerge w:val="restart"/>
                  <w:vAlign w:val="center"/>
                </w:tcPr>
                <w:p w14:paraId="3A1D7D77">
                  <w:pPr>
                    <w:jc w:val="center"/>
                    <w:rPr>
                      <w:color w:val="auto"/>
                    </w:rPr>
                  </w:pPr>
                  <w:r>
                    <w:rPr>
                      <w:rFonts w:hint="eastAsia"/>
                      <w:color w:val="auto"/>
                    </w:rPr>
                    <w:t>颗粒物</w:t>
                  </w:r>
                </w:p>
              </w:tc>
              <w:tc>
                <w:tcPr>
                  <w:tcW w:w="1320" w:type="dxa"/>
                  <w:vMerge w:val="restart"/>
                  <w:vAlign w:val="center"/>
                </w:tcPr>
                <w:p w14:paraId="3F9BCBEB">
                  <w:pPr>
                    <w:adjustRightInd w:val="0"/>
                    <w:snapToGrid w:val="0"/>
                    <w:jc w:val="center"/>
                    <w:rPr>
                      <w:color w:val="auto"/>
                    </w:rPr>
                  </w:pPr>
                  <w:r>
                    <w:rPr>
                      <w:rFonts w:hint="eastAsia"/>
                      <w:color w:val="auto"/>
                    </w:rPr>
                    <w:t>120</w:t>
                  </w:r>
                </w:p>
              </w:tc>
              <w:tc>
                <w:tcPr>
                  <w:tcW w:w="1545" w:type="dxa"/>
                  <w:vAlign w:val="center"/>
                </w:tcPr>
                <w:p w14:paraId="6030707A">
                  <w:pPr>
                    <w:adjustRightInd w:val="0"/>
                    <w:snapToGrid w:val="0"/>
                    <w:jc w:val="center"/>
                    <w:rPr>
                      <w:color w:val="auto"/>
                    </w:rPr>
                  </w:pPr>
                  <w:r>
                    <w:rPr>
                      <w:color w:val="auto"/>
                    </w:rPr>
                    <w:t>15</w:t>
                  </w:r>
                </w:p>
              </w:tc>
              <w:tc>
                <w:tcPr>
                  <w:tcW w:w="1230" w:type="dxa"/>
                  <w:vAlign w:val="center"/>
                </w:tcPr>
                <w:p w14:paraId="18F47B42">
                  <w:pPr>
                    <w:adjustRightInd w:val="0"/>
                    <w:snapToGrid w:val="0"/>
                    <w:jc w:val="center"/>
                    <w:rPr>
                      <w:color w:val="auto"/>
                    </w:rPr>
                  </w:pPr>
                  <w:r>
                    <w:rPr>
                      <w:rFonts w:hint="eastAsia"/>
                      <w:color w:val="auto"/>
                    </w:rPr>
                    <w:t>3.5</w:t>
                  </w:r>
                </w:p>
              </w:tc>
              <w:tc>
                <w:tcPr>
                  <w:tcW w:w="1831" w:type="dxa"/>
                  <w:vMerge w:val="restart"/>
                  <w:tcMar>
                    <w:left w:w="0" w:type="dxa"/>
                    <w:right w:w="0" w:type="dxa"/>
                  </w:tcMar>
                  <w:vAlign w:val="center"/>
                </w:tcPr>
                <w:p w14:paraId="64AB74EB">
                  <w:pPr>
                    <w:adjustRightInd w:val="0"/>
                    <w:snapToGrid w:val="0"/>
                    <w:jc w:val="center"/>
                    <w:rPr>
                      <w:rFonts w:hint="eastAsia" w:eastAsia="宋体"/>
                      <w:color w:val="auto"/>
                      <w:lang w:eastAsia="zh-CN"/>
                    </w:rPr>
                  </w:pPr>
                  <w:r>
                    <w:rPr>
                      <w:rFonts w:hint="eastAsia"/>
                      <w:color w:val="auto"/>
                      <w:lang w:eastAsia="zh-CN"/>
                    </w:rPr>
                    <w:t>界外浓度最高点</w:t>
                  </w:r>
                </w:p>
              </w:tc>
              <w:tc>
                <w:tcPr>
                  <w:tcW w:w="1287" w:type="dxa"/>
                  <w:vMerge w:val="restart"/>
                  <w:vAlign w:val="center"/>
                </w:tcPr>
                <w:p w14:paraId="6A701A5A">
                  <w:pPr>
                    <w:adjustRightInd w:val="0"/>
                    <w:snapToGrid w:val="0"/>
                    <w:jc w:val="center"/>
                    <w:rPr>
                      <w:rFonts w:eastAsia="黑体"/>
                      <w:color w:val="auto"/>
                    </w:rPr>
                  </w:pPr>
                  <w:r>
                    <w:rPr>
                      <w:rFonts w:hint="eastAsia" w:eastAsia="黑体"/>
                      <w:color w:val="auto"/>
                    </w:rPr>
                    <w:t>1.0</w:t>
                  </w:r>
                </w:p>
              </w:tc>
            </w:tr>
            <w:tr w14:paraId="06EA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92" w:type="dxa"/>
                  <w:vMerge w:val="continue"/>
                  <w:vAlign w:val="center"/>
                </w:tcPr>
                <w:p w14:paraId="7897B1DB">
                  <w:pPr>
                    <w:jc w:val="center"/>
                    <w:rPr>
                      <w:color w:val="auto"/>
                    </w:rPr>
                  </w:pPr>
                </w:p>
              </w:tc>
              <w:tc>
                <w:tcPr>
                  <w:tcW w:w="1320" w:type="dxa"/>
                  <w:vMerge w:val="continue"/>
                  <w:vAlign w:val="center"/>
                </w:tcPr>
                <w:p w14:paraId="404C96D3">
                  <w:pPr>
                    <w:adjustRightInd w:val="0"/>
                    <w:snapToGrid w:val="0"/>
                    <w:jc w:val="center"/>
                    <w:rPr>
                      <w:color w:val="auto"/>
                    </w:rPr>
                  </w:pPr>
                </w:p>
              </w:tc>
              <w:tc>
                <w:tcPr>
                  <w:tcW w:w="1545" w:type="dxa"/>
                  <w:vAlign w:val="center"/>
                </w:tcPr>
                <w:p w14:paraId="2DD677CD">
                  <w:pPr>
                    <w:adjustRightInd w:val="0"/>
                    <w:snapToGrid w:val="0"/>
                    <w:jc w:val="center"/>
                    <w:rPr>
                      <w:color w:val="auto"/>
                    </w:rPr>
                  </w:pPr>
                  <w:r>
                    <w:rPr>
                      <w:rFonts w:hint="eastAsia"/>
                      <w:color w:val="auto"/>
                    </w:rPr>
                    <w:t>30</w:t>
                  </w:r>
                </w:p>
              </w:tc>
              <w:tc>
                <w:tcPr>
                  <w:tcW w:w="1230" w:type="dxa"/>
                  <w:vAlign w:val="center"/>
                </w:tcPr>
                <w:p w14:paraId="44227018">
                  <w:pPr>
                    <w:adjustRightInd w:val="0"/>
                    <w:snapToGrid w:val="0"/>
                    <w:jc w:val="center"/>
                    <w:rPr>
                      <w:color w:val="auto"/>
                    </w:rPr>
                  </w:pPr>
                  <w:r>
                    <w:rPr>
                      <w:rFonts w:hint="eastAsia"/>
                      <w:color w:val="auto"/>
                    </w:rPr>
                    <w:t>23</w:t>
                  </w:r>
                </w:p>
              </w:tc>
              <w:tc>
                <w:tcPr>
                  <w:tcW w:w="1831" w:type="dxa"/>
                  <w:vMerge w:val="continue"/>
                  <w:tcMar>
                    <w:left w:w="0" w:type="dxa"/>
                    <w:right w:w="0" w:type="dxa"/>
                  </w:tcMar>
                  <w:vAlign w:val="center"/>
                </w:tcPr>
                <w:p w14:paraId="6ED7B94E">
                  <w:pPr>
                    <w:adjustRightInd w:val="0"/>
                    <w:snapToGrid w:val="0"/>
                    <w:jc w:val="center"/>
                    <w:rPr>
                      <w:color w:val="auto"/>
                    </w:rPr>
                  </w:pPr>
                </w:p>
              </w:tc>
              <w:tc>
                <w:tcPr>
                  <w:tcW w:w="1287" w:type="dxa"/>
                  <w:vMerge w:val="continue"/>
                  <w:vAlign w:val="center"/>
                </w:tcPr>
                <w:p w14:paraId="42D07E99">
                  <w:pPr>
                    <w:adjustRightInd w:val="0"/>
                    <w:snapToGrid w:val="0"/>
                    <w:jc w:val="center"/>
                    <w:rPr>
                      <w:rFonts w:eastAsia="黑体"/>
                      <w:color w:val="auto"/>
                    </w:rPr>
                  </w:pPr>
                </w:p>
              </w:tc>
            </w:tr>
          </w:tbl>
          <w:p w14:paraId="204A8E7D">
            <w:pPr>
              <w:pStyle w:val="4"/>
              <w:shd w:val="clear" w:color="auto" w:fill="FFFFFF"/>
              <w:spacing w:before="0" w:after="0" w:line="240" w:lineRule="auto"/>
              <w:ind w:left="0" w:firstLine="420" w:firstLineChars="200"/>
              <w:rPr>
                <w:rFonts w:eastAsia="宋体"/>
                <w:b w:val="0"/>
                <w:color w:val="auto"/>
                <w:kern w:val="2"/>
                <w:sz w:val="21"/>
                <w:szCs w:val="21"/>
              </w:rPr>
            </w:pPr>
            <w:bookmarkStart w:id="9" w:name="_Toc21702"/>
            <w:r>
              <w:rPr>
                <w:rFonts w:eastAsia="宋体"/>
                <w:b w:val="0"/>
                <w:color w:val="auto"/>
                <w:kern w:val="2"/>
                <w:sz w:val="21"/>
                <w:szCs w:val="21"/>
              </w:rPr>
              <w:t>注：本项目所在厂房为5层，合计约25m高，要求本项目排气筒高于建筑5m以上，因此本项目排气筒高度设置为30m。</w:t>
            </w:r>
            <w:bookmarkEnd w:id="9"/>
          </w:p>
          <w:p w14:paraId="2F46199E">
            <w:pPr>
              <w:spacing w:line="360" w:lineRule="auto"/>
              <w:ind w:firstLine="480" w:firstLineChars="200"/>
              <w:rPr>
                <w:rFonts w:hint="default" w:eastAsia="宋体"/>
                <w:lang w:val="en-US" w:eastAsia="zh-CN"/>
              </w:rPr>
            </w:pPr>
            <w:r>
              <w:rPr>
                <w:rFonts w:eastAsia="宋体"/>
                <w:b w:val="0"/>
                <w:color w:val="auto"/>
                <w:kern w:val="2"/>
                <w:sz w:val="24"/>
                <w:szCs w:val="24"/>
              </w:rPr>
              <w:t>本项目</w:t>
            </w:r>
            <w:r>
              <w:rPr>
                <w:rFonts w:hint="eastAsia" w:eastAsia="宋体"/>
                <w:b w:val="0"/>
                <w:color w:val="auto"/>
                <w:kern w:val="2"/>
                <w:sz w:val="24"/>
                <w:szCs w:val="24"/>
              </w:rPr>
              <w:t>注塑废气产生的</w:t>
            </w:r>
            <w:r>
              <w:rPr>
                <w:rFonts w:eastAsia="宋体"/>
                <w:b w:val="0"/>
                <w:color w:val="auto"/>
                <w:kern w:val="2"/>
                <w:sz w:val="24"/>
                <w:szCs w:val="24"/>
              </w:rPr>
              <w:t>非甲烷总烃</w:t>
            </w:r>
            <w:r>
              <w:rPr>
                <w:rFonts w:hint="eastAsia"/>
                <w:b w:val="0"/>
                <w:color w:val="auto"/>
                <w:kern w:val="2"/>
                <w:sz w:val="24"/>
                <w:szCs w:val="24"/>
                <w:lang w:eastAsia="zh-CN"/>
              </w:rPr>
              <w:t>及苯乙烯</w:t>
            </w:r>
            <w:r>
              <w:rPr>
                <w:rFonts w:hint="eastAsia" w:eastAsia="宋体"/>
                <w:b w:val="0"/>
                <w:color w:val="auto"/>
                <w:kern w:val="2"/>
                <w:sz w:val="24"/>
                <w:szCs w:val="24"/>
              </w:rPr>
              <w:t>统一执行</w:t>
            </w:r>
            <w:r>
              <w:rPr>
                <w:rFonts w:eastAsia="宋体"/>
                <w:b w:val="0"/>
                <w:color w:val="auto"/>
                <w:kern w:val="2"/>
                <w:sz w:val="24"/>
                <w:szCs w:val="24"/>
              </w:rPr>
              <w:t>《合成树脂工业污染物排放标准》（GB31572-2015）中的表5大气污染物排放限值和表9企业边界大气污染物浓度限值，</w:t>
            </w:r>
            <w:r>
              <w:rPr>
                <w:rFonts w:hint="eastAsia" w:eastAsia="宋体"/>
                <w:b w:val="0"/>
                <w:color w:val="auto"/>
                <w:kern w:val="2"/>
                <w:sz w:val="24"/>
                <w:szCs w:val="24"/>
              </w:rPr>
              <w:t>臭气浓度有组织排放执行《关于印发&lt;湖州市木业、漆包线及塑料行业废气整治规范&gt;的通知》（湖环发(2018)31 号）中确定的排放限值要求，臭气浓度无组织排放执行《恶臭污染物排放标准》（GB 14554-93）中表 1、二级标准中新扩改建限值要求，</w:t>
            </w:r>
            <w:r>
              <w:rPr>
                <w:rFonts w:eastAsia="宋体"/>
                <w:b w:val="0"/>
                <w:color w:val="auto"/>
                <w:kern w:val="2"/>
                <w:sz w:val="24"/>
                <w:szCs w:val="24"/>
              </w:rPr>
              <w:t>具体见表</w:t>
            </w:r>
            <w:r>
              <w:rPr>
                <w:rFonts w:hint="eastAsia" w:eastAsia="宋体"/>
                <w:b w:val="0"/>
                <w:color w:val="auto"/>
                <w:kern w:val="2"/>
                <w:sz w:val="24"/>
                <w:szCs w:val="24"/>
              </w:rPr>
              <w:t>3</w:t>
            </w:r>
            <w:r>
              <w:rPr>
                <w:rFonts w:eastAsia="宋体"/>
                <w:b w:val="0"/>
                <w:color w:val="auto"/>
                <w:kern w:val="2"/>
                <w:sz w:val="24"/>
                <w:szCs w:val="24"/>
              </w:rPr>
              <w:t>-</w:t>
            </w:r>
            <w:r>
              <w:rPr>
                <w:rFonts w:hint="eastAsia" w:eastAsia="宋体"/>
                <w:b w:val="0"/>
                <w:color w:val="auto"/>
                <w:kern w:val="2"/>
                <w:sz w:val="24"/>
                <w:szCs w:val="24"/>
                <w:lang w:val="en-US" w:eastAsia="zh-CN"/>
              </w:rPr>
              <w:t>10和表3-11</w:t>
            </w:r>
            <w:r>
              <w:rPr>
                <w:sz w:val="24"/>
              </w:rPr>
              <w:t>，具体见表</w:t>
            </w:r>
            <w:r>
              <w:rPr>
                <w:rFonts w:hint="eastAsia"/>
                <w:sz w:val="24"/>
                <w:lang w:val="en-US" w:eastAsia="zh-CN"/>
              </w:rPr>
              <w:t>3</w:t>
            </w:r>
            <w:r>
              <w:rPr>
                <w:sz w:val="24"/>
              </w:rPr>
              <w:t>-</w:t>
            </w:r>
            <w:r>
              <w:rPr>
                <w:rFonts w:hint="eastAsia"/>
                <w:sz w:val="24"/>
                <w:lang w:val="en-US" w:eastAsia="zh-CN"/>
              </w:rPr>
              <w:t>12</w:t>
            </w:r>
          </w:p>
          <w:p w14:paraId="1AA70F0D">
            <w:pPr>
              <w:snapToGrid w:val="0"/>
              <w:spacing w:line="440" w:lineRule="exact"/>
              <w:jc w:val="center"/>
              <w:rPr>
                <w:b/>
                <w:bCs/>
                <w:szCs w:val="21"/>
              </w:rPr>
            </w:pPr>
            <w:r>
              <w:rPr>
                <w:rFonts w:hint="eastAsia"/>
                <w:b/>
                <w:bCs/>
                <w:szCs w:val="21"/>
                <w:lang w:val="en-US" w:eastAsia="zh-CN"/>
              </w:rPr>
              <w:t>3-12</w:t>
            </w:r>
            <w:r>
              <w:rPr>
                <w:b/>
                <w:bCs/>
                <w:szCs w:val="21"/>
              </w:rPr>
              <w:t>《合成树脂工业污染物排放标准》（GB31572-2015）表5和表9标准</w:t>
            </w:r>
          </w:p>
          <w:p w14:paraId="28DF015A"/>
          <w:tbl>
            <w:tblPr>
              <w:tblStyle w:val="37"/>
              <w:tblW w:w="8515"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57"/>
              <w:gridCol w:w="1617"/>
              <w:gridCol w:w="1808"/>
              <w:gridCol w:w="3533"/>
            </w:tblGrid>
            <w:tr w14:paraId="22864DF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557" w:type="dxa"/>
                  <w:tcBorders>
                    <w:left w:val="single" w:color="auto" w:sz="2" w:space="0"/>
                  </w:tcBorders>
                  <w:vAlign w:val="center"/>
                </w:tcPr>
                <w:p w14:paraId="3364D329">
                  <w:pPr>
                    <w:adjustRightInd w:val="0"/>
                    <w:snapToGrid w:val="0"/>
                    <w:jc w:val="center"/>
                    <w:rPr>
                      <w:b/>
                      <w:color w:val="auto"/>
                      <w:szCs w:val="21"/>
                    </w:rPr>
                  </w:pPr>
                  <w:r>
                    <w:rPr>
                      <w:b/>
                      <w:color w:val="auto"/>
                      <w:szCs w:val="21"/>
                    </w:rPr>
                    <w:t>污染物项目</w:t>
                  </w:r>
                </w:p>
              </w:tc>
              <w:tc>
                <w:tcPr>
                  <w:tcW w:w="3425" w:type="dxa"/>
                  <w:gridSpan w:val="2"/>
                  <w:vAlign w:val="center"/>
                </w:tcPr>
                <w:p w14:paraId="3D4FD7AD">
                  <w:pPr>
                    <w:adjustRightInd w:val="0"/>
                    <w:snapToGrid w:val="0"/>
                    <w:jc w:val="center"/>
                    <w:rPr>
                      <w:b/>
                      <w:color w:val="auto"/>
                      <w:szCs w:val="21"/>
                    </w:rPr>
                  </w:pPr>
                  <w:r>
                    <w:rPr>
                      <w:b/>
                      <w:color w:val="auto"/>
                      <w:szCs w:val="21"/>
                    </w:rPr>
                    <w:t>车间或生产设施排气筒</w:t>
                  </w:r>
                </w:p>
              </w:tc>
              <w:tc>
                <w:tcPr>
                  <w:tcW w:w="3533" w:type="dxa"/>
                  <w:tcBorders>
                    <w:right w:val="single" w:color="auto" w:sz="2" w:space="0"/>
                  </w:tcBorders>
                  <w:vAlign w:val="center"/>
                </w:tcPr>
                <w:p w14:paraId="57383EDA">
                  <w:pPr>
                    <w:adjustRightInd w:val="0"/>
                    <w:snapToGrid w:val="0"/>
                    <w:jc w:val="center"/>
                    <w:rPr>
                      <w:b/>
                      <w:color w:val="auto"/>
                      <w:szCs w:val="21"/>
                    </w:rPr>
                  </w:pPr>
                  <w:r>
                    <w:rPr>
                      <w:rFonts w:hint="eastAsia"/>
                      <w:b/>
                      <w:color w:val="auto"/>
                      <w:szCs w:val="21"/>
                    </w:rPr>
                    <w:t>标准</w:t>
                  </w:r>
                </w:p>
              </w:tc>
            </w:tr>
            <w:tr w14:paraId="565674E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557" w:type="dxa"/>
                  <w:vMerge w:val="restart"/>
                  <w:tcBorders>
                    <w:left w:val="single" w:color="auto" w:sz="2" w:space="0"/>
                  </w:tcBorders>
                  <w:vAlign w:val="center"/>
                </w:tcPr>
                <w:p w14:paraId="2EE9A7D7">
                  <w:pPr>
                    <w:adjustRightInd w:val="0"/>
                    <w:snapToGrid w:val="0"/>
                    <w:jc w:val="center"/>
                    <w:rPr>
                      <w:color w:val="auto"/>
                      <w:szCs w:val="21"/>
                    </w:rPr>
                  </w:pPr>
                  <w:r>
                    <w:rPr>
                      <w:color w:val="auto"/>
                      <w:szCs w:val="21"/>
                    </w:rPr>
                    <w:t>非甲烷总烃</w:t>
                  </w:r>
                </w:p>
              </w:tc>
              <w:tc>
                <w:tcPr>
                  <w:tcW w:w="1617" w:type="dxa"/>
                  <w:vAlign w:val="center"/>
                </w:tcPr>
                <w:p w14:paraId="54D51A5F">
                  <w:pPr>
                    <w:adjustRightInd w:val="0"/>
                    <w:snapToGrid w:val="0"/>
                    <w:jc w:val="center"/>
                    <w:rPr>
                      <w:color w:val="auto"/>
                      <w:szCs w:val="21"/>
                    </w:rPr>
                  </w:pPr>
                  <w:r>
                    <w:rPr>
                      <w:color w:val="auto"/>
                      <w:szCs w:val="21"/>
                    </w:rPr>
                    <w:t>排放限值</w:t>
                  </w:r>
                </w:p>
              </w:tc>
              <w:tc>
                <w:tcPr>
                  <w:tcW w:w="1808" w:type="dxa"/>
                  <w:vAlign w:val="center"/>
                </w:tcPr>
                <w:p w14:paraId="70B8BF43">
                  <w:pPr>
                    <w:adjustRightInd w:val="0"/>
                    <w:snapToGrid w:val="0"/>
                    <w:jc w:val="center"/>
                    <w:rPr>
                      <w:color w:val="auto"/>
                      <w:szCs w:val="21"/>
                    </w:rPr>
                  </w:pPr>
                  <w:r>
                    <w:rPr>
                      <w:color w:val="auto"/>
                      <w:szCs w:val="21"/>
                    </w:rPr>
                    <w:t>单位产品排</w:t>
                  </w:r>
                  <w:r>
                    <w:rPr>
                      <w:rFonts w:hint="eastAsia"/>
                      <w:color w:val="auto"/>
                      <w:szCs w:val="21"/>
                    </w:rPr>
                    <w:t>放</w:t>
                  </w:r>
                  <w:r>
                    <w:rPr>
                      <w:color w:val="auto"/>
                      <w:szCs w:val="21"/>
                    </w:rPr>
                    <w:t>量</w:t>
                  </w:r>
                </w:p>
              </w:tc>
              <w:tc>
                <w:tcPr>
                  <w:tcW w:w="3533" w:type="dxa"/>
                  <w:vMerge w:val="restart"/>
                  <w:tcBorders>
                    <w:right w:val="single" w:color="auto" w:sz="2" w:space="0"/>
                  </w:tcBorders>
                  <w:vAlign w:val="center"/>
                </w:tcPr>
                <w:p w14:paraId="7F4F918A">
                  <w:pPr>
                    <w:adjustRightInd w:val="0"/>
                    <w:snapToGrid w:val="0"/>
                    <w:jc w:val="center"/>
                    <w:rPr>
                      <w:color w:val="auto"/>
                      <w:szCs w:val="21"/>
                    </w:rPr>
                  </w:pPr>
                  <w:r>
                    <w:rPr>
                      <w:color w:val="auto"/>
                      <w:szCs w:val="21"/>
                    </w:rPr>
                    <w:t>《合成树脂工业污染物排放标准》（GB31572-2015）</w:t>
                  </w:r>
                </w:p>
                <w:p w14:paraId="67788A29">
                  <w:pPr>
                    <w:adjustRightInd w:val="0"/>
                    <w:snapToGrid w:val="0"/>
                    <w:jc w:val="center"/>
                    <w:rPr>
                      <w:color w:val="auto"/>
                      <w:szCs w:val="21"/>
                    </w:rPr>
                  </w:pPr>
                </w:p>
              </w:tc>
            </w:tr>
            <w:tr w14:paraId="5FF73F8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557" w:type="dxa"/>
                  <w:vMerge w:val="continue"/>
                  <w:tcBorders>
                    <w:left w:val="single" w:color="auto" w:sz="2" w:space="0"/>
                  </w:tcBorders>
                  <w:vAlign w:val="center"/>
                </w:tcPr>
                <w:p w14:paraId="6A318212">
                  <w:pPr>
                    <w:adjustRightInd w:val="0"/>
                    <w:snapToGrid w:val="0"/>
                    <w:jc w:val="center"/>
                    <w:rPr>
                      <w:color w:val="auto"/>
                      <w:szCs w:val="21"/>
                    </w:rPr>
                  </w:pPr>
                </w:p>
              </w:tc>
              <w:tc>
                <w:tcPr>
                  <w:tcW w:w="1617" w:type="dxa"/>
                  <w:vAlign w:val="center"/>
                </w:tcPr>
                <w:p w14:paraId="1C6F055A">
                  <w:pPr>
                    <w:adjustRightInd w:val="0"/>
                    <w:snapToGrid w:val="0"/>
                    <w:jc w:val="center"/>
                    <w:rPr>
                      <w:color w:val="auto"/>
                      <w:szCs w:val="21"/>
                    </w:rPr>
                  </w:pPr>
                  <w:r>
                    <w:rPr>
                      <w:color w:val="auto"/>
                      <w:szCs w:val="21"/>
                    </w:rPr>
                    <w:t>60mg/m</w:t>
                  </w:r>
                  <w:r>
                    <w:rPr>
                      <w:color w:val="auto"/>
                      <w:szCs w:val="21"/>
                      <w:vertAlign w:val="superscript"/>
                    </w:rPr>
                    <w:t>3</w:t>
                  </w:r>
                </w:p>
              </w:tc>
              <w:tc>
                <w:tcPr>
                  <w:tcW w:w="1808" w:type="dxa"/>
                  <w:vAlign w:val="center"/>
                </w:tcPr>
                <w:p w14:paraId="20A858CE">
                  <w:pPr>
                    <w:adjustRightInd w:val="0"/>
                    <w:snapToGrid w:val="0"/>
                    <w:jc w:val="center"/>
                    <w:rPr>
                      <w:color w:val="auto"/>
                      <w:szCs w:val="21"/>
                    </w:rPr>
                  </w:pPr>
                  <w:r>
                    <w:rPr>
                      <w:color w:val="auto"/>
                      <w:szCs w:val="21"/>
                    </w:rPr>
                    <w:t>0.</w:t>
                  </w:r>
                  <w:r>
                    <w:rPr>
                      <w:rFonts w:hint="eastAsia"/>
                      <w:color w:val="auto"/>
                      <w:szCs w:val="21"/>
                    </w:rPr>
                    <w:t>3</w:t>
                  </w:r>
                  <w:r>
                    <w:rPr>
                      <w:color w:val="auto"/>
                      <w:szCs w:val="21"/>
                    </w:rPr>
                    <w:t>kg/t</w:t>
                  </w:r>
                </w:p>
              </w:tc>
              <w:tc>
                <w:tcPr>
                  <w:tcW w:w="3533" w:type="dxa"/>
                  <w:vMerge w:val="continue"/>
                  <w:tcBorders>
                    <w:right w:val="single" w:color="auto" w:sz="2" w:space="0"/>
                  </w:tcBorders>
                  <w:vAlign w:val="center"/>
                </w:tcPr>
                <w:p w14:paraId="457224B8">
                  <w:pPr>
                    <w:adjustRightInd w:val="0"/>
                    <w:snapToGrid w:val="0"/>
                    <w:jc w:val="center"/>
                    <w:rPr>
                      <w:color w:val="auto"/>
                      <w:szCs w:val="21"/>
                    </w:rPr>
                  </w:pPr>
                </w:p>
              </w:tc>
            </w:tr>
            <w:tr w14:paraId="6F30E67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557" w:type="dxa"/>
                  <w:tcBorders>
                    <w:left w:val="single" w:color="auto" w:sz="2" w:space="0"/>
                  </w:tcBorders>
                  <w:vAlign w:val="center"/>
                </w:tcPr>
                <w:p w14:paraId="05F138BD">
                  <w:pPr>
                    <w:adjustRightInd w:val="0"/>
                    <w:snapToGrid w:val="0"/>
                    <w:jc w:val="center"/>
                    <w:rPr>
                      <w:color w:val="auto"/>
                      <w:szCs w:val="21"/>
                    </w:rPr>
                  </w:pPr>
                  <w:r>
                    <w:rPr>
                      <w:rFonts w:hint="eastAsia"/>
                      <w:szCs w:val="21"/>
                    </w:rPr>
                    <w:t>苯乙烯</w:t>
                  </w:r>
                </w:p>
              </w:tc>
              <w:tc>
                <w:tcPr>
                  <w:tcW w:w="1617" w:type="dxa"/>
                  <w:vAlign w:val="center"/>
                </w:tcPr>
                <w:p w14:paraId="614CCE40">
                  <w:pPr>
                    <w:adjustRightInd w:val="0"/>
                    <w:snapToGrid w:val="0"/>
                    <w:jc w:val="center"/>
                    <w:rPr>
                      <w:color w:val="auto"/>
                      <w:szCs w:val="21"/>
                    </w:rPr>
                  </w:pPr>
                  <w:r>
                    <w:rPr>
                      <w:rFonts w:hint="eastAsia"/>
                      <w:szCs w:val="21"/>
                    </w:rPr>
                    <w:t>2</w:t>
                  </w:r>
                  <w:r>
                    <w:rPr>
                      <w:szCs w:val="21"/>
                    </w:rPr>
                    <w:t>0 mg/m</w:t>
                  </w:r>
                  <w:r>
                    <w:rPr>
                      <w:szCs w:val="21"/>
                      <w:vertAlign w:val="superscript"/>
                    </w:rPr>
                    <w:t>3</w:t>
                  </w:r>
                </w:p>
              </w:tc>
              <w:tc>
                <w:tcPr>
                  <w:tcW w:w="1808" w:type="dxa"/>
                  <w:vAlign w:val="center"/>
                </w:tcPr>
                <w:p w14:paraId="64B1D3AC">
                  <w:pPr>
                    <w:adjustRightInd w:val="0"/>
                    <w:snapToGrid w:val="0"/>
                    <w:jc w:val="center"/>
                    <w:rPr>
                      <w:color w:val="auto"/>
                      <w:szCs w:val="21"/>
                    </w:rPr>
                  </w:pPr>
                  <w:r>
                    <w:rPr>
                      <w:rFonts w:hint="eastAsia"/>
                      <w:color w:val="auto"/>
                      <w:szCs w:val="21"/>
                      <w:lang w:val="en-US" w:eastAsia="zh-CN"/>
                    </w:rPr>
                    <w:t>/</w:t>
                  </w:r>
                </w:p>
              </w:tc>
              <w:tc>
                <w:tcPr>
                  <w:tcW w:w="3533" w:type="dxa"/>
                  <w:vMerge w:val="continue"/>
                  <w:tcBorders>
                    <w:right w:val="single" w:color="auto" w:sz="2" w:space="0"/>
                  </w:tcBorders>
                  <w:vAlign w:val="center"/>
                </w:tcPr>
                <w:p w14:paraId="5275CDEF">
                  <w:pPr>
                    <w:adjustRightInd w:val="0"/>
                    <w:snapToGrid w:val="0"/>
                    <w:jc w:val="center"/>
                    <w:rPr>
                      <w:color w:val="auto"/>
                      <w:szCs w:val="21"/>
                    </w:rPr>
                  </w:pPr>
                </w:p>
              </w:tc>
            </w:tr>
            <w:tr w14:paraId="026574B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557" w:type="dxa"/>
                  <w:tcBorders>
                    <w:left w:val="single" w:color="auto" w:sz="2" w:space="0"/>
                  </w:tcBorders>
                  <w:vAlign w:val="center"/>
                </w:tcPr>
                <w:p w14:paraId="08996EF2">
                  <w:pPr>
                    <w:adjustRightInd w:val="0"/>
                    <w:snapToGrid w:val="0"/>
                    <w:jc w:val="center"/>
                    <w:rPr>
                      <w:rFonts w:hint="eastAsia"/>
                      <w:szCs w:val="21"/>
                    </w:rPr>
                  </w:pPr>
                  <w:r>
                    <w:rPr>
                      <w:rFonts w:hint="eastAsia"/>
                      <w:color w:val="auto"/>
                      <w:szCs w:val="21"/>
                    </w:rPr>
                    <w:t>臭气浓度</w:t>
                  </w:r>
                </w:p>
              </w:tc>
              <w:tc>
                <w:tcPr>
                  <w:tcW w:w="1617" w:type="dxa"/>
                  <w:vAlign w:val="center"/>
                </w:tcPr>
                <w:p w14:paraId="4E98A282">
                  <w:pPr>
                    <w:adjustRightInd w:val="0"/>
                    <w:snapToGrid w:val="0"/>
                    <w:jc w:val="center"/>
                    <w:rPr>
                      <w:rFonts w:hint="eastAsia"/>
                      <w:szCs w:val="21"/>
                    </w:rPr>
                  </w:pPr>
                  <w:r>
                    <w:rPr>
                      <w:rFonts w:hint="eastAsia"/>
                      <w:color w:val="auto"/>
                      <w:szCs w:val="21"/>
                    </w:rPr>
                    <w:t>1000（无量纲）</w:t>
                  </w:r>
                </w:p>
              </w:tc>
              <w:tc>
                <w:tcPr>
                  <w:tcW w:w="1808" w:type="dxa"/>
                  <w:vAlign w:val="center"/>
                </w:tcPr>
                <w:p w14:paraId="3DED45CC">
                  <w:pPr>
                    <w:adjustRightInd w:val="0"/>
                    <w:snapToGrid w:val="0"/>
                    <w:jc w:val="center"/>
                    <w:rPr>
                      <w:rFonts w:hint="eastAsia"/>
                      <w:color w:val="auto"/>
                      <w:szCs w:val="21"/>
                      <w:lang w:val="en-US" w:eastAsia="zh-CN"/>
                    </w:rPr>
                  </w:pPr>
                  <w:r>
                    <w:rPr>
                      <w:color w:val="auto"/>
                      <w:szCs w:val="21"/>
                    </w:rPr>
                    <w:t>/</w:t>
                  </w:r>
                </w:p>
              </w:tc>
              <w:tc>
                <w:tcPr>
                  <w:tcW w:w="3533" w:type="dxa"/>
                  <w:tcBorders>
                    <w:right w:val="single" w:color="auto" w:sz="2" w:space="0"/>
                  </w:tcBorders>
                  <w:vAlign w:val="center"/>
                </w:tcPr>
                <w:p w14:paraId="3F8C39CE">
                  <w:pPr>
                    <w:adjustRightInd w:val="0"/>
                    <w:snapToGrid w:val="0"/>
                    <w:jc w:val="center"/>
                    <w:rPr>
                      <w:color w:val="auto"/>
                      <w:szCs w:val="21"/>
                    </w:rPr>
                  </w:pPr>
                  <w:r>
                    <w:rPr>
                      <w:rFonts w:hint="eastAsia"/>
                      <w:color w:val="auto"/>
                      <w:szCs w:val="21"/>
                    </w:rPr>
                    <w:t>《关于印发&lt;湖州市木业、漆包线及塑料行业废气整治规范&gt;的通知》</w:t>
                  </w:r>
                </w:p>
              </w:tc>
            </w:tr>
          </w:tbl>
          <w:p w14:paraId="0E869F71">
            <w:pPr>
              <w:widowControl/>
              <w:spacing w:line="440" w:lineRule="exact"/>
              <w:jc w:val="left"/>
              <w:rPr>
                <w:rFonts w:hint="eastAsia"/>
                <w:color w:val="auto"/>
                <w:sz w:val="24"/>
              </w:rPr>
            </w:pPr>
          </w:p>
          <w:p w14:paraId="156004A2">
            <w:pPr>
              <w:pStyle w:val="4"/>
              <w:shd w:val="clear" w:color="auto" w:fill="FFFFFF"/>
              <w:spacing w:before="0" w:after="0" w:line="440" w:lineRule="exact"/>
              <w:ind w:left="0" w:firstLine="480" w:firstLineChars="200"/>
              <w:rPr>
                <w:color w:val="auto"/>
                <w:szCs w:val="21"/>
              </w:rPr>
            </w:pPr>
            <w:bookmarkStart w:id="10" w:name="_Toc461"/>
            <w:r>
              <w:rPr>
                <w:rFonts w:hint="eastAsia" w:eastAsia="宋体"/>
                <w:b w:val="0"/>
                <w:color w:val="auto"/>
                <w:kern w:val="2"/>
                <w:sz w:val="24"/>
                <w:szCs w:val="24"/>
              </w:rPr>
              <w:t>厂区内非甲烷总烃无组织排放限值执行</w:t>
            </w:r>
            <w:r>
              <w:rPr>
                <w:rFonts w:eastAsia="宋体"/>
                <w:b w:val="0"/>
                <w:color w:val="auto"/>
                <w:kern w:val="2"/>
                <w:sz w:val="24"/>
                <w:szCs w:val="24"/>
              </w:rPr>
              <w:t>《挥发性有机物无组织排放控制标准（GB37822-2019）</w:t>
            </w:r>
            <w:r>
              <w:rPr>
                <w:rFonts w:hint="eastAsia" w:eastAsia="宋体"/>
                <w:b w:val="0"/>
                <w:color w:val="auto"/>
                <w:kern w:val="2"/>
                <w:sz w:val="24"/>
                <w:szCs w:val="24"/>
              </w:rPr>
              <w:t>。</w:t>
            </w:r>
            <w:bookmarkEnd w:id="10"/>
          </w:p>
          <w:p w14:paraId="6DEA65F1">
            <w:pPr>
              <w:pStyle w:val="28"/>
              <w:spacing w:line="400" w:lineRule="atLeast"/>
              <w:ind w:firstLine="482"/>
              <w:jc w:val="center"/>
              <w:rPr>
                <w:b/>
                <w:color w:val="auto"/>
                <w:szCs w:val="21"/>
              </w:rPr>
            </w:pPr>
            <w:r>
              <w:rPr>
                <w:b/>
                <w:color w:val="auto"/>
                <w:szCs w:val="21"/>
              </w:rPr>
              <w:t>表</w:t>
            </w:r>
            <w:r>
              <w:rPr>
                <w:rFonts w:hint="eastAsia"/>
                <w:b/>
                <w:color w:val="auto"/>
                <w:szCs w:val="21"/>
              </w:rPr>
              <w:t>3</w:t>
            </w:r>
            <w:r>
              <w:rPr>
                <w:b/>
                <w:color w:val="auto"/>
                <w:szCs w:val="21"/>
              </w:rPr>
              <w:t>-</w:t>
            </w:r>
            <w:r>
              <w:rPr>
                <w:rFonts w:hint="eastAsia"/>
                <w:b/>
                <w:color w:val="auto"/>
                <w:szCs w:val="21"/>
              </w:rPr>
              <w:t>13</w:t>
            </w:r>
            <w:r>
              <w:rPr>
                <w:b/>
                <w:color w:val="auto"/>
                <w:szCs w:val="21"/>
              </w:rPr>
              <w:t xml:space="preserve">  厂区内挥发性有机物（VOCs）无组织排放限值</w:t>
            </w:r>
          </w:p>
          <w:p w14:paraId="26F17CAA">
            <w:pPr>
              <w:pStyle w:val="28"/>
              <w:spacing w:line="240" w:lineRule="auto"/>
              <w:ind w:left="482" w:firstLine="482"/>
              <w:jc w:val="right"/>
              <w:rPr>
                <w:bCs/>
                <w:color w:val="auto"/>
                <w:szCs w:val="21"/>
              </w:rPr>
            </w:pPr>
            <w:r>
              <w:rPr>
                <w:bCs/>
                <w:color w:val="auto"/>
                <w:szCs w:val="21"/>
              </w:rPr>
              <w:t>单位：mg/m</w:t>
            </w:r>
            <w:r>
              <w:rPr>
                <w:bCs/>
                <w:color w:val="auto"/>
                <w:szCs w:val="21"/>
                <w:vertAlign w:val="superscript"/>
              </w:rPr>
              <w:t>3</w:t>
            </w:r>
          </w:p>
          <w:tbl>
            <w:tblPr>
              <w:tblStyle w:val="3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49"/>
              <w:gridCol w:w="2926"/>
              <w:gridCol w:w="2474"/>
            </w:tblGrid>
            <w:tr w14:paraId="6BFA7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30" w:type="dxa"/>
                  <w:tcBorders>
                    <w:top w:val="single" w:color="auto" w:sz="4" w:space="0"/>
                    <w:left w:val="single" w:color="auto" w:sz="4" w:space="0"/>
                    <w:bottom w:val="single" w:color="auto" w:sz="4" w:space="0"/>
                  </w:tcBorders>
                  <w:vAlign w:val="center"/>
                </w:tcPr>
                <w:p w14:paraId="0E5DA799">
                  <w:pPr>
                    <w:pStyle w:val="139"/>
                    <w:rPr>
                      <w:b/>
                      <w:color w:val="auto"/>
                      <w:szCs w:val="21"/>
                    </w:rPr>
                  </w:pPr>
                  <w:r>
                    <w:rPr>
                      <w:b/>
                      <w:color w:val="auto"/>
                      <w:szCs w:val="21"/>
                    </w:rPr>
                    <w:t>污染物项目</w:t>
                  </w:r>
                </w:p>
              </w:tc>
              <w:tc>
                <w:tcPr>
                  <w:tcW w:w="1523" w:type="dxa"/>
                  <w:tcBorders>
                    <w:top w:val="single" w:color="auto" w:sz="4" w:space="0"/>
                    <w:bottom w:val="single" w:color="auto" w:sz="4" w:space="0"/>
                  </w:tcBorders>
                  <w:vAlign w:val="center"/>
                </w:tcPr>
                <w:p w14:paraId="7B363256">
                  <w:pPr>
                    <w:pStyle w:val="139"/>
                    <w:rPr>
                      <w:b/>
                      <w:color w:val="auto"/>
                      <w:szCs w:val="21"/>
                    </w:rPr>
                  </w:pPr>
                  <w:r>
                    <w:rPr>
                      <w:rFonts w:hint="eastAsia"/>
                      <w:b/>
                      <w:color w:val="auto"/>
                      <w:szCs w:val="21"/>
                    </w:rPr>
                    <w:t>特别排放</w:t>
                  </w:r>
                  <w:r>
                    <w:rPr>
                      <w:b/>
                      <w:color w:val="auto"/>
                      <w:szCs w:val="21"/>
                    </w:rPr>
                    <w:t>限值</w:t>
                  </w:r>
                </w:p>
              </w:tc>
              <w:tc>
                <w:tcPr>
                  <w:tcW w:w="2877" w:type="dxa"/>
                  <w:tcBorders>
                    <w:top w:val="single" w:color="auto" w:sz="4" w:space="0"/>
                    <w:bottom w:val="single" w:color="auto" w:sz="4" w:space="0"/>
                  </w:tcBorders>
                  <w:vAlign w:val="center"/>
                </w:tcPr>
                <w:p w14:paraId="3D82FBF9">
                  <w:pPr>
                    <w:pStyle w:val="139"/>
                    <w:rPr>
                      <w:b/>
                      <w:color w:val="auto"/>
                      <w:szCs w:val="21"/>
                    </w:rPr>
                  </w:pPr>
                  <w:r>
                    <w:rPr>
                      <w:b/>
                      <w:color w:val="auto"/>
                      <w:szCs w:val="21"/>
                    </w:rPr>
                    <w:t>限值含义</w:t>
                  </w:r>
                </w:p>
              </w:tc>
              <w:tc>
                <w:tcPr>
                  <w:tcW w:w="2433" w:type="dxa"/>
                  <w:tcBorders>
                    <w:top w:val="single" w:color="auto" w:sz="4" w:space="0"/>
                    <w:bottom w:val="single" w:color="auto" w:sz="4" w:space="0"/>
                    <w:right w:val="single" w:color="auto" w:sz="4" w:space="0"/>
                  </w:tcBorders>
                  <w:vAlign w:val="center"/>
                </w:tcPr>
                <w:p w14:paraId="10AFCF84">
                  <w:pPr>
                    <w:pStyle w:val="139"/>
                    <w:rPr>
                      <w:b/>
                      <w:color w:val="auto"/>
                      <w:szCs w:val="21"/>
                    </w:rPr>
                  </w:pPr>
                  <w:r>
                    <w:rPr>
                      <w:b/>
                      <w:color w:val="auto"/>
                      <w:szCs w:val="21"/>
                    </w:rPr>
                    <w:t>无组织排放监控位置</w:t>
                  </w:r>
                </w:p>
              </w:tc>
            </w:tr>
            <w:tr w14:paraId="6B9E1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30" w:type="dxa"/>
                  <w:vMerge w:val="restart"/>
                  <w:tcBorders>
                    <w:top w:val="single" w:color="auto" w:sz="4" w:space="0"/>
                    <w:left w:val="single" w:color="auto" w:sz="4" w:space="0"/>
                    <w:bottom w:val="single" w:color="auto" w:sz="4" w:space="0"/>
                  </w:tcBorders>
                  <w:vAlign w:val="center"/>
                </w:tcPr>
                <w:p w14:paraId="537A494C">
                  <w:pPr>
                    <w:pStyle w:val="139"/>
                    <w:rPr>
                      <w:bCs/>
                      <w:color w:val="auto"/>
                      <w:szCs w:val="21"/>
                    </w:rPr>
                  </w:pPr>
                  <w:r>
                    <w:rPr>
                      <w:bCs/>
                      <w:color w:val="auto"/>
                      <w:szCs w:val="21"/>
                    </w:rPr>
                    <w:t>非甲烷总烃</w:t>
                  </w:r>
                </w:p>
                <w:p w14:paraId="408A642A">
                  <w:pPr>
                    <w:pStyle w:val="139"/>
                    <w:rPr>
                      <w:bCs/>
                      <w:color w:val="auto"/>
                      <w:szCs w:val="21"/>
                    </w:rPr>
                  </w:pPr>
                  <w:r>
                    <w:rPr>
                      <w:bCs/>
                      <w:color w:val="auto"/>
                      <w:szCs w:val="21"/>
                    </w:rPr>
                    <w:t>（NMHC）</w:t>
                  </w:r>
                </w:p>
              </w:tc>
              <w:tc>
                <w:tcPr>
                  <w:tcW w:w="1523" w:type="dxa"/>
                  <w:tcBorders>
                    <w:top w:val="single" w:color="auto" w:sz="4" w:space="0"/>
                    <w:bottom w:val="single" w:color="auto" w:sz="4" w:space="0"/>
                  </w:tcBorders>
                  <w:vAlign w:val="center"/>
                </w:tcPr>
                <w:p w14:paraId="2F50BF9F">
                  <w:pPr>
                    <w:pStyle w:val="139"/>
                    <w:rPr>
                      <w:bCs/>
                      <w:color w:val="auto"/>
                      <w:szCs w:val="21"/>
                    </w:rPr>
                  </w:pPr>
                  <w:r>
                    <w:rPr>
                      <w:rFonts w:hint="eastAsia"/>
                      <w:bCs/>
                      <w:color w:val="auto"/>
                      <w:szCs w:val="21"/>
                    </w:rPr>
                    <w:t>6</w:t>
                  </w:r>
                </w:p>
              </w:tc>
              <w:tc>
                <w:tcPr>
                  <w:tcW w:w="2877" w:type="dxa"/>
                  <w:tcBorders>
                    <w:top w:val="single" w:color="auto" w:sz="4" w:space="0"/>
                    <w:bottom w:val="single" w:color="auto" w:sz="4" w:space="0"/>
                  </w:tcBorders>
                  <w:vAlign w:val="center"/>
                </w:tcPr>
                <w:p w14:paraId="60FE6B1E">
                  <w:pPr>
                    <w:pStyle w:val="139"/>
                    <w:rPr>
                      <w:bCs/>
                      <w:color w:val="auto"/>
                      <w:szCs w:val="21"/>
                    </w:rPr>
                  </w:pPr>
                  <w:r>
                    <w:rPr>
                      <w:bCs/>
                      <w:color w:val="auto"/>
                      <w:szCs w:val="21"/>
                    </w:rPr>
                    <w:t xml:space="preserve">监控点处 1 </w:t>
                  </w:r>
                  <w:r>
                    <w:rPr>
                      <w:rFonts w:hint="eastAsia"/>
                      <w:bCs/>
                      <w:color w:val="auto"/>
                      <w:szCs w:val="21"/>
                    </w:rPr>
                    <w:t>h</w:t>
                  </w:r>
                  <w:r>
                    <w:rPr>
                      <w:bCs/>
                      <w:color w:val="auto"/>
                      <w:szCs w:val="21"/>
                    </w:rPr>
                    <w:t>平均浓度限值</w:t>
                  </w:r>
                </w:p>
              </w:tc>
              <w:tc>
                <w:tcPr>
                  <w:tcW w:w="2433" w:type="dxa"/>
                  <w:vMerge w:val="restart"/>
                  <w:tcBorders>
                    <w:top w:val="single" w:color="auto" w:sz="4" w:space="0"/>
                    <w:bottom w:val="single" w:color="auto" w:sz="4" w:space="0"/>
                    <w:right w:val="single" w:color="auto" w:sz="4" w:space="0"/>
                  </w:tcBorders>
                  <w:vAlign w:val="center"/>
                </w:tcPr>
                <w:p w14:paraId="75C906BB">
                  <w:pPr>
                    <w:pStyle w:val="139"/>
                    <w:rPr>
                      <w:bCs/>
                      <w:color w:val="auto"/>
                      <w:szCs w:val="21"/>
                    </w:rPr>
                  </w:pPr>
                  <w:r>
                    <w:rPr>
                      <w:bCs/>
                      <w:color w:val="auto"/>
                      <w:szCs w:val="21"/>
                    </w:rPr>
                    <w:t>在厂房外设置监控点</w:t>
                  </w:r>
                </w:p>
              </w:tc>
            </w:tr>
            <w:tr w14:paraId="12B15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30" w:type="dxa"/>
                  <w:vMerge w:val="continue"/>
                  <w:tcBorders>
                    <w:top w:val="single" w:color="auto" w:sz="4" w:space="0"/>
                    <w:left w:val="single" w:color="auto" w:sz="4" w:space="0"/>
                    <w:bottom w:val="single" w:color="auto" w:sz="4" w:space="0"/>
                  </w:tcBorders>
                  <w:vAlign w:val="center"/>
                </w:tcPr>
                <w:p w14:paraId="69EDEA24">
                  <w:pPr>
                    <w:pStyle w:val="139"/>
                    <w:rPr>
                      <w:bCs/>
                      <w:color w:val="auto"/>
                      <w:szCs w:val="21"/>
                    </w:rPr>
                  </w:pPr>
                </w:p>
              </w:tc>
              <w:tc>
                <w:tcPr>
                  <w:tcW w:w="1523" w:type="dxa"/>
                  <w:tcBorders>
                    <w:top w:val="single" w:color="auto" w:sz="4" w:space="0"/>
                    <w:bottom w:val="single" w:color="auto" w:sz="4" w:space="0"/>
                  </w:tcBorders>
                  <w:vAlign w:val="center"/>
                </w:tcPr>
                <w:p w14:paraId="5F61A3A7">
                  <w:pPr>
                    <w:pStyle w:val="139"/>
                    <w:rPr>
                      <w:bCs/>
                      <w:color w:val="auto"/>
                      <w:szCs w:val="21"/>
                    </w:rPr>
                  </w:pPr>
                  <w:r>
                    <w:rPr>
                      <w:rFonts w:hint="eastAsia"/>
                      <w:bCs/>
                      <w:color w:val="auto"/>
                      <w:szCs w:val="21"/>
                    </w:rPr>
                    <w:t>20</w:t>
                  </w:r>
                </w:p>
              </w:tc>
              <w:tc>
                <w:tcPr>
                  <w:tcW w:w="2877" w:type="dxa"/>
                  <w:tcBorders>
                    <w:top w:val="single" w:color="auto" w:sz="4" w:space="0"/>
                    <w:bottom w:val="single" w:color="auto" w:sz="4" w:space="0"/>
                  </w:tcBorders>
                  <w:vAlign w:val="center"/>
                </w:tcPr>
                <w:p w14:paraId="2D6A07B8">
                  <w:pPr>
                    <w:pStyle w:val="139"/>
                    <w:rPr>
                      <w:bCs/>
                      <w:color w:val="auto"/>
                      <w:szCs w:val="21"/>
                    </w:rPr>
                  </w:pPr>
                  <w:r>
                    <w:rPr>
                      <w:bCs/>
                      <w:color w:val="auto"/>
                      <w:szCs w:val="21"/>
                    </w:rPr>
                    <w:t>监控点处任意一次浓度值</w:t>
                  </w:r>
                </w:p>
              </w:tc>
              <w:tc>
                <w:tcPr>
                  <w:tcW w:w="2433" w:type="dxa"/>
                  <w:vMerge w:val="continue"/>
                  <w:tcBorders>
                    <w:top w:val="single" w:color="auto" w:sz="4" w:space="0"/>
                    <w:bottom w:val="single" w:color="auto" w:sz="4" w:space="0"/>
                    <w:right w:val="single" w:color="auto" w:sz="4" w:space="0"/>
                  </w:tcBorders>
                  <w:vAlign w:val="center"/>
                </w:tcPr>
                <w:p w14:paraId="24781D6A">
                  <w:pPr>
                    <w:pStyle w:val="139"/>
                    <w:rPr>
                      <w:bCs/>
                      <w:color w:val="auto"/>
                      <w:szCs w:val="21"/>
                    </w:rPr>
                  </w:pPr>
                </w:p>
              </w:tc>
            </w:tr>
          </w:tbl>
          <w:p w14:paraId="35B0001C">
            <w:pPr>
              <w:adjustRightInd w:val="0"/>
              <w:snapToGrid w:val="0"/>
              <w:spacing w:line="440" w:lineRule="exact"/>
              <w:rPr>
                <w:rFonts w:hAnsi="宋体"/>
                <w:b/>
                <w:color w:val="auto"/>
                <w:sz w:val="24"/>
              </w:rPr>
            </w:pPr>
            <w:r>
              <w:rPr>
                <w:rFonts w:hint="eastAsia" w:hAnsi="宋体"/>
                <w:b/>
                <w:color w:val="auto"/>
                <w:sz w:val="24"/>
              </w:rPr>
              <w:t>3.3.3 噪声</w:t>
            </w:r>
          </w:p>
          <w:p w14:paraId="3918387C">
            <w:pPr>
              <w:spacing w:line="440" w:lineRule="exact"/>
              <w:ind w:firstLine="480" w:firstLineChars="200"/>
              <w:rPr>
                <w:color w:val="auto"/>
                <w:sz w:val="24"/>
              </w:rPr>
            </w:pPr>
            <w:r>
              <w:rPr>
                <w:rFonts w:hAnsi="宋体"/>
                <w:color w:val="auto"/>
                <w:sz w:val="24"/>
              </w:rPr>
              <w:t>本项目位于工业园</w:t>
            </w:r>
            <w:r>
              <w:rPr>
                <w:rFonts w:hint="eastAsia" w:hAnsi="宋体"/>
                <w:color w:val="auto"/>
                <w:sz w:val="24"/>
              </w:rPr>
              <w:t>区</w:t>
            </w:r>
            <w:r>
              <w:rPr>
                <w:color w:val="auto"/>
                <w:sz w:val="24"/>
              </w:rPr>
              <w:t>，</w:t>
            </w:r>
            <w:r>
              <w:rPr>
                <w:rFonts w:hint="eastAsia"/>
                <w:snapToGrid w:val="0"/>
                <w:color w:val="auto"/>
                <w:kern w:val="0"/>
                <w:sz w:val="24"/>
              </w:rPr>
              <w:t>厂</w:t>
            </w:r>
            <w:r>
              <w:rPr>
                <w:snapToGrid w:val="0"/>
                <w:color w:val="auto"/>
                <w:kern w:val="0"/>
                <w:sz w:val="24"/>
              </w:rPr>
              <w:t>界噪声排放</w:t>
            </w:r>
            <w:r>
              <w:rPr>
                <w:color w:val="auto"/>
                <w:sz w:val="24"/>
              </w:rPr>
              <w:t>执行GB12348-2008《工业企业厂界环境噪声排放标准》中的</w:t>
            </w:r>
            <w:r>
              <w:rPr>
                <w:rFonts w:hint="eastAsia"/>
                <w:color w:val="auto"/>
                <w:sz w:val="24"/>
              </w:rPr>
              <w:t>3</w:t>
            </w:r>
            <w:r>
              <w:rPr>
                <w:color w:val="auto"/>
                <w:sz w:val="24"/>
              </w:rPr>
              <w:t>类标准</w:t>
            </w:r>
            <w:r>
              <w:rPr>
                <w:rFonts w:hint="eastAsia" w:hAnsi="宋体"/>
                <w:color w:val="auto"/>
                <w:sz w:val="24"/>
              </w:rPr>
              <w:t>，</w:t>
            </w:r>
            <w:r>
              <w:rPr>
                <w:rFonts w:hAnsi="宋体"/>
                <w:color w:val="auto"/>
                <w:sz w:val="24"/>
              </w:rPr>
              <w:t>具体</w:t>
            </w:r>
            <w:r>
              <w:rPr>
                <w:color w:val="auto"/>
                <w:sz w:val="24"/>
              </w:rPr>
              <w:t>见表</w:t>
            </w:r>
            <w:r>
              <w:rPr>
                <w:rFonts w:hint="eastAsia"/>
                <w:color w:val="auto"/>
                <w:sz w:val="24"/>
              </w:rPr>
              <w:t>3</w:t>
            </w:r>
            <w:r>
              <w:rPr>
                <w:color w:val="auto"/>
                <w:sz w:val="24"/>
              </w:rPr>
              <w:t>-</w:t>
            </w:r>
            <w:r>
              <w:rPr>
                <w:rFonts w:hint="eastAsia"/>
                <w:color w:val="auto"/>
                <w:sz w:val="24"/>
              </w:rPr>
              <w:t>14</w:t>
            </w:r>
            <w:r>
              <w:rPr>
                <w:color w:val="auto"/>
                <w:sz w:val="24"/>
              </w:rPr>
              <w:t>。</w:t>
            </w:r>
          </w:p>
          <w:p w14:paraId="4CCF2E72">
            <w:pPr>
              <w:spacing w:line="440" w:lineRule="exact"/>
              <w:jc w:val="center"/>
              <w:rPr>
                <w:b/>
                <w:color w:val="auto"/>
                <w:szCs w:val="21"/>
              </w:rPr>
            </w:pPr>
            <w:r>
              <w:rPr>
                <w:b/>
                <w:color w:val="auto"/>
                <w:szCs w:val="21"/>
              </w:rPr>
              <w:t>表</w:t>
            </w:r>
            <w:r>
              <w:rPr>
                <w:rFonts w:hint="eastAsia"/>
                <w:b/>
                <w:color w:val="auto"/>
                <w:szCs w:val="21"/>
              </w:rPr>
              <w:t>3</w:t>
            </w:r>
            <w:r>
              <w:rPr>
                <w:b/>
                <w:color w:val="auto"/>
                <w:szCs w:val="21"/>
              </w:rPr>
              <w:t>-</w:t>
            </w:r>
            <w:r>
              <w:rPr>
                <w:rFonts w:hint="eastAsia"/>
                <w:b/>
                <w:color w:val="auto"/>
                <w:szCs w:val="21"/>
              </w:rPr>
              <w:t xml:space="preserve">14  </w:t>
            </w:r>
            <w:r>
              <w:rPr>
                <w:b/>
                <w:color w:val="auto"/>
                <w:szCs w:val="21"/>
              </w:rPr>
              <w:t>GB12348-2008《工业企业厂界环境噪声排放标准》</w:t>
            </w:r>
          </w:p>
          <w:p w14:paraId="2637C21A">
            <w:pPr>
              <w:ind w:firstLine="210" w:firstLineChars="100"/>
              <w:jc w:val="right"/>
              <w:rPr>
                <w:color w:val="auto"/>
              </w:rPr>
            </w:pPr>
            <w:r>
              <w:rPr>
                <w:color w:val="auto"/>
              </w:rPr>
              <w:t>单位：dB(A)</w:t>
            </w:r>
          </w:p>
          <w:tbl>
            <w:tblPr>
              <w:tblStyle w:val="37"/>
              <w:tblW w:w="850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460"/>
              <w:gridCol w:w="3022"/>
              <w:gridCol w:w="3022"/>
            </w:tblGrid>
            <w:tr w14:paraId="4B6286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296" w:type="dxa"/>
                  <w:vAlign w:val="center"/>
                </w:tcPr>
                <w:p w14:paraId="09A4FCFD">
                  <w:pPr>
                    <w:adjustRightInd w:val="0"/>
                    <w:snapToGrid w:val="0"/>
                    <w:jc w:val="center"/>
                    <w:rPr>
                      <w:b/>
                      <w:color w:val="auto"/>
                    </w:rPr>
                  </w:pPr>
                  <w:r>
                    <w:rPr>
                      <w:b/>
                      <w:color w:val="auto"/>
                    </w:rPr>
                    <w:t>类别</w:t>
                  </w:r>
                </w:p>
              </w:tc>
              <w:tc>
                <w:tcPr>
                  <w:tcW w:w="2821" w:type="dxa"/>
                  <w:vAlign w:val="center"/>
                </w:tcPr>
                <w:p w14:paraId="5F8CD189">
                  <w:pPr>
                    <w:adjustRightInd w:val="0"/>
                    <w:snapToGrid w:val="0"/>
                    <w:jc w:val="center"/>
                    <w:rPr>
                      <w:b/>
                      <w:color w:val="auto"/>
                    </w:rPr>
                  </w:pPr>
                  <w:r>
                    <w:rPr>
                      <w:b/>
                      <w:color w:val="auto"/>
                    </w:rPr>
                    <w:t>昼间</w:t>
                  </w:r>
                </w:p>
              </w:tc>
              <w:tc>
                <w:tcPr>
                  <w:tcW w:w="2821" w:type="dxa"/>
                  <w:vAlign w:val="center"/>
                </w:tcPr>
                <w:p w14:paraId="54A24C9D">
                  <w:pPr>
                    <w:adjustRightInd w:val="0"/>
                    <w:snapToGrid w:val="0"/>
                    <w:jc w:val="center"/>
                    <w:rPr>
                      <w:b/>
                      <w:color w:val="auto"/>
                    </w:rPr>
                  </w:pPr>
                  <w:r>
                    <w:rPr>
                      <w:b/>
                      <w:color w:val="auto"/>
                    </w:rPr>
                    <w:t>夜间</w:t>
                  </w:r>
                </w:p>
              </w:tc>
            </w:tr>
            <w:tr w14:paraId="25506E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296" w:type="dxa"/>
                  <w:vAlign w:val="center"/>
                </w:tcPr>
                <w:p w14:paraId="5BA27A96">
                  <w:pPr>
                    <w:adjustRightInd w:val="0"/>
                    <w:snapToGrid w:val="0"/>
                    <w:jc w:val="center"/>
                    <w:rPr>
                      <w:color w:val="auto"/>
                    </w:rPr>
                  </w:pPr>
                  <w:r>
                    <w:rPr>
                      <w:rFonts w:hint="eastAsia"/>
                      <w:color w:val="auto"/>
                    </w:rPr>
                    <w:t>3</w:t>
                  </w:r>
                  <w:r>
                    <w:rPr>
                      <w:color w:val="auto"/>
                    </w:rPr>
                    <w:t>类</w:t>
                  </w:r>
                </w:p>
              </w:tc>
              <w:tc>
                <w:tcPr>
                  <w:tcW w:w="2821" w:type="dxa"/>
                  <w:vAlign w:val="center"/>
                </w:tcPr>
                <w:p w14:paraId="44BC5411">
                  <w:pPr>
                    <w:adjustRightInd w:val="0"/>
                    <w:snapToGrid w:val="0"/>
                    <w:jc w:val="center"/>
                    <w:rPr>
                      <w:color w:val="auto"/>
                    </w:rPr>
                  </w:pPr>
                  <w:r>
                    <w:rPr>
                      <w:color w:val="auto"/>
                    </w:rPr>
                    <w:t>6</w:t>
                  </w:r>
                  <w:r>
                    <w:rPr>
                      <w:rFonts w:hint="eastAsia"/>
                      <w:color w:val="auto"/>
                    </w:rPr>
                    <w:t>5</w:t>
                  </w:r>
                </w:p>
              </w:tc>
              <w:tc>
                <w:tcPr>
                  <w:tcW w:w="2821" w:type="dxa"/>
                  <w:vAlign w:val="center"/>
                </w:tcPr>
                <w:p w14:paraId="43ECB009">
                  <w:pPr>
                    <w:adjustRightInd w:val="0"/>
                    <w:snapToGrid w:val="0"/>
                    <w:jc w:val="center"/>
                    <w:rPr>
                      <w:color w:val="auto"/>
                    </w:rPr>
                  </w:pPr>
                  <w:r>
                    <w:rPr>
                      <w:color w:val="auto"/>
                    </w:rPr>
                    <w:t>5</w:t>
                  </w:r>
                  <w:r>
                    <w:rPr>
                      <w:rFonts w:hint="eastAsia"/>
                      <w:color w:val="auto"/>
                    </w:rPr>
                    <w:t>5</w:t>
                  </w:r>
                </w:p>
              </w:tc>
            </w:tr>
          </w:tbl>
          <w:p w14:paraId="6CAD3847">
            <w:pPr>
              <w:spacing w:line="440" w:lineRule="exact"/>
              <w:jc w:val="left"/>
              <w:rPr>
                <w:b/>
                <w:color w:val="auto"/>
                <w:sz w:val="24"/>
              </w:rPr>
            </w:pPr>
            <w:r>
              <w:rPr>
                <w:rFonts w:hint="eastAsia" w:hAnsi="宋体"/>
                <w:b/>
                <w:color w:val="auto"/>
                <w:sz w:val="24"/>
              </w:rPr>
              <w:t>3.3.4</w:t>
            </w:r>
            <w:r>
              <w:rPr>
                <w:b/>
                <w:color w:val="auto"/>
                <w:sz w:val="24"/>
              </w:rPr>
              <w:t>固体废物</w:t>
            </w:r>
          </w:p>
          <w:p w14:paraId="73BB207A">
            <w:pPr>
              <w:adjustRightInd w:val="0"/>
              <w:snapToGrid w:val="0"/>
              <w:spacing w:line="440" w:lineRule="exact"/>
              <w:ind w:firstLine="480"/>
              <w:rPr>
                <w:color w:val="auto"/>
                <w:kern w:val="0"/>
                <w:szCs w:val="21"/>
              </w:rPr>
            </w:pPr>
            <w:r>
              <w:rPr>
                <w:color w:val="auto"/>
                <w:sz w:val="24"/>
              </w:rPr>
              <w:t>本项目</w:t>
            </w:r>
            <w:r>
              <w:rPr>
                <w:rFonts w:hint="eastAsia"/>
                <w:color w:val="auto"/>
                <w:sz w:val="24"/>
              </w:rPr>
              <w:t>一般工业固体废物执行《一般工业固体废物贮存和填埋污染控制标准》 （GB18599-2020），采用库房、包装工具(罐、桶、包装袋等)贮存一般工业固体废物过程的污染控制，不适用该标准，其贮存过程应满足相应防渗漏、防雨淋、防扬尘等环境保护要求；危险固废暂时贮存执行《危险废物贮存污染控制标准》（</w:t>
            </w:r>
            <w:r>
              <w:rPr>
                <w:color w:val="auto"/>
                <w:sz w:val="24"/>
              </w:rPr>
              <w:t>GB18597-20</w:t>
            </w:r>
            <w:r>
              <w:rPr>
                <w:rFonts w:hint="eastAsia"/>
                <w:color w:val="auto"/>
                <w:sz w:val="24"/>
              </w:rPr>
              <w:t>23）。</w:t>
            </w:r>
          </w:p>
        </w:tc>
      </w:tr>
      <w:tr w14:paraId="7B770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6" w:type="dxa"/>
            <w:vAlign w:val="center"/>
          </w:tcPr>
          <w:p w14:paraId="0E8CC385">
            <w:pPr>
              <w:adjustRightInd w:val="0"/>
              <w:snapToGrid w:val="0"/>
              <w:jc w:val="center"/>
              <w:rPr>
                <w:color w:val="auto"/>
                <w:kern w:val="0"/>
                <w:sz w:val="24"/>
              </w:rPr>
            </w:pPr>
            <w:r>
              <w:rPr>
                <w:rFonts w:hAnsi="宋体"/>
                <w:color w:val="auto"/>
                <w:kern w:val="0"/>
                <w:sz w:val="24"/>
              </w:rPr>
              <w:t>总量</w:t>
            </w:r>
          </w:p>
          <w:p w14:paraId="6032FA63">
            <w:pPr>
              <w:adjustRightInd w:val="0"/>
              <w:snapToGrid w:val="0"/>
              <w:jc w:val="center"/>
              <w:rPr>
                <w:color w:val="auto"/>
                <w:kern w:val="0"/>
                <w:sz w:val="24"/>
              </w:rPr>
            </w:pPr>
            <w:r>
              <w:rPr>
                <w:rFonts w:hAnsi="宋体"/>
                <w:color w:val="auto"/>
                <w:kern w:val="0"/>
                <w:sz w:val="24"/>
              </w:rPr>
              <w:t>控制</w:t>
            </w:r>
          </w:p>
          <w:p w14:paraId="7FC0A9DE">
            <w:pPr>
              <w:adjustRightInd w:val="0"/>
              <w:snapToGrid w:val="0"/>
              <w:jc w:val="center"/>
              <w:rPr>
                <w:color w:val="auto"/>
                <w:kern w:val="0"/>
                <w:sz w:val="24"/>
              </w:rPr>
            </w:pPr>
            <w:r>
              <w:rPr>
                <w:rFonts w:hAnsi="宋体"/>
                <w:color w:val="auto"/>
                <w:kern w:val="0"/>
                <w:sz w:val="24"/>
              </w:rPr>
              <w:t>指标</w:t>
            </w:r>
          </w:p>
        </w:tc>
        <w:tc>
          <w:tcPr>
            <w:tcW w:w="8731" w:type="dxa"/>
            <w:vAlign w:val="center"/>
          </w:tcPr>
          <w:p w14:paraId="29371032">
            <w:pPr>
              <w:adjustRightInd w:val="0"/>
              <w:snapToGrid w:val="0"/>
              <w:spacing w:line="420" w:lineRule="exact"/>
              <w:rPr>
                <w:b/>
                <w:color w:val="auto"/>
                <w:kern w:val="0"/>
                <w:sz w:val="24"/>
              </w:rPr>
            </w:pPr>
            <w:r>
              <w:rPr>
                <w:rFonts w:hint="eastAsia"/>
                <w:b/>
                <w:color w:val="auto"/>
                <w:kern w:val="0"/>
                <w:sz w:val="24"/>
              </w:rPr>
              <w:t>3.4 总量控制指标</w:t>
            </w:r>
          </w:p>
          <w:p w14:paraId="6410959D">
            <w:pPr>
              <w:spacing w:line="420" w:lineRule="exact"/>
              <w:rPr>
                <w:b/>
                <w:color w:val="auto"/>
                <w:sz w:val="24"/>
              </w:rPr>
            </w:pPr>
            <w:r>
              <w:rPr>
                <w:rFonts w:hint="eastAsia"/>
                <w:b/>
                <w:color w:val="auto"/>
                <w:sz w:val="24"/>
              </w:rPr>
              <w:t>3.4.1</w:t>
            </w:r>
            <w:r>
              <w:rPr>
                <w:b/>
                <w:color w:val="auto"/>
                <w:sz w:val="24"/>
              </w:rPr>
              <w:t>总量控制指标</w:t>
            </w:r>
            <w:r>
              <w:rPr>
                <w:rFonts w:hint="eastAsia"/>
                <w:b/>
                <w:color w:val="auto"/>
                <w:sz w:val="24"/>
              </w:rPr>
              <w:t>依据</w:t>
            </w:r>
          </w:p>
          <w:p w14:paraId="6C722523">
            <w:pPr>
              <w:widowControl/>
              <w:spacing w:line="440" w:lineRule="exact"/>
              <w:ind w:firstLine="480" w:firstLineChars="200"/>
              <w:jc w:val="left"/>
              <w:rPr>
                <w:color w:val="auto"/>
                <w:sz w:val="24"/>
              </w:rPr>
            </w:pPr>
            <w:r>
              <w:rPr>
                <w:rFonts w:hint="eastAsia"/>
                <w:color w:val="auto"/>
                <w:sz w:val="24"/>
              </w:rPr>
              <w:t>实施污染物排放总量控制，应立足于清洁生产、污染物治理达标排放及区域污染物总量控制等基本控制原则。</w:t>
            </w:r>
          </w:p>
          <w:p w14:paraId="667606FE">
            <w:pPr>
              <w:pStyle w:val="12"/>
              <w:spacing w:line="420" w:lineRule="exact"/>
              <w:ind w:firstLine="480" w:firstLineChars="200"/>
              <w:rPr>
                <w:color w:val="auto"/>
                <w:kern w:val="2"/>
                <w:szCs w:val="24"/>
              </w:rPr>
            </w:pPr>
            <w:r>
              <w:rPr>
                <w:rFonts w:hint="eastAsia"/>
                <w:color w:val="auto"/>
                <w:kern w:val="2"/>
                <w:szCs w:val="24"/>
              </w:rPr>
              <w:t>“十四五”期间我国继续对</w:t>
            </w:r>
            <w:r>
              <w:rPr>
                <w:color w:val="auto"/>
                <w:kern w:val="2"/>
                <w:szCs w:val="24"/>
              </w:rPr>
              <w:t>COD</w:t>
            </w:r>
            <w:r>
              <w:rPr>
                <w:color w:val="auto"/>
                <w:kern w:val="2"/>
                <w:szCs w:val="24"/>
                <w:vertAlign w:val="subscript"/>
              </w:rPr>
              <w:t>Cr</w:t>
            </w:r>
            <w:r>
              <w:rPr>
                <w:rFonts w:hint="eastAsia"/>
                <w:color w:val="auto"/>
                <w:kern w:val="2"/>
                <w:szCs w:val="24"/>
              </w:rPr>
              <w:t>、</w:t>
            </w:r>
            <w:r>
              <w:rPr>
                <w:color w:val="auto"/>
                <w:kern w:val="2"/>
                <w:szCs w:val="24"/>
              </w:rPr>
              <w:t>NH</w:t>
            </w:r>
            <w:r>
              <w:rPr>
                <w:color w:val="auto"/>
                <w:kern w:val="2"/>
                <w:szCs w:val="24"/>
                <w:vertAlign w:val="subscript"/>
              </w:rPr>
              <w:t>3</w:t>
            </w:r>
            <w:r>
              <w:rPr>
                <w:color w:val="auto"/>
                <w:kern w:val="2"/>
                <w:szCs w:val="24"/>
              </w:rPr>
              <w:t>-N</w:t>
            </w:r>
            <w:r>
              <w:rPr>
                <w:rFonts w:hint="eastAsia"/>
                <w:color w:val="auto"/>
                <w:kern w:val="2"/>
                <w:szCs w:val="24"/>
              </w:rPr>
              <w:t>、SO</w:t>
            </w:r>
            <w:r>
              <w:rPr>
                <w:rFonts w:hint="eastAsia"/>
                <w:color w:val="auto"/>
                <w:kern w:val="2"/>
                <w:szCs w:val="24"/>
                <w:vertAlign w:val="subscript"/>
              </w:rPr>
              <w:t>2</w:t>
            </w:r>
            <w:r>
              <w:rPr>
                <w:rFonts w:hint="eastAsia"/>
                <w:color w:val="auto"/>
                <w:kern w:val="2"/>
                <w:szCs w:val="24"/>
              </w:rPr>
              <w:t xml:space="preserve">和氮氧化物共四种主要污染物实行排放总量控制计划管理，另外根据《浙江省挥发性有机物污染整治方案》的通知（浙环发〔2013〕54号，2013.11.4）的相关要求，浙江省对VOCs排放总量也提出总量控制要求。                                       </w:t>
            </w:r>
          </w:p>
          <w:p w14:paraId="607C7F5A">
            <w:pPr>
              <w:widowControl/>
              <w:spacing w:line="420" w:lineRule="exact"/>
              <w:ind w:firstLine="480" w:firstLineChars="200"/>
              <w:jc w:val="left"/>
              <w:rPr>
                <w:color w:val="auto"/>
                <w:sz w:val="24"/>
              </w:rPr>
            </w:pPr>
            <w:r>
              <w:rPr>
                <w:rFonts w:hint="eastAsia"/>
                <w:color w:val="auto"/>
                <w:sz w:val="24"/>
              </w:rPr>
              <w:t>由工程分析可知，本项目需将</w:t>
            </w:r>
            <w:r>
              <w:rPr>
                <w:color w:val="auto"/>
                <w:sz w:val="24"/>
              </w:rPr>
              <w:t>COD</w:t>
            </w:r>
            <w:r>
              <w:rPr>
                <w:color w:val="auto"/>
                <w:sz w:val="24"/>
                <w:vertAlign w:val="subscript"/>
              </w:rPr>
              <w:t>Cr</w:t>
            </w:r>
            <w:r>
              <w:rPr>
                <w:rFonts w:hint="eastAsia"/>
                <w:color w:val="auto"/>
                <w:sz w:val="24"/>
              </w:rPr>
              <w:t>、</w:t>
            </w:r>
            <w:r>
              <w:rPr>
                <w:color w:val="auto"/>
                <w:sz w:val="24"/>
              </w:rPr>
              <w:t>NH</w:t>
            </w:r>
            <w:r>
              <w:rPr>
                <w:color w:val="auto"/>
                <w:sz w:val="24"/>
                <w:vertAlign w:val="subscript"/>
              </w:rPr>
              <w:t>3</w:t>
            </w:r>
            <w:r>
              <w:rPr>
                <w:color w:val="auto"/>
                <w:sz w:val="24"/>
              </w:rPr>
              <w:t>-N</w:t>
            </w:r>
            <w:r>
              <w:rPr>
                <w:rFonts w:hint="eastAsia"/>
                <w:color w:val="auto"/>
                <w:sz w:val="24"/>
              </w:rPr>
              <w:t>、工业烟粉尘、VOC</w:t>
            </w:r>
            <w:r>
              <w:rPr>
                <w:rFonts w:hint="eastAsia"/>
                <w:color w:val="auto"/>
                <w:sz w:val="24"/>
                <w:vertAlign w:val="subscript"/>
              </w:rPr>
              <w:t>S</w:t>
            </w:r>
            <w:r>
              <w:rPr>
                <w:rFonts w:hint="eastAsia"/>
                <w:color w:val="auto"/>
                <w:sz w:val="24"/>
              </w:rPr>
              <w:t>纳入污染物总量控制，总量控制指标具体见表3-14。</w:t>
            </w:r>
          </w:p>
          <w:p w14:paraId="494E2261">
            <w:pPr>
              <w:spacing w:line="420" w:lineRule="exact"/>
              <w:jc w:val="center"/>
              <w:rPr>
                <w:rFonts w:hAnsi="宋体"/>
                <w:b/>
                <w:color w:val="auto"/>
                <w:szCs w:val="21"/>
              </w:rPr>
            </w:pPr>
          </w:p>
          <w:p w14:paraId="37FCF0F3">
            <w:pPr>
              <w:spacing w:line="420" w:lineRule="exact"/>
              <w:jc w:val="center"/>
              <w:rPr>
                <w:rFonts w:hAnsi="宋体"/>
                <w:b/>
                <w:color w:val="auto"/>
                <w:szCs w:val="21"/>
              </w:rPr>
            </w:pPr>
          </w:p>
          <w:p w14:paraId="1C780F64">
            <w:pPr>
              <w:spacing w:line="420" w:lineRule="exact"/>
              <w:jc w:val="center"/>
              <w:rPr>
                <w:rFonts w:hAnsi="宋体"/>
                <w:b/>
                <w:color w:val="auto"/>
                <w:szCs w:val="21"/>
              </w:rPr>
            </w:pPr>
          </w:p>
          <w:p w14:paraId="4EEA7B08">
            <w:pPr>
              <w:spacing w:line="420" w:lineRule="exact"/>
              <w:jc w:val="center"/>
              <w:rPr>
                <w:rFonts w:hAnsi="宋体"/>
                <w:b/>
                <w:bCs/>
                <w:color w:val="auto"/>
                <w:szCs w:val="21"/>
              </w:rPr>
            </w:pPr>
            <w:r>
              <w:rPr>
                <w:rFonts w:hAnsi="宋体"/>
                <w:b/>
                <w:color w:val="auto"/>
                <w:szCs w:val="21"/>
              </w:rPr>
              <w:t>表</w:t>
            </w:r>
            <w:r>
              <w:rPr>
                <w:rFonts w:hint="eastAsia"/>
                <w:b/>
                <w:color w:val="auto"/>
                <w:szCs w:val="21"/>
              </w:rPr>
              <w:t>3</w:t>
            </w:r>
            <w:r>
              <w:rPr>
                <w:b/>
                <w:color w:val="auto"/>
                <w:szCs w:val="21"/>
              </w:rPr>
              <w:t>-</w:t>
            </w:r>
            <w:r>
              <w:rPr>
                <w:rFonts w:hint="eastAsia"/>
                <w:b/>
                <w:color w:val="auto"/>
                <w:szCs w:val="21"/>
              </w:rPr>
              <w:t xml:space="preserve">14  </w:t>
            </w:r>
            <w:r>
              <w:rPr>
                <w:rFonts w:hAnsi="宋体"/>
                <w:b/>
                <w:bCs/>
                <w:color w:val="auto"/>
                <w:szCs w:val="21"/>
              </w:rPr>
              <w:t>总量控制指标建议</w:t>
            </w:r>
          </w:p>
          <w:p w14:paraId="72DC2DBC">
            <w:pPr>
              <w:ind w:right="317"/>
              <w:jc w:val="right"/>
              <w:rPr>
                <w:bCs/>
                <w:color w:val="auto"/>
                <w:szCs w:val="21"/>
              </w:rPr>
            </w:pPr>
            <w:r>
              <w:rPr>
                <w:rFonts w:hAnsi="宋体"/>
                <w:bCs/>
                <w:color w:val="auto"/>
                <w:szCs w:val="21"/>
              </w:rPr>
              <w:t>单位：</w:t>
            </w:r>
            <w:r>
              <w:rPr>
                <w:bCs/>
                <w:color w:val="auto"/>
                <w:szCs w:val="21"/>
              </w:rPr>
              <w:t>t/a</w:t>
            </w:r>
          </w:p>
          <w:tbl>
            <w:tblPr>
              <w:tblStyle w:val="37"/>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907"/>
              <w:gridCol w:w="1118"/>
              <w:gridCol w:w="909"/>
              <w:gridCol w:w="1078"/>
              <w:gridCol w:w="1127"/>
              <w:gridCol w:w="1028"/>
              <w:gridCol w:w="1098"/>
            </w:tblGrid>
            <w:tr w14:paraId="1B66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0" w:type="dxa"/>
                  <w:gridSpan w:val="2"/>
                  <w:vAlign w:val="center"/>
                </w:tcPr>
                <w:p w14:paraId="0A6E6206">
                  <w:pPr>
                    <w:jc w:val="center"/>
                    <w:rPr>
                      <w:b/>
                      <w:szCs w:val="21"/>
                    </w:rPr>
                  </w:pPr>
                  <w:r>
                    <w:rPr>
                      <w:b/>
                      <w:szCs w:val="21"/>
                    </w:rPr>
                    <w:t>污染物名称</w:t>
                  </w:r>
                </w:p>
              </w:tc>
              <w:tc>
                <w:tcPr>
                  <w:tcW w:w="1118" w:type="dxa"/>
                  <w:vAlign w:val="center"/>
                </w:tcPr>
                <w:p w14:paraId="48D662FB">
                  <w:pPr>
                    <w:jc w:val="center"/>
                    <w:rPr>
                      <w:b/>
                      <w:szCs w:val="21"/>
                    </w:rPr>
                  </w:pPr>
                  <w:r>
                    <w:rPr>
                      <w:b/>
                      <w:szCs w:val="21"/>
                    </w:rPr>
                    <w:t>现有项目</w:t>
                  </w:r>
                </w:p>
                <w:p w14:paraId="3AF128FE">
                  <w:pPr>
                    <w:jc w:val="center"/>
                    <w:rPr>
                      <w:b/>
                      <w:szCs w:val="21"/>
                    </w:rPr>
                  </w:pPr>
                  <w:r>
                    <w:rPr>
                      <w:rFonts w:hint="eastAsia"/>
                      <w:b/>
                      <w:szCs w:val="21"/>
                    </w:rPr>
                    <w:t>审批</w:t>
                  </w:r>
                  <w:r>
                    <w:rPr>
                      <w:b/>
                      <w:szCs w:val="21"/>
                    </w:rPr>
                    <w:t>排放量</w:t>
                  </w:r>
                </w:p>
              </w:tc>
              <w:tc>
                <w:tcPr>
                  <w:tcW w:w="909" w:type="dxa"/>
                  <w:vAlign w:val="center"/>
                </w:tcPr>
                <w:p w14:paraId="14313BD3">
                  <w:pPr>
                    <w:jc w:val="center"/>
                    <w:rPr>
                      <w:b/>
                      <w:szCs w:val="21"/>
                    </w:rPr>
                  </w:pPr>
                  <w:r>
                    <w:rPr>
                      <w:rFonts w:hint="eastAsia"/>
                      <w:b/>
                      <w:szCs w:val="21"/>
                    </w:rPr>
                    <w:t>本项目</w:t>
                  </w:r>
                </w:p>
                <w:p w14:paraId="0F1B51A7">
                  <w:pPr>
                    <w:jc w:val="center"/>
                    <w:rPr>
                      <w:b/>
                      <w:szCs w:val="21"/>
                    </w:rPr>
                  </w:pPr>
                  <w:r>
                    <w:rPr>
                      <w:b/>
                      <w:szCs w:val="21"/>
                    </w:rPr>
                    <w:t>排放量</w:t>
                  </w:r>
                </w:p>
              </w:tc>
              <w:tc>
                <w:tcPr>
                  <w:tcW w:w="1078" w:type="dxa"/>
                  <w:vAlign w:val="center"/>
                </w:tcPr>
                <w:p w14:paraId="30B25789">
                  <w:pPr>
                    <w:jc w:val="center"/>
                    <w:rPr>
                      <w:b/>
                      <w:szCs w:val="21"/>
                    </w:rPr>
                  </w:pPr>
                  <w:r>
                    <w:rPr>
                      <w:b/>
                      <w:szCs w:val="21"/>
                    </w:rPr>
                    <w:t>以新带老</w:t>
                  </w:r>
                </w:p>
                <w:p w14:paraId="73648939">
                  <w:pPr>
                    <w:jc w:val="center"/>
                    <w:rPr>
                      <w:b/>
                      <w:szCs w:val="21"/>
                    </w:rPr>
                  </w:pPr>
                  <w:r>
                    <w:rPr>
                      <w:b/>
                      <w:szCs w:val="21"/>
                    </w:rPr>
                    <w:t>削减量</w:t>
                  </w:r>
                </w:p>
              </w:tc>
              <w:tc>
                <w:tcPr>
                  <w:tcW w:w="1127" w:type="dxa"/>
                  <w:vAlign w:val="center"/>
                </w:tcPr>
                <w:p w14:paraId="2C543C68">
                  <w:pPr>
                    <w:jc w:val="center"/>
                    <w:rPr>
                      <w:b/>
                      <w:szCs w:val="21"/>
                    </w:rPr>
                  </w:pPr>
                  <w:r>
                    <w:rPr>
                      <w:rFonts w:hint="eastAsia"/>
                      <w:b/>
                      <w:szCs w:val="21"/>
                    </w:rPr>
                    <w:t>本项目实施后</w:t>
                  </w:r>
                  <w:r>
                    <w:rPr>
                      <w:b/>
                      <w:szCs w:val="21"/>
                    </w:rPr>
                    <w:t>全厂</w:t>
                  </w:r>
                </w:p>
                <w:p w14:paraId="2A79A3B2">
                  <w:pPr>
                    <w:jc w:val="center"/>
                    <w:rPr>
                      <w:b/>
                      <w:szCs w:val="21"/>
                    </w:rPr>
                  </w:pPr>
                  <w:r>
                    <w:rPr>
                      <w:b/>
                      <w:szCs w:val="21"/>
                    </w:rPr>
                    <w:t>排放量</w:t>
                  </w:r>
                </w:p>
              </w:tc>
              <w:tc>
                <w:tcPr>
                  <w:tcW w:w="1028" w:type="dxa"/>
                  <w:vAlign w:val="center"/>
                </w:tcPr>
                <w:p w14:paraId="41C234E0">
                  <w:pPr>
                    <w:jc w:val="center"/>
                    <w:rPr>
                      <w:b/>
                      <w:szCs w:val="21"/>
                    </w:rPr>
                  </w:pPr>
                  <w:r>
                    <w:rPr>
                      <w:b/>
                      <w:szCs w:val="21"/>
                    </w:rPr>
                    <w:t>全厂</w:t>
                  </w:r>
                </w:p>
                <w:p w14:paraId="61773198">
                  <w:pPr>
                    <w:jc w:val="center"/>
                    <w:rPr>
                      <w:b/>
                      <w:szCs w:val="21"/>
                    </w:rPr>
                  </w:pPr>
                  <w:r>
                    <w:rPr>
                      <w:b/>
                      <w:szCs w:val="21"/>
                    </w:rPr>
                    <w:t>排放</w:t>
                  </w:r>
                  <w:r>
                    <w:rPr>
                      <w:rFonts w:hint="eastAsia"/>
                      <w:b/>
                      <w:szCs w:val="21"/>
                    </w:rPr>
                    <w:t>增减</w:t>
                  </w:r>
                  <w:r>
                    <w:rPr>
                      <w:b/>
                      <w:szCs w:val="21"/>
                    </w:rPr>
                    <w:t>量</w:t>
                  </w:r>
                </w:p>
              </w:tc>
              <w:tc>
                <w:tcPr>
                  <w:tcW w:w="1098" w:type="dxa"/>
                  <w:vAlign w:val="center"/>
                </w:tcPr>
                <w:p w14:paraId="3D3A959B">
                  <w:pPr>
                    <w:jc w:val="center"/>
                    <w:rPr>
                      <w:b/>
                      <w:szCs w:val="21"/>
                    </w:rPr>
                  </w:pPr>
                  <w:r>
                    <w:rPr>
                      <w:b/>
                      <w:szCs w:val="21"/>
                    </w:rPr>
                    <w:t>建议</w:t>
                  </w:r>
                </w:p>
                <w:p w14:paraId="1C9A9901">
                  <w:pPr>
                    <w:jc w:val="center"/>
                    <w:rPr>
                      <w:b/>
                      <w:szCs w:val="21"/>
                    </w:rPr>
                  </w:pPr>
                  <w:r>
                    <w:rPr>
                      <w:b/>
                      <w:szCs w:val="21"/>
                    </w:rPr>
                    <w:t>申请量</w:t>
                  </w:r>
                </w:p>
              </w:tc>
            </w:tr>
            <w:tr w14:paraId="0EB4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Merge w:val="restart"/>
                  <w:vAlign w:val="center"/>
                </w:tcPr>
                <w:p w14:paraId="21EFB2F4">
                  <w:pPr>
                    <w:jc w:val="center"/>
                    <w:rPr>
                      <w:szCs w:val="21"/>
                    </w:rPr>
                  </w:pPr>
                  <w:r>
                    <w:rPr>
                      <w:szCs w:val="21"/>
                    </w:rPr>
                    <w:t>废水</w:t>
                  </w:r>
                </w:p>
              </w:tc>
              <w:tc>
                <w:tcPr>
                  <w:tcW w:w="907" w:type="dxa"/>
                  <w:vAlign w:val="center"/>
                </w:tcPr>
                <w:p w14:paraId="19212681">
                  <w:pPr>
                    <w:jc w:val="center"/>
                    <w:rPr>
                      <w:rFonts w:hint="eastAsia" w:eastAsia="宋体"/>
                      <w:szCs w:val="21"/>
                      <w:lang w:eastAsia="zh-CN"/>
                    </w:rPr>
                  </w:pPr>
                  <w:r>
                    <w:rPr>
                      <w:rFonts w:hint="eastAsia"/>
                      <w:szCs w:val="21"/>
                      <w:lang w:eastAsia="zh-CN"/>
                    </w:rPr>
                    <w:t>水量</w:t>
                  </w:r>
                </w:p>
              </w:tc>
              <w:tc>
                <w:tcPr>
                  <w:tcW w:w="1118" w:type="dxa"/>
                  <w:vAlign w:val="center"/>
                </w:tcPr>
                <w:p w14:paraId="1AE67C92">
                  <w:pPr>
                    <w:jc w:val="center"/>
                    <w:rPr>
                      <w:rFonts w:hint="default"/>
                      <w:szCs w:val="21"/>
                      <w:lang w:val="en-US" w:eastAsia="zh-CN"/>
                    </w:rPr>
                  </w:pPr>
                  <w:r>
                    <w:rPr>
                      <w:rFonts w:hint="eastAsia"/>
                      <w:szCs w:val="21"/>
                      <w:lang w:val="en-US" w:eastAsia="zh-CN"/>
                    </w:rPr>
                    <w:t>240</w:t>
                  </w:r>
                </w:p>
              </w:tc>
              <w:tc>
                <w:tcPr>
                  <w:tcW w:w="909" w:type="dxa"/>
                  <w:vAlign w:val="center"/>
                </w:tcPr>
                <w:p w14:paraId="0951D38D">
                  <w:pPr>
                    <w:jc w:val="center"/>
                    <w:rPr>
                      <w:rFonts w:hint="default"/>
                      <w:szCs w:val="21"/>
                      <w:lang w:val="en-US" w:eastAsia="zh-CN"/>
                    </w:rPr>
                  </w:pPr>
                  <w:r>
                    <w:rPr>
                      <w:rFonts w:hint="eastAsia"/>
                      <w:szCs w:val="21"/>
                      <w:lang w:val="en-US" w:eastAsia="zh-CN"/>
                    </w:rPr>
                    <w:t>240</w:t>
                  </w:r>
                </w:p>
              </w:tc>
              <w:tc>
                <w:tcPr>
                  <w:tcW w:w="1078" w:type="dxa"/>
                  <w:vAlign w:val="center"/>
                </w:tcPr>
                <w:p w14:paraId="74D323A6">
                  <w:pPr>
                    <w:jc w:val="center"/>
                    <w:rPr>
                      <w:rFonts w:hint="default" w:eastAsia="宋体"/>
                      <w:szCs w:val="21"/>
                      <w:lang w:val="en-US" w:eastAsia="zh-CN"/>
                    </w:rPr>
                  </w:pPr>
                  <w:r>
                    <w:rPr>
                      <w:rFonts w:hint="eastAsia"/>
                      <w:szCs w:val="21"/>
                      <w:lang w:val="en-US" w:eastAsia="zh-CN"/>
                    </w:rPr>
                    <w:t>240</w:t>
                  </w:r>
                </w:p>
              </w:tc>
              <w:tc>
                <w:tcPr>
                  <w:tcW w:w="1127" w:type="dxa"/>
                  <w:vAlign w:val="center"/>
                </w:tcPr>
                <w:p w14:paraId="17470633">
                  <w:pPr>
                    <w:jc w:val="center"/>
                    <w:rPr>
                      <w:rFonts w:hint="default"/>
                      <w:szCs w:val="21"/>
                      <w:lang w:val="en-US" w:eastAsia="zh-CN"/>
                    </w:rPr>
                  </w:pPr>
                  <w:r>
                    <w:rPr>
                      <w:rFonts w:hint="eastAsia"/>
                      <w:szCs w:val="21"/>
                      <w:lang w:val="en-US" w:eastAsia="zh-CN"/>
                    </w:rPr>
                    <w:t>240</w:t>
                  </w:r>
                </w:p>
              </w:tc>
              <w:tc>
                <w:tcPr>
                  <w:tcW w:w="1028" w:type="dxa"/>
                  <w:vAlign w:val="center"/>
                </w:tcPr>
                <w:p w14:paraId="5DED2C03">
                  <w:pPr>
                    <w:jc w:val="center"/>
                    <w:rPr>
                      <w:rFonts w:hint="default"/>
                      <w:szCs w:val="21"/>
                      <w:lang w:val="en-US" w:eastAsia="zh-CN"/>
                    </w:rPr>
                  </w:pPr>
                  <w:r>
                    <w:rPr>
                      <w:rFonts w:hint="eastAsia"/>
                      <w:szCs w:val="21"/>
                      <w:lang w:val="en-US" w:eastAsia="zh-CN"/>
                    </w:rPr>
                    <w:t>0</w:t>
                  </w:r>
                </w:p>
              </w:tc>
              <w:tc>
                <w:tcPr>
                  <w:tcW w:w="1098" w:type="dxa"/>
                  <w:vAlign w:val="center"/>
                </w:tcPr>
                <w:p w14:paraId="5541B220">
                  <w:pPr>
                    <w:jc w:val="center"/>
                    <w:rPr>
                      <w:rFonts w:hint="eastAsia" w:eastAsia="宋体"/>
                      <w:szCs w:val="21"/>
                      <w:lang w:val="en-US" w:eastAsia="zh-CN"/>
                    </w:rPr>
                  </w:pPr>
                  <w:r>
                    <w:rPr>
                      <w:rFonts w:hint="eastAsia"/>
                      <w:szCs w:val="21"/>
                      <w:lang w:val="en-US" w:eastAsia="zh-CN"/>
                    </w:rPr>
                    <w:t>0</w:t>
                  </w:r>
                </w:p>
              </w:tc>
            </w:tr>
            <w:tr w14:paraId="00F2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Merge w:val="continue"/>
                  <w:vAlign w:val="center"/>
                </w:tcPr>
                <w:p w14:paraId="3F276D63">
                  <w:pPr>
                    <w:jc w:val="center"/>
                    <w:rPr>
                      <w:szCs w:val="21"/>
                    </w:rPr>
                  </w:pPr>
                </w:p>
              </w:tc>
              <w:tc>
                <w:tcPr>
                  <w:tcW w:w="907" w:type="dxa"/>
                  <w:vAlign w:val="center"/>
                </w:tcPr>
                <w:p w14:paraId="1BBFF7EB">
                  <w:pPr>
                    <w:jc w:val="center"/>
                    <w:rPr>
                      <w:szCs w:val="21"/>
                    </w:rPr>
                  </w:pPr>
                  <w:r>
                    <w:rPr>
                      <w:szCs w:val="21"/>
                    </w:rPr>
                    <w:t>COD</w:t>
                  </w:r>
                  <w:r>
                    <w:rPr>
                      <w:szCs w:val="21"/>
                      <w:vertAlign w:val="subscript"/>
                    </w:rPr>
                    <w:t>Cr</w:t>
                  </w:r>
                </w:p>
              </w:tc>
              <w:tc>
                <w:tcPr>
                  <w:tcW w:w="1118" w:type="dxa"/>
                  <w:vAlign w:val="center"/>
                </w:tcPr>
                <w:p w14:paraId="17F68E96">
                  <w:pPr>
                    <w:jc w:val="center"/>
                    <w:rPr>
                      <w:rFonts w:hint="default" w:eastAsia="宋体"/>
                      <w:szCs w:val="21"/>
                      <w:lang w:val="en-US" w:eastAsia="zh-CN"/>
                    </w:rPr>
                  </w:pPr>
                  <w:r>
                    <w:rPr>
                      <w:rFonts w:hint="eastAsia"/>
                      <w:szCs w:val="21"/>
                      <w:lang w:val="en-US" w:eastAsia="zh-CN"/>
                    </w:rPr>
                    <w:t>0.012</w:t>
                  </w:r>
                </w:p>
              </w:tc>
              <w:tc>
                <w:tcPr>
                  <w:tcW w:w="909" w:type="dxa"/>
                  <w:vAlign w:val="center"/>
                </w:tcPr>
                <w:p w14:paraId="2EFE2F2A">
                  <w:pPr>
                    <w:jc w:val="center"/>
                    <w:rPr>
                      <w:rFonts w:hint="default"/>
                      <w:szCs w:val="21"/>
                      <w:lang w:val="en-US"/>
                    </w:rPr>
                  </w:pPr>
                  <w:r>
                    <w:rPr>
                      <w:rFonts w:hint="eastAsia"/>
                      <w:szCs w:val="21"/>
                      <w:lang w:val="en-US" w:eastAsia="zh-CN"/>
                    </w:rPr>
                    <w:t>0.0096</w:t>
                  </w:r>
                </w:p>
              </w:tc>
              <w:tc>
                <w:tcPr>
                  <w:tcW w:w="1078" w:type="dxa"/>
                  <w:vAlign w:val="center"/>
                </w:tcPr>
                <w:p w14:paraId="700F3F7D">
                  <w:pPr>
                    <w:jc w:val="center"/>
                    <w:rPr>
                      <w:rFonts w:hint="default" w:eastAsia="宋体"/>
                      <w:szCs w:val="21"/>
                      <w:lang w:val="en-US" w:eastAsia="zh-CN"/>
                    </w:rPr>
                  </w:pPr>
                  <w:r>
                    <w:rPr>
                      <w:rFonts w:hint="eastAsia"/>
                      <w:szCs w:val="21"/>
                      <w:lang w:val="en-US" w:eastAsia="zh-CN"/>
                    </w:rPr>
                    <w:t>0.012</w:t>
                  </w:r>
                </w:p>
              </w:tc>
              <w:tc>
                <w:tcPr>
                  <w:tcW w:w="1127" w:type="dxa"/>
                  <w:vAlign w:val="center"/>
                </w:tcPr>
                <w:p w14:paraId="43975C5A">
                  <w:pPr>
                    <w:jc w:val="center"/>
                    <w:rPr>
                      <w:rFonts w:hint="default"/>
                      <w:szCs w:val="21"/>
                      <w:lang w:val="en-US"/>
                    </w:rPr>
                  </w:pPr>
                  <w:r>
                    <w:rPr>
                      <w:rFonts w:hint="eastAsia"/>
                      <w:szCs w:val="21"/>
                      <w:lang w:val="en-US" w:eastAsia="zh-CN"/>
                    </w:rPr>
                    <w:t>0.0096</w:t>
                  </w:r>
                </w:p>
              </w:tc>
              <w:tc>
                <w:tcPr>
                  <w:tcW w:w="1028" w:type="dxa"/>
                  <w:vAlign w:val="center"/>
                </w:tcPr>
                <w:p w14:paraId="1CE1F27F">
                  <w:pPr>
                    <w:jc w:val="center"/>
                    <w:rPr>
                      <w:rFonts w:hint="default" w:eastAsia="宋体"/>
                      <w:szCs w:val="21"/>
                      <w:lang w:val="en-US" w:eastAsia="zh-CN"/>
                    </w:rPr>
                  </w:pPr>
                  <w:r>
                    <w:rPr>
                      <w:rFonts w:hint="eastAsia"/>
                      <w:szCs w:val="21"/>
                      <w:lang w:val="en-US" w:eastAsia="zh-CN"/>
                    </w:rPr>
                    <w:t>-0.0024</w:t>
                  </w:r>
                </w:p>
              </w:tc>
              <w:tc>
                <w:tcPr>
                  <w:tcW w:w="1098" w:type="dxa"/>
                  <w:vAlign w:val="center"/>
                </w:tcPr>
                <w:p w14:paraId="0FAE1DDC">
                  <w:pPr>
                    <w:jc w:val="center"/>
                    <w:rPr>
                      <w:szCs w:val="21"/>
                    </w:rPr>
                  </w:pPr>
                  <w:r>
                    <w:rPr>
                      <w:szCs w:val="21"/>
                    </w:rPr>
                    <w:t>0</w:t>
                  </w:r>
                </w:p>
              </w:tc>
            </w:tr>
            <w:tr w14:paraId="2DD8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Merge w:val="continue"/>
                  <w:vAlign w:val="center"/>
                </w:tcPr>
                <w:p w14:paraId="135A73D8">
                  <w:pPr>
                    <w:jc w:val="center"/>
                    <w:rPr>
                      <w:szCs w:val="21"/>
                    </w:rPr>
                  </w:pPr>
                </w:p>
              </w:tc>
              <w:tc>
                <w:tcPr>
                  <w:tcW w:w="907" w:type="dxa"/>
                  <w:vAlign w:val="center"/>
                </w:tcPr>
                <w:p w14:paraId="22FFBC7E">
                  <w:pPr>
                    <w:jc w:val="center"/>
                    <w:rPr>
                      <w:szCs w:val="21"/>
                    </w:rPr>
                  </w:pPr>
                  <w:r>
                    <w:rPr>
                      <w:szCs w:val="21"/>
                    </w:rPr>
                    <w:t>NH</w:t>
                  </w:r>
                  <w:r>
                    <w:rPr>
                      <w:szCs w:val="21"/>
                      <w:vertAlign w:val="subscript"/>
                    </w:rPr>
                    <w:t>3</w:t>
                  </w:r>
                  <w:r>
                    <w:rPr>
                      <w:szCs w:val="21"/>
                    </w:rPr>
                    <w:t>-N</w:t>
                  </w:r>
                </w:p>
              </w:tc>
              <w:tc>
                <w:tcPr>
                  <w:tcW w:w="1118" w:type="dxa"/>
                  <w:vAlign w:val="center"/>
                </w:tcPr>
                <w:p w14:paraId="5061A323">
                  <w:pPr>
                    <w:jc w:val="center"/>
                    <w:rPr>
                      <w:rFonts w:hint="default" w:eastAsia="宋体"/>
                      <w:szCs w:val="21"/>
                      <w:lang w:val="en-US" w:eastAsia="zh-CN"/>
                    </w:rPr>
                  </w:pPr>
                  <w:r>
                    <w:rPr>
                      <w:rFonts w:hint="eastAsia"/>
                      <w:szCs w:val="21"/>
                      <w:lang w:val="en-US" w:eastAsia="zh-CN"/>
                    </w:rPr>
                    <w:t>0.0012</w:t>
                  </w:r>
                </w:p>
              </w:tc>
              <w:tc>
                <w:tcPr>
                  <w:tcW w:w="909" w:type="dxa"/>
                  <w:vAlign w:val="center"/>
                </w:tcPr>
                <w:p w14:paraId="64909B5F">
                  <w:pPr>
                    <w:jc w:val="center"/>
                    <w:rPr>
                      <w:rFonts w:hint="default" w:eastAsia="宋体"/>
                      <w:szCs w:val="21"/>
                      <w:lang w:val="en-US" w:eastAsia="zh-CN"/>
                    </w:rPr>
                  </w:pPr>
                  <w:r>
                    <w:rPr>
                      <w:rFonts w:hint="eastAsia"/>
                      <w:szCs w:val="21"/>
                      <w:lang w:val="en-US" w:eastAsia="zh-CN"/>
                    </w:rPr>
                    <w:t>0.0005</w:t>
                  </w:r>
                </w:p>
              </w:tc>
              <w:tc>
                <w:tcPr>
                  <w:tcW w:w="1078" w:type="dxa"/>
                  <w:vAlign w:val="center"/>
                </w:tcPr>
                <w:p w14:paraId="1EC5E432">
                  <w:pPr>
                    <w:jc w:val="center"/>
                    <w:rPr>
                      <w:rFonts w:hint="default" w:eastAsia="宋体"/>
                      <w:szCs w:val="21"/>
                      <w:lang w:val="en-US" w:eastAsia="zh-CN"/>
                    </w:rPr>
                  </w:pPr>
                  <w:r>
                    <w:rPr>
                      <w:rFonts w:hint="eastAsia"/>
                      <w:szCs w:val="21"/>
                      <w:lang w:val="en-US" w:eastAsia="zh-CN"/>
                    </w:rPr>
                    <w:t>0.0012</w:t>
                  </w:r>
                </w:p>
              </w:tc>
              <w:tc>
                <w:tcPr>
                  <w:tcW w:w="1127" w:type="dxa"/>
                  <w:vAlign w:val="center"/>
                </w:tcPr>
                <w:p w14:paraId="5763F13A">
                  <w:pPr>
                    <w:jc w:val="center"/>
                    <w:rPr>
                      <w:rFonts w:hint="default" w:eastAsia="宋体"/>
                      <w:szCs w:val="21"/>
                      <w:lang w:val="en-US" w:eastAsia="zh-CN"/>
                    </w:rPr>
                  </w:pPr>
                  <w:r>
                    <w:rPr>
                      <w:rFonts w:hint="eastAsia"/>
                      <w:szCs w:val="21"/>
                      <w:lang w:val="en-US" w:eastAsia="zh-CN"/>
                    </w:rPr>
                    <w:t>0.0005</w:t>
                  </w:r>
                </w:p>
              </w:tc>
              <w:tc>
                <w:tcPr>
                  <w:tcW w:w="1028" w:type="dxa"/>
                  <w:vAlign w:val="center"/>
                </w:tcPr>
                <w:p w14:paraId="691ABC8C">
                  <w:pPr>
                    <w:jc w:val="center"/>
                    <w:rPr>
                      <w:rFonts w:hint="default" w:eastAsia="宋体"/>
                      <w:szCs w:val="21"/>
                      <w:lang w:val="en-US" w:eastAsia="zh-CN"/>
                    </w:rPr>
                  </w:pPr>
                  <w:r>
                    <w:rPr>
                      <w:rFonts w:hint="eastAsia"/>
                      <w:szCs w:val="21"/>
                      <w:lang w:val="en-US" w:eastAsia="zh-CN"/>
                    </w:rPr>
                    <w:t>-0.0007</w:t>
                  </w:r>
                </w:p>
              </w:tc>
              <w:tc>
                <w:tcPr>
                  <w:tcW w:w="1098" w:type="dxa"/>
                  <w:vAlign w:val="center"/>
                </w:tcPr>
                <w:p w14:paraId="07086249">
                  <w:pPr>
                    <w:jc w:val="center"/>
                    <w:rPr>
                      <w:szCs w:val="21"/>
                    </w:rPr>
                  </w:pPr>
                  <w:r>
                    <w:rPr>
                      <w:szCs w:val="21"/>
                    </w:rPr>
                    <w:t>0</w:t>
                  </w:r>
                </w:p>
              </w:tc>
            </w:tr>
            <w:tr w14:paraId="6701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Merge w:val="restart"/>
                  <w:vAlign w:val="center"/>
                </w:tcPr>
                <w:p w14:paraId="74694A93">
                  <w:pPr>
                    <w:jc w:val="center"/>
                    <w:rPr>
                      <w:szCs w:val="21"/>
                    </w:rPr>
                  </w:pPr>
                  <w:r>
                    <w:rPr>
                      <w:szCs w:val="21"/>
                    </w:rPr>
                    <w:t>废气</w:t>
                  </w:r>
                </w:p>
              </w:tc>
              <w:tc>
                <w:tcPr>
                  <w:tcW w:w="907" w:type="dxa"/>
                  <w:vAlign w:val="center"/>
                </w:tcPr>
                <w:p w14:paraId="1AA45A9C">
                  <w:pPr>
                    <w:jc w:val="center"/>
                    <w:rPr>
                      <w:szCs w:val="21"/>
                    </w:rPr>
                  </w:pPr>
                  <w:r>
                    <w:rPr>
                      <w:szCs w:val="21"/>
                    </w:rPr>
                    <w:t>VOCs</w:t>
                  </w:r>
                </w:p>
              </w:tc>
              <w:tc>
                <w:tcPr>
                  <w:tcW w:w="1118" w:type="dxa"/>
                  <w:vAlign w:val="center"/>
                </w:tcPr>
                <w:p w14:paraId="7AD1FE8C">
                  <w:pPr>
                    <w:jc w:val="center"/>
                    <w:rPr>
                      <w:rFonts w:hint="default" w:eastAsia="宋体"/>
                      <w:szCs w:val="21"/>
                      <w:lang w:val="en-US" w:eastAsia="zh-CN"/>
                    </w:rPr>
                  </w:pPr>
                  <w:r>
                    <w:rPr>
                      <w:rFonts w:hint="eastAsia"/>
                      <w:szCs w:val="21"/>
                      <w:lang w:val="en-US" w:eastAsia="zh-CN"/>
                    </w:rPr>
                    <w:t>0.055</w:t>
                  </w:r>
                </w:p>
              </w:tc>
              <w:tc>
                <w:tcPr>
                  <w:tcW w:w="909" w:type="dxa"/>
                  <w:vAlign w:val="center"/>
                </w:tcPr>
                <w:p w14:paraId="15E52586">
                  <w:pPr>
                    <w:jc w:val="center"/>
                    <w:rPr>
                      <w:rFonts w:hint="default"/>
                      <w:szCs w:val="21"/>
                      <w:lang w:val="en-US"/>
                    </w:rPr>
                  </w:pPr>
                  <w:r>
                    <w:rPr>
                      <w:rFonts w:hint="eastAsia"/>
                      <w:szCs w:val="21"/>
                      <w:lang w:val="en-US" w:eastAsia="zh-CN"/>
                    </w:rPr>
                    <w:t>0.055</w:t>
                  </w:r>
                </w:p>
              </w:tc>
              <w:tc>
                <w:tcPr>
                  <w:tcW w:w="1078" w:type="dxa"/>
                  <w:vAlign w:val="center"/>
                </w:tcPr>
                <w:p w14:paraId="4751F0F8">
                  <w:pPr>
                    <w:jc w:val="center"/>
                    <w:rPr>
                      <w:rFonts w:hint="default" w:eastAsia="宋体"/>
                      <w:szCs w:val="21"/>
                      <w:lang w:val="en-US" w:eastAsia="zh-CN"/>
                    </w:rPr>
                  </w:pPr>
                  <w:r>
                    <w:rPr>
                      <w:rFonts w:hint="eastAsia"/>
                      <w:szCs w:val="21"/>
                      <w:lang w:val="en-US" w:eastAsia="zh-CN"/>
                    </w:rPr>
                    <w:t>0.055</w:t>
                  </w:r>
                </w:p>
              </w:tc>
              <w:tc>
                <w:tcPr>
                  <w:tcW w:w="1127" w:type="dxa"/>
                  <w:vAlign w:val="center"/>
                </w:tcPr>
                <w:p w14:paraId="253BB2CD">
                  <w:pPr>
                    <w:jc w:val="center"/>
                    <w:rPr>
                      <w:rFonts w:hint="default"/>
                      <w:szCs w:val="21"/>
                      <w:lang w:val="en-US"/>
                    </w:rPr>
                  </w:pPr>
                  <w:r>
                    <w:rPr>
                      <w:rFonts w:hint="eastAsia"/>
                      <w:szCs w:val="21"/>
                      <w:lang w:val="en-US" w:eastAsia="zh-CN"/>
                    </w:rPr>
                    <w:t>0.055</w:t>
                  </w:r>
                </w:p>
              </w:tc>
              <w:tc>
                <w:tcPr>
                  <w:tcW w:w="1028" w:type="dxa"/>
                  <w:vAlign w:val="center"/>
                </w:tcPr>
                <w:p w14:paraId="469C04EB">
                  <w:pPr>
                    <w:jc w:val="center"/>
                    <w:rPr>
                      <w:rFonts w:hint="eastAsia" w:eastAsia="宋体"/>
                      <w:szCs w:val="21"/>
                      <w:lang w:eastAsia="zh-CN"/>
                    </w:rPr>
                  </w:pPr>
                  <w:r>
                    <w:rPr>
                      <w:rFonts w:hint="eastAsia"/>
                      <w:szCs w:val="21"/>
                      <w:lang w:val="en-US" w:eastAsia="zh-CN"/>
                    </w:rPr>
                    <w:t>0</w:t>
                  </w:r>
                </w:p>
              </w:tc>
              <w:tc>
                <w:tcPr>
                  <w:tcW w:w="1098" w:type="dxa"/>
                  <w:vAlign w:val="center"/>
                </w:tcPr>
                <w:p w14:paraId="4FA75DA5">
                  <w:pPr>
                    <w:jc w:val="center"/>
                    <w:rPr>
                      <w:szCs w:val="21"/>
                    </w:rPr>
                  </w:pPr>
                  <w:r>
                    <w:rPr>
                      <w:rFonts w:hint="eastAsia"/>
                      <w:szCs w:val="21"/>
                    </w:rPr>
                    <w:t>0</w:t>
                  </w:r>
                </w:p>
              </w:tc>
            </w:tr>
            <w:tr w14:paraId="54FF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Merge w:val="continue"/>
                  <w:vAlign w:val="center"/>
                </w:tcPr>
                <w:p w14:paraId="1B756C59">
                  <w:pPr>
                    <w:jc w:val="center"/>
                    <w:rPr>
                      <w:szCs w:val="21"/>
                    </w:rPr>
                  </w:pPr>
                </w:p>
              </w:tc>
              <w:tc>
                <w:tcPr>
                  <w:tcW w:w="907" w:type="dxa"/>
                  <w:vAlign w:val="center"/>
                </w:tcPr>
                <w:p w14:paraId="3D814855">
                  <w:pPr>
                    <w:jc w:val="center"/>
                    <w:rPr>
                      <w:szCs w:val="21"/>
                    </w:rPr>
                  </w:pPr>
                  <w:r>
                    <w:rPr>
                      <w:rFonts w:hint="eastAsia"/>
                      <w:szCs w:val="21"/>
                    </w:rPr>
                    <w:t>工业烟粉尘</w:t>
                  </w:r>
                </w:p>
              </w:tc>
              <w:tc>
                <w:tcPr>
                  <w:tcW w:w="1118" w:type="dxa"/>
                  <w:vAlign w:val="center"/>
                </w:tcPr>
                <w:p w14:paraId="2D4FA65C">
                  <w:pPr>
                    <w:jc w:val="center"/>
                    <w:rPr>
                      <w:rFonts w:hint="default" w:eastAsia="宋体"/>
                      <w:szCs w:val="21"/>
                      <w:lang w:val="en-US" w:eastAsia="zh-CN"/>
                    </w:rPr>
                  </w:pPr>
                  <w:r>
                    <w:rPr>
                      <w:rFonts w:hint="eastAsia"/>
                      <w:szCs w:val="21"/>
                      <w:lang w:val="en-US" w:eastAsia="zh-CN"/>
                    </w:rPr>
                    <w:t>0.135</w:t>
                  </w:r>
                </w:p>
              </w:tc>
              <w:tc>
                <w:tcPr>
                  <w:tcW w:w="909" w:type="dxa"/>
                  <w:vAlign w:val="center"/>
                </w:tcPr>
                <w:p w14:paraId="3F6DB7D8">
                  <w:pPr>
                    <w:jc w:val="center"/>
                    <w:rPr>
                      <w:rFonts w:hint="default"/>
                      <w:szCs w:val="21"/>
                      <w:lang w:val="en-US"/>
                    </w:rPr>
                  </w:pPr>
                  <w:r>
                    <w:rPr>
                      <w:rFonts w:hint="eastAsia"/>
                      <w:szCs w:val="21"/>
                      <w:lang w:val="en-US" w:eastAsia="zh-CN"/>
                    </w:rPr>
                    <w:t>0.127</w:t>
                  </w:r>
                </w:p>
              </w:tc>
              <w:tc>
                <w:tcPr>
                  <w:tcW w:w="1078" w:type="dxa"/>
                  <w:vAlign w:val="center"/>
                </w:tcPr>
                <w:p w14:paraId="4A6B7053">
                  <w:pPr>
                    <w:jc w:val="center"/>
                    <w:rPr>
                      <w:rFonts w:hint="default" w:eastAsia="宋体"/>
                      <w:bCs/>
                      <w:szCs w:val="21"/>
                      <w:lang w:val="en-US" w:eastAsia="zh-CN"/>
                    </w:rPr>
                  </w:pPr>
                  <w:r>
                    <w:rPr>
                      <w:rFonts w:hint="eastAsia"/>
                      <w:bCs/>
                      <w:szCs w:val="21"/>
                      <w:lang w:val="en-US" w:eastAsia="zh-CN"/>
                    </w:rPr>
                    <w:t>0.135</w:t>
                  </w:r>
                </w:p>
              </w:tc>
              <w:tc>
                <w:tcPr>
                  <w:tcW w:w="1127" w:type="dxa"/>
                  <w:vAlign w:val="center"/>
                </w:tcPr>
                <w:p w14:paraId="134BD805">
                  <w:pPr>
                    <w:jc w:val="center"/>
                    <w:rPr>
                      <w:rFonts w:hint="default"/>
                      <w:bCs/>
                      <w:szCs w:val="21"/>
                      <w:lang w:val="en-US"/>
                    </w:rPr>
                  </w:pPr>
                  <w:r>
                    <w:rPr>
                      <w:rFonts w:hint="eastAsia"/>
                      <w:szCs w:val="21"/>
                      <w:lang w:val="en-US" w:eastAsia="zh-CN"/>
                    </w:rPr>
                    <w:t>0.127</w:t>
                  </w:r>
                </w:p>
              </w:tc>
              <w:tc>
                <w:tcPr>
                  <w:tcW w:w="1028" w:type="dxa"/>
                  <w:vAlign w:val="center"/>
                </w:tcPr>
                <w:p w14:paraId="1DFE963C">
                  <w:pPr>
                    <w:jc w:val="center"/>
                    <w:rPr>
                      <w:rFonts w:hint="default" w:eastAsia="宋体"/>
                      <w:bCs/>
                      <w:szCs w:val="21"/>
                      <w:lang w:val="en-US" w:eastAsia="zh-CN"/>
                    </w:rPr>
                  </w:pPr>
                  <w:r>
                    <w:rPr>
                      <w:rFonts w:hint="eastAsia"/>
                      <w:bCs/>
                      <w:szCs w:val="21"/>
                      <w:lang w:val="en-US" w:eastAsia="zh-CN"/>
                    </w:rPr>
                    <w:t>-0.008</w:t>
                  </w:r>
                </w:p>
              </w:tc>
              <w:tc>
                <w:tcPr>
                  <w:tcW w:w="1098" w:type="dxa"/>
                  <w:vAlign w:val="center"/>
                </w:tcPr>
                <w:p w14:paraId="0A33E231">
                  <w:pPr>
                    <w:jc w:val="center"/>
                    <w:rPr>
                      <w:rFonts w:hint="eastAsia" w:eastAsia="宋体"/>
                      <w:szCs w:val="21"/>
                      <w:lang w:eastAsia="zh-CN"/>
                    </w:rPr>
                  </w:pPr>
                  <w:r>
                    <w:rPr>
                      <w:rFonts w:hint="eastAsia"/>
                      <w:szCs w:val="21"/>
                      <w:lang w:val="en-US" w:eastAsia="zh-CN"/>
                    </w:rPr>
                    <w:t>0</w:t>
                  </w:r>
                </w:p>
              </w:tc>
            </w:tr>
          </w:tbl>
          <w:p w14:paraId="6EC7AE26">
            <w:pPr>
              <w:tabs>
                <w:tab w:val="left" w:pos="677"/>
              </w:tabs>
              <w:ind w:firstLine="420" w:firstLineChars="200"/>
              <w:jc w:val="left"/>
              <w:rPr>
                <w:color w:val="auto"/>
                <w:szCs w:val="21"/>
              </w:rPr>
            </w:pPr>
            <w:r>
              <w:rPr>
                <w:rFonts w:hint="eastAsia" w:hAnsi="宋体"/>
                <w:color w:val="auto"/>
                <w:szCs w:val="21"/>
              </w:rPr>
              <w:t>注：安吉净源污水处理有限公司城北污水处理厂于2023年6月执行《城镇污水处理厂主要水污染物排放标准》DB33/2169-2018中表1标准，因此COD</w:t>
            </w:r>
            <w:r>
              <w:rPr>
                <w:rFonts w:hint="eastAsia" w:hAnsi="宋体"/>
                <w:color w:val="auto"/>
                <w:szCs w:val="21"/>
                <w:vertAlign w:val="subscript"/>
              </w:rPr>
              <w:t>Cr</w:t>
            </w:r>
            <w:r>
              <w:rPr>
                <w:rFonts w:hint="eastAsia" w:hAnsi="宋体"/>
                <w:color w:val="auto"/>
                <w:szCs w:val="21"/>
              </w:rPr>
              <w:t>和NH</w:t>
            </w:r>
            <w:r>
              <w:rPr>
                <w:rFonts w:hint="eastAsia" w:hAnsi="宋体"/>
                <w:color w:val="auto"/>
                <w:szCs w:val="21"/>
                <w:vertAlign w:val="subscript"/>
              </w:rPr>
              <w:t>3</w:t>
            </w:r>
            <w:r>
              <w:rPr>
                <w:rFonts w:hint="eastAsia" w:hAnsi="宋体"/>
                <w:color w:val="auto"/>
                <w:szCs w:val="21"/>
              </w:rPr>
              <w:t>-N建议申请排放量按该排放标准表1标准核算。</w:t>
            </w:r>
          </w:p>
          <w:p w14:paraId="7421A6B0">
            <w:pPr>
              <w:tabs>
                <w:tab w:val="left" w:pos="677"/>
              </w:tabs>
              <w:spacing w:line="440" w:lineRule="exact"/>
              <w:jc w:val="left"/>
              <w:rPr>
                <w:b/>
                <w:color w:val="auto"/>
                <w:sz w:val="24"/>
              </w:rPr>
            </w:pPr>
            <w:r>
              <w:rPr>
                <w:rFonts w:hint="eastAsia"/>
                <w:b/>
                <w:color w:val="auto"/>
                <w:sz w:val="24"/>
              </w:rPr>
              <w:t>3.4.2</w:t>
            </w:r>
            <w:r>
              <w:rPr>
                <w:b/>
                <w:color w:val="auto"/>
                <w:sz w:val="24"/>
              </w:rPr>
              <w:t>总量控制指标来源</w:t>
            </w:r>
          </w:p>
          <w:p w14:paraId="4C67A18D">
            <w:pPr>
              <w:autoSpaceDE w:val="0"/>
              <w:autoSpaceDN w:val="0"/>
              <w:spacing w:line="440" w:lineRule="exact"/>
              <w:ind w:firstLine="480" w:firstLineChars="200"/>
              <w:rPr>
                <w:bCs/>
                <w:color w:val="auto"/>
                <w:sz w:val="24"/>
              </w:rPr>
            </w:pPr>
            <w:r>
              <w:rPr>
                <w:color w:val="auto"/>
                <w:sz w:val="24"/>
              </w:rPr>
              <w:t>本项目生活污水经化粪池预处理后纳管排入</w:t>
            </w:r>
            <w:r>
              <w:rPr>
                <w:rFonts w:hint="eastAsia"/>
                <w:color w:val="auto"/>
                <w:sz w:val="24"/>
              </w:rPr>
              <w:t>安吉净源污水处理有限公司</w:t>
            </w:r>
            <w:r>
              <w:rPr>
                <w:color w:val="auto"/>
                <w:sz w:val="24"/>
              </w:rPr>
              <w:t>安吉城北污水处理厂，新建、改建、扩建项目不排放生产废水且排放的水主要污染物仅源自厂区内独立生活区域所排放生活污水的，其新增的化学需氧量和氨氮两项水主要污染物排放量可不进行区域替代削减。</w:t>
            </w:r>
            <w:r>
              <w:rPr>
                <w:bCs/>
                <w:color w:val="auto"/>
                <w:sz w:val="24"/>
              </w:rPr>
              <w:t>本项目</w:t>
            </w:r>
            <w:r>
              <w:rPr>
                <w:color w:val="auto"/>
                <w:sz w:val="24"/>
              </w:rPr>
              <w:t>COD</w:t>
            </w:r>
            <w:r>
              <w:rPr>
                <w:color w:val="auto"/>
                <w:sz w:val="24"/>
                <w:vertAlign w:val="subscript"/>
              </w:rPr>
              <w:t>Cr</w:t>
            </w:r>
            <w:r>
              <w:rPr>
                <w:color w:val="auto"/>
                <w:sz w:val="24"/>
              </w:rPr>
              <w:t>、NH</w:t>
            </w:r>
            <w:r>
              <w:rPr>
                <w:color w:val="auto"/>
                <w:sz w:val="24"/>
                <w:vertAlign w:val="subscript"/>
              </w:rPr>
              <w:t>3</w:t>
            </w:r>
            <w:r>
              <w:rPr>
                <w:color w:val="auto"/>
                <w:sz w:val="24"/>
              </w:rPr>
              <w:t>-N</w:t>
            </w:r>
            <w:r>
              <w:rPr>
                <w:bCs/>
                <w:color w:val="auto"/>
                <w:sz w:val="24"/>
              </w:rPr>
              <w:t>排污量</w:t>
            </w:r>
            <w:r>
              <w:rPr>
                <w:color w:val="auto"/>
                <w:sz w:val="24"/>
              </w:rPr>
              <w:t>无需单独申请分配</w:t>
            </w:r>
            <w:r>
              <w:rPr>
                <w:bCs/>
                <w:color w:val="auto"/>
                <w:sz w:val="24"/>
              </w:rPr>
              <w:t>。</w:t>
            </w:r>
          </w:p>
          <w:p w14:paraId="700A3B7C">
            <w:pPr>
              <w:pStyle w:val="2"/>
              <w:spacing w:line="440" w:lineRule="exact"/>
              <w:ind w:firstLine="480"/>
              <w:rPr>
                <w:bCs/>
                <w:color w:val="auto"/>
                <w:sz w:val="24"/>
              </w:rPr>
            </w:pPr>
            <w:r>
              <w:rPr>
                <w:bCs/>
                <w:color w:val="auto"/>
                <w:sz w:val="24"/>
              </w:rPr>
              <w:t>根据《湖州市人民政府关于印发湖州市主要污染物排污权有偿使用和交易管理暂行办法的通知（湖政发【2008】51号）》的有关规定，企业主要污染物排污权的取得一律实行有偿方式，新污染源的排污权，按照建设项目的环境影响评价审批文件确定。由当地政府或园区予以区域平衡，报</w:t>
            </w:r>
            <w:r>
              <w:rPr>
                <w:rFonts w:hint="eastAsia"/>
                <w:bCs/>
                <w:color w:val="auto"/>
                <w:sz w:val="24"/>
              </w:rPr>
              <w:t>生态环境部门</w:t>
            </w:r>
            <w:r>
              <w:rPr>
                <w:bCs/>
                <w:color w:val="auto"/>
                <w:sz w:val="24"/>
              </w:rPr>
              <w:t>确认</w:t>
            </w:r>
            <w:r>
              <w:rPr>
                <w:rFonts w:hint="eastAsia"/>
                <w:bCs/>
                <w:color w:val="auto"/>
                <w:sz w:val="24"/>
              </w:rPr>
              <w:t>。</w:t>
            </w:r>
          </w:p>
          <w:p w14:paraId="568A3513">
            <w:pPr>
              <w:pStyle w:val="2"/>
              <w:spacing w:line="440" w:lineRule="exact"/>
              <w:ind w:firstLine="480"/>
              <w:rPr>
                <w:color w:val="auto"/>
                <w:sz w:val="24"/>
              </w:rPr>
            </w:pPr>
            <w:r>
              <w:rPr>
                <w:rFonts w:hint="eastAsia"/>
                <w:color w:val="auto"/>
                <w:sz w:val="24"/>
              </w:rPr>
              <w:t>根据《关于印发&lt;湖州市2020年空气质量提升集中专项攻坚方案&gt;的通知》（湖治气办[2020]6号)，VOCs与其他污染物区域替代削减比例均为1:2。</w:t>
            </w:r>
          </w:p>
          <w:p w14:paraId="0DB66209">
            <w:pPr>
              <w:pStyle w:val="2"/>
              <w:spacing w:line="440" w:lineRule="exact"/>
              <w:ind w:firstLine="480"/>
              <w:rPr>
                <w:color w:val="auto"/>
                <w:sz w:val="24"/>
              </w:rPr>
            </w:pPr>
            <w:r>
              <w:rPr>
                <w:color w:val="auto"/>
                <w:sz w:val="24"/>
              </w:rPr>
              <w:t>本次评价的总量建议值分别为VOC</w:t>
            </w:r>
            <w:r>
              <w:rPr>
                <w:rFonts w:hint="eastAsia"/>
                <w:color w:val="auto"/>
                <w:sz w:val="24"/>
                <w:vertAlign w:val="subscript"/>
              </w:rPr>
              <w:t>S</w:t>
            </w:r>
            <w:r>
              <w:rPr>
                <w:color w:val="auto"/>
                <w:sz w:val="24"/>
              </w:rPr>
              <w:t>：0.</w:t>
            </w:r>
            <w:r>
              <w:rPr>
                <w:rFonts w:hint="eastAsia"/>
                <w:color w:val="auto"/>
                <w:sz w:val="24"/>
              </w:rPr>
              <w:t>05</w:t>
            </w:r>
            <w:r>
              <w:rPr>
                <w:rFonts w:hint="eastAsia"/>
                <w:color w:val="auto"/>
                <w:sz w:val="24"/>
                <w:lang w:val="en-US" w:eastAsia="zh-CN"/>
              </w:rPr>
              <w:t>5</w:t>
            </w:r>
            <w:r>
              <w:rPr>
                <w:color w:val="auto"/>
                <w:sz w:val="24"/>
              </w:rPr>
              <w:t>t/a</w:t>
            </w:r>
            <w:r>
              <w:rPr>
                <w:rFonts w:hint="eastAsia"/>
                <w:color w:val="auto"/>
                <w:sz w:val="24"/>
              </w:rPr>
              <w:t>，工业烟粉尘：</w:t>
            </w:r>
            <w:r>
              <w:rPr>
                <w:rFonts w:hint="eastAsia"/>
                <w:color w:val="auto"/>
                <w:sz w:val="24"/>
                <w:lang w:val="en-US" w:eastAsia="zh-CN"/>
              </w:rPr>
              <w:t>0.127</w:t>
            </w:r>
            <w:r>
              <w:rPr>
                <w:rFonts w:hint="eastAsia"/>
                <w:color w:val="auto"/>
                <w:sz w:val="24"/>
              </w:rPr>
              <w:t>t/a</w:t>
            </w:r>
            <w:r>
              <w:rPr>
                <w:bCs/>
                <w:color w:val="auto"/>
                <w:sz w:val="24"/>
              </w:rPr>
              <w:t>。</w:t>
            </w:r>
          </w:p>
          <w:p w14:paraId="6AC75FE8">
            <w:pPr>
              <w:pStyle w:val="2"/>
              <w:spacing w:line="440" w:lineRule="exact"/>
              <w:ind w:firstLine="480"/>
              <w:rPr>
                <w:color w:val="auto"/>
                <w:sz w:val="24"/>
              </w:rPr>
            </w:pPr>
          </w:p>
          <w:p w14:paraId="713F2869">
            <w:pPr>
              <w:pStyle w:val="3"/>
              <w:rPr>
                <w:color w:val="auto"/>
              </w:rPr>
            </w:pPr>
          </w:p>
          <w:p w14:paraId="711C69B5">
            <w:pPr>
              <w:pStyle w:val="3"/>
              <w:rPr>
                <w:color w:val="auto"/>
              </w:rPr>
            </w:pPr>
          </w:p>
          <w:p w14:paraId="31C821A8">
            <w:pPr>
              <w:pStyle w:val="3"/>
              <w:rPr>
                <w:color w:val="auto"/>
              </w:rPr>
            </w:pPr>
          </w:p>
          <w:p w14:paraId="74EB0A39">
            <w:pPr>
              <w:pStyle w:val="3"/>
              <w:rPr>
                <w:color w:val="auto"/>
              </w:rPr>
            </w:pPr>
          </w:p>
          <w:p w14:paraId="0E6859CB">
            <w:pPr>
              <w:pStyle w:val="3"/>
              <w:rPr>
                <w:color w:val="auto"/>
              </w:rPr>
            </w:pPr>
          </w:p>
          <w:p w14:paraId="50C2591A">
            <w:pPr>
              <w:pStyle w:val="2"/>
              <w:spacing w:line="440" w:lineRule="exact"/>
              <w:ind w:firstLine="480"/>
              <w:rPr>
                <w:color w:val="auto"/>
                <w:sz w:val="24"/>
              </w:rPr>
            </w:pPr>
          </w:p>
          <w:p w14:paraId="73D09415">
            <w:pPr>
              <w:pStyle w:val="2"/>
              <w:spacing w:line="440" w:lineRule="exact"/>
              <w:ind w:left="0" w:leftChars="0" w:firstLine="0" w:firstLineChars="0"/>
              <w:rPr>
                <w:color w:val="auto"/>
                <w:kern w:val="0"/>
                <w:sz w:val="24"/>
              </w:rPr>
            </w:pPr>
          </w:p>
        </w:tc>
      </w:tr>
    </w:tbl>
    <w:p w14:paraId="37611EFA">
      <w:pPr>
        <w:pStyle w:val="32"/>
        <w:spacing w:before="0" w:beforeAutospacing="0" w:after="0" w:afterAutospacing="0"/>
        <w:jc w:val="center"/>
        <w:outlineLvl w:val="0"/>
        <w:rPr>
          <w:rFonts w:ascii="Times New Roman" w:hAnsi="Times New Roman"/>
          <w:snapToGrid w:val="0"/>
          <w:color w:val="auto"/>
          <w:sz w:val="30"/>
          <w:szCs w:val="30"/>
        </w:rPr>
      </w:pPr>
      <w:r>
        <w:rPr>
          <w:rFonts w:ascii="Times New Roman" w:hAnsi="Times New Roman"/>
          <w:snapToGrid w:val="0"/>
          <w:color w:val="auto"/>
          <w:sz w:val="30"/>
          <w:szCs w:val="30"/>
        </w:rPr>
        <w:br w:type="page"/>
      </w:r>
      <w:bookmarkStart w:id="11" w:name="_Toc22503"/>
      <w:r>
        <w:rPr>
          <w:rFonts w:ascii="Times New Roman"/>
          <w:snapToGrid w:val="0"/>
          <w:color w:val="auto"/>
          <w:sz w:val="30"/>
          <w:szCs w:val="30"/>
        </w:rPr>
        <w:t>四、主要环境影响和保护措施</w:t>
      </w:r>
      <w:bookmarkEnd w:id="7"/>
      <w:bookmarkEnd w:id="11"/>
    </w:p>
    <w:tbl>
      <w:tblPr>
        <w:tblStyle w:val="37"/>
        <w:tblW w:w="91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1"/>
        <w:gridCol w:w="8562"/>
      </w:tblGrid>
      <w:tr w14:paraId="36F7B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591" w:type="dxa"/>
            <w:tcMar>
              <w:left w:w="28" w:type="dxa"/>
              <w:right w:w="28" w:type="dxa"/>
            </w:tcMar>
            <w:vAlign w:val="center"/>
          </w:tcPr>
          <w:p w14:paraId="0F4903A7">
            <w:pPr>
              <w:pStyle w:val="32"/>
              <w:adjustRightInd w:val="0"/>
              <w:snapToGrid w:val="0"/>
              <w:spacing w:before="0" w:beforeAutospacing="0" w:after="0" w:afterAutospacing="0"/>
              <w:jc w:val="center"/>
              <w:rPr>
                <w:rFonts w:ascii="Times New Roman" w:hAnsi="Times New Roman"/>
                <w:color w:val="auto"/>
                <w:kern w:val="2"/>
                <w:szCs w:val="24"/>
              </w:rPr>
            </w:pPr>
            <w:r>
              <w:rPr>
                <w:rFonts w:ascii="Times New Roman"/>
                <w:color w:val="auto"/>
                <w:kern w:val="2"/>
                <w:szCs w:val="24"/>
              </w:rPr>
              <w:t>施工</w:t>
            </w:r>
          </w:p>
          <w:p w14:paraId="78ABE7F1">
            <w:pPr>
              <w:pStyle w:val="32"/>
              <w:adjustRightInd w:val="0"/>
              <w:snapToGrid w:val="0"/>
              <w:spacing w:before="0" w:beforeAutospacing="0" w:after="0" w:afterAutospacing="0"/>
              <w:jc w:val="center"/>
              <w:rPr>
                <w:rFonts w:ascii="Times New Roman" w:hAnsi="Times New Roman"/>
                <w:color w:val="auto"/>
                <w:kern w:val="2"/>
                <w:szCs w:val="24"/>
              </w:rPr>
            </w:pPr>
            <w:r>
              <w:rPr>
                <w:rFonts w:ascii="Times New Roman"/>
                <w:color w:val="auto"/>
                <w:kern w:val="2"/>
                <w:szCs w:val="24"/>
              </w:rPr>
              <w:t>期环</w:t>
            </w:r>
          </w:p>
          <w:p w14:paraId="6562B5CB">
            <w:pPr>
              <w:pStyle w:val="32"/>
              <w:adjustRightInd w:val="0"/>
              <w:snapToGrid w:val="0"/>
              <w:spacing w:before="0" w:beforeAutospacing="0" w:after="0" w:afterAutospacing="0"/>
              <w:jc w:val="center"/>
              <w:rPr>
                <w:rFonts w:ascii="Times New Roman" w:hAnsi="Times New Roman"/>
                <w:color w:val="auto"/>
                <w:kern w:val="2"/>
                <w:szCs w:val="24"/>
              </w:rPr>
            </w:pPr>
            <w:r>
              <w:rPr>
                <w:rFonts w:ascii="Times New Roman"/>
                <w:color w:val="auto"/>
                <w:kern w:val="2"/>
                <w:szCs w:val="24"/>
              </w:rPr>
              <w:t>境保</w:t>
            </w:r>
          </w:p>
          <w:p w14:paraId="0566A47F">
            <w:pPr>
              <w:pStyle w:val="32"/>
              <w:adjustRightInd w:val="0"/>
              <w:snapToGrid w:val="0"/>
              <w:spacing w:before="0" w:beforeAutospacing="0" w:after="0" w:afterAutospacing="0"/>
              <w:jc w:val="center"/>
              <w:rPr>
                <w:rFonts w:ascii="Times New Roman" w:hAnsi="Times New Roman"/>
                <w:color w:val="auto"/>
                <w:kern w:val="2"/>
                <w:szCs w:val="24"/>
              </w:rPr>
            </w:pPr>
            <w:r>
              <w:rPr>
                <w:rFonts w:ascii="Times New Roman"/>
                <w:color w:val="auto"/>
                <w:kern w:val="2"/>
                <w:szCs w:val="24"/>
              </w:rPr>
              <w:t>护措</w:t>
            </w:r>
          </w:p>
          <w:p w14:paraId="674B824B">
            <w:pPr>
              <w:pStyle w:val="32"/>
              <w:adjustRightInd w:val="0"/>
              <w:snapToGrid w:val="0"/>
              <w:spacing w:before="0" w:beforeAutospacing="0" w:after="0" w:afterAutospacing="0"/>
              <w:jc w:val="center"/>
              <w:rPr>
                <w:rFonts w:ascii="Times New Roman" w:hAnsi="Times New Roman"/>
                <w:bCs/>
                <w:color w:val="auto"/>
                <w:kern w:val="2"/>
                <w:szCs w:val="24"/>
              </w:rPr>
            </w:pPr>
            <w:r>
              <w:rPr>
                <w:rFonts w:ascii="Times New Roman"/>
                <w:color w:val="auto"/>
                <w:kern w:val="2"/>
                <w:szCs w:val="24"/>
              </w:rPr>
              <w:t>施</w:t>
            </w:r>
          </w:p>
        </w:tc>
        <w:tc>
          <w:tcPr>
            <w:tcW w:w="8562" w:type="dxa"/>
            <w:vAlign w:val="center"/>
          </w:tcPr>
          <w:p w14:paraId="6E31F94E">
            <w:pPr>
              <w:pStyle w:val="2"/>
              <w:spacing w:line="440" w:lineRule="exact"/>
              <w:ind w:firstLine="440"/>
              <w:rPr>
                <w:bCs/>
                <w:color w:val="auto"/>
                <w:spacing w:val="-10"/>
                <w:sz w:val="24"/>
              </w:rPr>
            </w:pPr>
            <w:r>
              <w:rPr>
                <w:rFonts w:hAnsi="宋体"/>
                <w:bCs/>
                <w:color w:val="auto"/>
                <w:spacing w:val="-10"/>
                <w:sz w:val="24"/>
              </w:rPr>
              <w:t>本项目</w:t>
            </w:r>
            <w:r>
              <w:rPr>
                <w:rFonts w:hint="eastAsia" w:hAnsi="宋体"/>
                <w:bCs/>
                <w:color w:val="auto"/>
                <w:spacing w:val="-10"/>
                <w:sz w:val="24"/>
              </w:rPr>
              <w:t>利用</w:t>
            </w:r>
            <w:r>
              <w:rPr>
                <w:rFonts w:hAnsi="宋体"/>
                <w:bCs/>
                <w:color w:val="auto"/>
                <w:spacing w:val="-10"/>
                <w:sz w:val="24"/>
              </w:rPr>
              <w:t>现有</w:t>
            </w:r>
            <w:r>
              <w:rPr>
                <w:rFonts w:hint="eastAsia" w:hAnsi="宋体"/>
                <w:bCs/>
                <w:color w:val="auto"/>
                <w:spacing w:val="-10"/>
                <w:sz w:val="24"/>
              </w:rPr>
              <w:t>闲置</w:t>
            </w:r>
            <w:r>
              <w:rPr>
                <w:rFonts w:hAnsi="宋体"/>
                <w:bCs/>
                <w:color w:val="auto"/>
                <w:spacing w:val="-10"/>
                <w:sz w:val="24"/>
              </w:rPr>
              <w:t>厂房进行生产，施工期仅进行设备安装，产生少量设备安装噪声。要求企业按规范安装设备，减少碰撞噪声。</w:t>
            </w:r>
          </w:p>
        </w:tc>
      </w:tr>
      <w:tr w14:paraId="1A7FD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91" w:type="dxa"/>
            <w:tcMar>
              <w:left w:w="28" w:type="dxa"/>
              <w:right w:w="28" w:type="dxa"/>
            </w:tcMar>
            <w:vAlign w:val="center"/>
          </w:tcPr>
          <w:p w14:paraId="733B7551">
            <w:pPr>
              <w:adjustRightInd w:val="0"/>
              <w:snapToGrid w:val="0"/>
              <w:jc w:val="center"/>
              <w:rPr>
                <w:bCs/>
                <w:color w:val="auto"/>
                <w:sz w:val="24"/>
              </w:rPr>
            </w:pPr>
            <w:r>
              <w:rPr>
                <w:rFonts w:hAnsi="宋体"/>
                <w:bCs/>
                <w:color w:val="auto"/>
                <w:sz w:val="24"/>
              </w:rPr>
              <w:t>运营</w:t>
            </w:r>
          </w:p>
          <w:p w14:paraId="725AD8CA">
            <w:pPr>
              <w:adjustRightInd w:val="0"/>
              <w:snapToGrid w:val="0"/>
              <w:jc w:val="center"/>
              <w:rPr>
                <w:bCs/>
                <w:color w:val="auto"/>
                <w:sz w:val="24"/>
              </w:rPr>
            </w:pPr>
            <w:r>
              <w:rPr>
                <w:rFonts w:hAnsi="宋体"/>
                <w:bCs/>
                <w:color w:val="auto"/>
                <w:sz w:val="24"/>
              </w:rPr>
              <w:t>期环</w:t>
            </w:r>
          </w:p>
          <w:p w14:paraId="3AE91B0F">
            <w:pPr>
              <w:adjustRightInd w:val="0"/>
              <w:snapToGrid w:val="0"/>
              <w:jc w:val="center"/>
              <w:rPr>
                <w:bCs/>
                <w:color w:val="auto"/>
                <w:sz w:val="24"/>
              </w:rPr>
            </w:pPr>
            <w:r>
              <w:rPr>
                <w:rFonts w:hAnsi="宋体"/>
                <w:bCs/>
                <w:color w:val="auto"/>
                <w:sz w:val="24"/>
              </w:rPr>
              <w:t>境影</w:t>
            </w:r>
          </w:p>
          <w:p w14:paraId="7F9ABD50">
            <w:pPr>
              <w:adjustRightInd w:val="0"/>
              <w:snapToGrid w:val="0"/>
              <w:jc w:val="center"/>
              <w:rPr>
                <w:bCs/>
                <w:color w:val="auto"/>
                <w:sz w:val="24"/>
              </w:rPr>
            </w:pPr>
            <w:r>
              <w:rPr>
                <w:rFonts w:hAnsi="宋体"/>
                <w:bCs/>
                <w:color w:val="auto"/>
                <w:sz w:val="24"/>
              </w:rPr>
              <w:t>响和</w:t>
            </w:r>
          </w:p>
          <w:p w14:paraId="472A9FD9">
            <w:pPr>
              <w:adjustRightInd w:val="0"/>
              <w:snapToGrid w:val="0"/>
              <w:jc w:val="center"/>
              <w:rPr>
                <w:bCs/>
                <w:color w:val="auto"/>
                <w:sz w:val="24"/>
              </w:rPr>
            </w:pPr>
            <w:r>
              <w:rPr>
                <w:rFonts w:hAnsi="宋体"/>
                <w:bCs/>
                <w:color w:val="auto"/>
                <w:sz w:val="24"/>
              </w:rPr>
              <w:t>保护</w:t>
            </w:r>
          </w:p>
          <w:p w14:paraId="5A1C3793">
            <w:pPr>
              <w:adjustRightInd w:val="0"/>
              <w:snapToGrid w:val="0"/>
              <w:jc w:val="center"/>
              <w:rPr>
                <w:bCs/>
                <w:color w:val="auto"/>
                <w:sz w:val="24"/>
              </w:rPr>
            </w:pPr>
            <w:r>
              <w:rPr>
                <w:rFonts w:hAnsi="宋体"/>
                <w:bCs/>
                <w:color w:val="auto"/>
                <w:sz w:val="24"/>
              </w:rPr>
              <w:t>措施</w:t>
            </w:r>
          </w:p>
        </w:tc>
        <w:tc>
          <w:tcPr>
            <w:tcW w:w="8562" w:type="dxa"/>
          </w:tcPr>
          <w:p w14:paraId="39F1D1E0">
            <w:pPr>
              <w:adjustRightInd w:val="0"/>
              <w:snapToGrid w:val="0"/>
              <w:spacing w:line="420" w:lineRule="exact"/>
              <w:rPr>
                <w:rFonts w:hAnsi="宋体"/>
                <w:b/>
                <w:bCs/>
                <w:color w:val="auto"/>
                <w:spacing w:val="-10"/>
                <w:sz w:val="24"/>
              </w:rPr>
            </w:pPr>
            <w:r>
              <w:rPr>
                <w:rFonts w:hint="eastAsia" w:hAnsi="宋体"/>
                <w:b/>
                <w:bCs/>
                <w:color w:val="auto"/>
                <w:spacing w:val="-10"/>
                <w:sz w:val="24"/>
              </w:rPr>
              <w:t>4.1 废气</w:t>
            </w:r>
          </w:p>
          <w:p w14:paraId="0C422568">
            <w:pPr>
              <w:spacing w:line="440" w:lineRule="exact"/>
              <w:ind w:firstLine="482" w:firstLineChars="200"/>
              <w:rPr>
                <w:rFonts w:hAnsi="宋体"/>
                <w:b/>
                <w:color w:val="auto"/>
                <w:sz w:val="24"/>
              </w:rPr>
            </w:pPr>
            <w:r>
              <w:rPr>
                <w:rFonts w:hint="eastAsia" w:hAnsi="宋体"/>
                <w:b/>
                <w:color w:val="auto"/>
                <w:sz w:val="24"/>
              </w:rPr>
              <w:t>（1）污染源强分析</w:t>
            </w:r>
          </w:p>
          <w:p w14:paraId="6CFCB776">
            <w:pPr>
              <w:spacing w:line="440" w:lineRule="exact"/>
              <w:ind w:firstLine="480" w:firstLineChars="200"/>
              <w:rPr>
                <w:sz w:val="24"/>
                <w:szCs w:val="20"/>
              </w:rPr>
            </w:pPr>
            <w:r>
              <w:rPr>
                <w:sz w:val="24"/>
                <w:szCs w:val="20"/>
              </w:rPr>
              <w:t>（1）金属粉尘</w:t>
            </w:r>
          </w:p>
          <w:p w14:paraId="43E2497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Cs w:val="21"/>
              </w:rPr>
            </w:pPr>
            <w:r>
              <w:rPr>
                <w:rFonts w:hint="eastAsia" w:ascii="Times New Roman" w:hAnsi="Times New Roman" w:eastAsia="宋体" w:cs="Times New Roman"/>
                <w:bCs/>
                <w:color w:val="auto"/>
                <w:sz w:val="24"/>
                <w:lang w:eastAsia="zh-CN"/>
              </w:rPr>
              <w:t>项目生产过程下料等过程均产生一定量的金属尘，</w:t>
            </w:r>
            <w:r>
              <w:rPr>
                <w:rFonts w:hint="eastAsia" w:hAnsi="宋体"/>
                <w:bCs/>
                <w:color w:val="auto"/>
                <w:sz w:val="24"/>
                <w:lang w:eastAsia="zh-CN"/>
              </w:rPr>
              <w:t>其主要污染物以颗粒物计，</w:t>
            </w:r>
            <w:r>
              <w:rPr>
                <w:rFonts w:hint="eastAsia" w:ascii="Times New Roman" w:hAnsi="Times New Roman" w:eastAsia="宋体" w:cs="Times New Roman"/>
                <w:bCs/>
                <w:color w:val="auto"/>
                <w:sz w:val="24"/>
                <w:lang w:eastAsia="zh-CN"/>
              </w:rPr>
              <w:t>根据生态环境部2021年6月11日印发的《排放源统计调查产排污核算方法和系数手册》中机械行业系数手册，其产生量约为</w:t>
            </w:r>
            <w:r>
              <w:rPr>
                <w:rFonts w:hint="eastAsia" w:ascii="Times New Roman" w:hAnsi="Times New Roman" w:eastAsia="宋体" w:cs="Times New Roman"/>
                <w:bCs/>
                <w:color w:val="auto"/>
                <w:sz w:val="24"/>
                <w:lang w:val="en-US" w:eastAsia="zh-CN"/>
              </w:rPr>
              <w:t>5.3kg/t-原料，</w:t>
            </w:r>
            <w:r>
              <w:rPr>
                <w:rFonts w:hint="eastAsia" w:ascii="Times New Roman" w:hAnsi="Times New Roman" w:eastAsia="宋体" w:cs="Times New Roman"/>
                <w:bCs/>
                <w:color w:val="auto"/>
                <w:sz w:val="24"/>
                <w:lang w:eastAsia="zh-CN"/>
              </w:rPr>
              <w:t>根据本项目钢材原料用量（</w:t>
            </w:r>
            <w:r>
              <w:rPr>
                <w:rFonts w:hint="eastAsia" w:ascii="Times New Roman" w:hAnsi="Times New Roman" w:eastAsia="宋体" w:cs="Times New Roman"/>
                <w:bCs/>
                <w:color w:val="auto"/>
                <w:sz w:val="24"/>
                <w:lang w:val="en-US" w:eastAsia="zh-CN"/>
              </w:rPr>
              <w:t>其中外购的钢管需下料切割钻孔，约为</w:t>
            </w:r>
            <w:r>
              <w:rPr>
                <w:rFonts w:hint="eastAsia" w:cs="Times New Roman"/>
                <w:bCs/>
                <w:color w:val="auto"/>
                <w:sz w:val="24"/>
                <w:lang w:val="en-US" w:eastAsia="zh-CN"/>
              </w:rPr>
              <w:t>1</w:t>
            </w:r>
            <w:r>
              <w:rPr>
                <w:rFonts w:hint="eastAsia" w:ascii="Times New Roman" w:hAnsi="Times New Roman" w:eastAsia="宋体" w:cs="Times New Roman"/>
                <w:bCs/>
                <w:color w:val="auto"/>
                <w:sz w:val="24"/>
                <w:lang w:eastAsia="zh-CN"/>
              </w:rPr>
              <w:t>00t/a，</w:t>
            </w:r>
            <w:r>
              <w:rPr>
                <w:rFonts w:hint="eastAsia" w:ascii="Times New Roman" w:hAnsi="Times New Roman" w:eastAsia="宋体" w:cs="Times New Roman"/>
                <w:bCs/>
                <w:color w:val="auto"/>
                <w:sz w:val="24"/>
                <w:lang w:val="en-US" w:eastAsia="zh-CN"/>
              </w:rPr>
              <w:t>另外的钢板无需下料直接冲压成型</w:t>
            </w:r>
            <w:r>
              <w:rPr>
                <w:rFonts w:hint="eastAsia" w:ascii="Times New Roman" w:hAnsi="Times New Roman" w:eastAsia="宋体" w:cs="Times New Roman"/>
                <w:bCs/>
                <w:color w:val="auto"/>
                <w:sz w:val="24"/>
                <w:lang w:eastAsia="zh-CN"/>
              </w:rPr>
              <w:t>）估算，金属粉尘产生量约为</w:t>
            </w:r>
            <w:r>
              <w:rPr>
                <w:rFonts w:hint="eastAsia" w:cs="Times New Roman"/>
                <w:bCs/>
                <w:color w:val="auto"/>
                <w:sz w:val="24"/>
                <w:lang w:val="en-US" w:eastAsia="zh-CN"/>
              </w:rPr>
              <w:t>2.65</w:t>
            </w:r>
            <w:r>
              <w:rPr>
                <w:rFonts w:hint="eastAsia" w:ascii="Times New Roman" w:hAnsi="Times New Roman" w:eastAsia="宋体" w:cs="Times New Roman"/>
                <w:bCs/>
                <w:color w:val="auto"/>
                <w:sz w:val="24"/>
                <w:lang w:eastAsia="zh-CN"/>
              </w:rPr>
              <w:t>t/a。</w:t>
            </w:r>
            <w:r>
              <w:rPr>
                <w:rFonts w:hint="eastAsia" w:ascii="Times New Roman" w:hAnsi="宋体" w:eastAsia="宋体" w:cs="Times New Roman"/>
                <w:color w:val="auto"/>
                <w:sz w:val="24"/>
                <w:lang w:eastAsia="zh-CN"/>
              </w:rPr>
              <w:t>建议企业在产尘量较大的设备旁</w:t>
            </w:r>
            <w:r>
              <w:rPr>
                <w:rFonts w:hint="eastAsia" w:hAnsi="宋体" w:cs="Times New Roman"/>
                <w:color w:val="auto"/>
                <w:sz w:val="24"/>
                <w:lang w:eastAsia="zh-CN"/>
              </w:rPr>
              <w:t>（</w:t>
            </w:r>
            <w:r>
              <w:rPr>
                <w:rFonts w:hint="eastAsia" w:hAnsi="宋体" w:cs="Times New Roman"/>
                <w:color w:val="auto"/>
                <w:sz w:val="24"/>
                <w:lang w:val="en-US" w:eastAsia="zh-CN"/>
              </w:rPr>
              <w:t>如下料机等</w:t>
            </w:r>
            <w:r>
              <w:rPr>
                <w:rFonts w:hint="eastAsia" w:hAnsi="宋体" w:cs="Times New Roman"/>
                <w:color w:val="auto"/>
                <w:sz w:val="24"/>
                <w:lang w:eastAsia="zh-CN"/>
              </w:rPr>
              <w:t>）</w:t>
            </w:r>
            <w:r>
              <w:rPr>
                <w:rFonts w:hint="eastAsia" w:ascii="Times New Roman" w:hAnsi="宋体" w:eastAsia="宋体" w:cs="Times New Roman"/>
                <w:color w:val="auto"/>
                <w:sz w:val="24"/>
                <w:lang w:eastAsia="zh-CN"/>
              </w:rPr>
              <w:t>安装移动式布袋除尘装置，将金属粉尘收集处理，收集效率约为</w:t>
            </w:r>
            <w:r>
              <w:rPr>
                <w:rFonts w:hint="eastAsia" w:ascii="Times New Roman" w:hAnsi="宋体" w:eastAsia="宋体" w:cs="Times New Roman"/>
                <w:color w:val="auto"/>
                <w:sz w:val="24"/>
                <w:lang w:val="en-US" w:eastAsia="zh-CN"/>
              </w:rPr>
              <w:t>80%，除尘效率约为95%，另外，由于</w:t>
            </w:r>
            <w:r>
              <w:rPr>
                <w:rFonts w:hint="eastAsia" w:ascii="Times New Roman" w:hAnsi="宋体" w:eastAsia="宋体" w:cs="Times New Roman"/>
                <w:color w:val="auto"/>
                <w:sz w:val="24"/>
                <w:lang w:eastAsia="zh-CN"/>
              </w:rPr>
              <w:t>金属粉尘</w:t>
            </w:r>
            <w:r>
              <w:rPr>
                <w:rFonts w:hint="eastAsia" w:ascii="Times New Roman" w:hAnsi="宋体" w:eastAsia="宋体" w:cs="Times New Roman"/>
                <w:color w:val="auto"/>
                <w:sz w:val="24"/>
                <w:lang w:val="en-US" w:eastAsia="zh-CN"/>
              </w:rPr>
              <w:t>比重较大，未被收集的粉尘约</w:t>
            </w:r>
            <w:r>
              <w:rPr>
                <w:rFonts w:hint="eastAsia" w:hAnsi="宋体" w:cs="Times New Roman"/>
                <w:color w:val="auto"/>
                <w:sz w:val="24"/>
                <w:lang w:val="en-US" w:eastAsia="zh-CN"/>
              </w:rPr>
              <w:t>8</w:t>
            </w:r>
            <w:r>
              <w:rPr>
                <w:rFonts w:hint="eastAsia" w:ascii="Times New Roman" w:hAnsi="宋体" w:eastAsia="宋体" w:cs="Times New Roman"/>
                <w:color w:val="auto"/>
                <w:sz w:val="24"/>
                <w:lang w:val="en-US" w:eastAsia="zh-CN"/>
              </w:rPr>
              <w:t>0%沉降在车间内，因此最终</w:t>
            </w:r>
            <w:r>
              <w:rPr>
                <w:rFonts w:hint="eastAsia" w:ascii="Times New Roman" w:hAnsi="宋体" w:eastAsia="宋体" w:cs="Times New Roman"/>
                <w:color w:val="auto"/>
                <w:sz w:val="24"/>
                <w:lang w:eastAsia="zh-CN"/>
              </w:rPr>
              <w:t>无组织</w:t>
            </w:r>
            <w:r>
              <w:rPr>
                <w:rFonts w:hint="eastAsia" w:hAnsi="宋体" w:cs="Times New Roman"/>
                <w:color w:val="auto"/>
                <w:sz w:val="24"/>
                <w:lang w:val="en-US" w:eastAsia="zh-CN"/>
              </w:rPr>
              <w:t>排放至外环境的</w:t>
            </w:r>
            <w:r>
              <w:rPr>
                <w:rFonts w:hint="eastAsia" w:ascii="Times New Roman" w:hAnsi="宋体" w:eastAsia="宋体" w:cs="Times New Roman"/>
                <w:color w:val="auto"/>
                <w:sz w:val="24"/>
                <w:lang w:eastAsia="zh-CN"/>
              </w:rPr>
              <w:t>排放量</w:t>
            </w:r>
            <w:r>
              <w:rPr>
                <w:rFonts w:hint="eastAsia" w:hAnsi="宋体" w:cs="Times New Roman"/>
                <w:color w:val="auto"/>
                <w:sz w:val="24"/>
                <w:lang w:val="en-US" w:eastAsia="zh-CN"/>
              </w:rPr>
              <w:t>约</w:t>
            </w:r>
            <w:r>
              <w:rPr>
                <w:rFonts w:hint="eastAsia" w:ascii="Times New Roman" w:hAnsi="宋体" w:eastAsia="宋体" w:cs="Times New Roman"/>
                <w:color w:val="auto"/>
                <w:sz w:val="24"/>
                <w:lang w:eastAsia="zh-CN"/>
              </w:rPr>
              <w:t>为</w:t>
            </w:r>
            <w:r>
              <w:rPr>
                <w:rFonts w:hint="eastAsia" w:hAnsi="宋体" w:cs="Times New Roman"/>
                <w:color w:val="auto"/>
                <w:sz w:val="24"/>
                <w:lang w:val="en-US" w:eastAsia="zh-CN"/>
              </w:rPr>
              <w:t>0.636</w:t>
            </w:r>
            <w:r>
              <w:rPr>
                <w:rFonts w:hint="eastAsia" w:ascii="Times New Roman" w:hAnsi="宋体" w:eastAsia="宋体" w:cs="Times New Roman"/>
                <w:color w:val="auto"/>
                <w:sz w:val="24"/>
                <w:lang w:eastAsia="zh-CN"/>
              </w:rPr>
              <w:t>t/a。</w:t>
            </w:r>
          </w:p>
          <w:p w14:paraId="692879CE">
            <w:pPr>
              <w:pStyle w:val="260"/>
              <w:keepNext w:val="0"/>
              <w:keepLines w:val="0"/>
              <w:pageBreakBefore w:val="0"/>
              <w:widowControl w:val="0"/>
              <w:kinsoku/>
              <w:wordWrap/>
              <w:overflowPunct/>
              <w:topLinePunct w:val="0"/>
              <w:autoSpaceDE/>
              <w:autoSpaceDN/>
              <w:bidi w:val="0"/>
              <w:adjustRightInd/>
              <w:snapToGrid/>
              <w:spacing w:line="440" w:lineRule="exact"/>
              <w:textAlignment w:val="auto"/>
              <w:rPr>
                <w:rFonts w:hAnsi="宋体"/>
                <w:color w:val="auto"/>
                <w:kern w:val="0"/>
                <w:sz w:val="21"/>
                <w:szCs w:val="21"/>
              </w:rPr>
            </w:pPr>
            <w:r>
              <w:rPr>
                <w:rFonts w:hint="eastAsia"/>
                <w:sz w:val="24"/>
                <w:lang w:val="en-US" w:eastAsia="zh-CN"/>
              </w:rPr>
              <w:t xml:space="preserve"> </w:t>
            </w:r>
            <w:r>
              <w:rPr>
                <w:rFonts w:hAnsi="宋体"/>
                <w:color w:val="auto"/>
                <w:sz w:val="21"/>
                <w:szCs w:val="21"/>
              </w:rPr>
              <w:t>表</w:t>
            </w:r>
            <w:r>
              <w:rPr>
                <w:rFonts w:hint="eastAsia"/>
                <w:color w:val="auto"/>
                <w:sz w:val="21"/>
                <w:szCs w:val="21"/>
              </w:rPr>
              <w:t>4-</w:t>
            </w:r>
            <w:r>
              <w:rPr>
                <w:rFonts w:hint="eastAsia"/>
                <w:color w:val="auto"/>
                <w:sz w:val="21"/>
                <w:szCs w:val="21"/>
                <w:lang w:val="en-US" w:eastAsia="zh-CN"/>
              </w:rPr>
              <w:t>1</w:t>
            </w:r>
            <w:r>
              <w:rPr>
                <w:color w:val="auto"/>
                <w:sz w:val="21"/>
                <w:szCs w:val="21"/>
              </w:rPr>
              <w:t xml:space="preserve">  </w:t>
            </w:r>
            <w:r>
              <w:rPr>
                <w:rFonts w:hint="eastAsia"/>
                <w:color w:val="auto"/>
                <w:sz w:val="21"/>
                <w:szCs w:val="21"/>
              </w:rPr>
              <w:t>项目</w:t>
            </w:r>
            <w:r>
              <w:rPr>
                <w:rFonts w:hint="eastAsia" w:hAnsi="宋体"/>
                <w:color w:val="auto"/>
                <w:sz w:val="21"/>
                <w:szCs w:val="21"/>
                <w:lang w:val="en-US" w:eastAsia="zh-CN"/>
              </w:rPr>
              <w:t>金属粉尘</w:t>
            </w:r>
            <w:r>
              <w:rPr>
                <w:rFonts w:hAnsi="宋体"/>
                <w:color w:val="auto"/>
                <w:kern w:val="0"/>
                <w:sz w:val="21"/>
                <w:szCs w:val="21"/>
              </w:rPr>
              <w:t>产生及排放</w:t>
            </w:r>
            <w:r>
              <w:rPr>
                <w:rFonts w:hint="eastAsia" w:hAnsi="宋体"/>
                <w:color w:val="auto"/>
                <w:kern w:val="0"/>
                <w:sz w:val="21"/>
                <w:szCs w:val="21"/>
              </w:rPr>
              <w:t>源强</w:t>
            </w:r>
            <w:r>
              <w:rPr>
                <w:rFonts w:hAnsi="宋体"/>
                <w:color w:val="auto"/>
                <w:kern w:val="0"/>
                <w:sz w:val="21"/>
                <w:szCs w:val="21"/>
              </w:rPr>
              <w:t>一览表</w:t>
            </w:r>
          </w:p>
          <w:tbl>
            <w:tblPr>
              <w:tblStyle w:val="37"/>
              <w:tblW w:w="8390" w:type="dxa"/>
              <w:jc w:val="center"/>
              <w:tblBorders>
                <w:top w:val="single" w:color="auto" w:sz="4" w:space="0"/>
                <w:left w:val="single" w:color="auto" w:sz="2"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313"/>
              <w:gridCol w:w="1189"/>
              <w:gridCol w:w="1215"/>
              <w:gridCol w:w="1382"/>
              <w:gridCol w:w="1655"/>
            </w:tblGrid>
            <w:tr w14:paraId="572E6208">
              <w:tblPrEx>
                <w:tblBorders>
                  <w:top w:val="single" w:color="auto" w:sz="4" w:space="0"/>
                  <w:left w:val="single" w:color="auto" w:sz="2"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9" w:type="dxa"/>
                  <w:vMerge w:val="restart"/>
                  <w:vAlign w:val="center"/>
                </w:tcPr>
                <w:p w14:paraId="4C371271">
                  <w:pPr>
                    <w:adjustRightInd w:val="0"/>
                    <w:snapToGrid w:val="0"/>
                    <w:jc w:val="center"/>
                    <w:rPr>
                      <w:b/>
                      <w:bCs/>
                      <w:color w:val="auto"/>
                      <w:szCs w:val="21"/>
                    </w:rPr>
                  </w:pPr>
                  <w:r>
                    <w:rPr>
                      <w:rFonts w:hint="eastAsia"/>
                      <w:b/>
                      <w:bCs/>
                      <w:color w:val="auto"/>
                      <w:szCs w:val="21"/>
                      <w:lang w:val="en-US" w:eastAsia="zh-CN"/>
                    </w:rPr>
                    <w:t>污染物</w:t>
                  </w:r>
                </w:p>
              </w:tc>
              <w:tc>
                <w:tcPr>
                  <w:tcW w:w="761" w:type="dxa"/>
                  <w:vMerge w:val="restart"/>
                  <w:vAlign w:val="center"/>
                </w:tcPr>
                <w:p w14:paraId="33B7B971">
                  <w:pPr>
                    <w:adjustRightInd w:val="0"/>
                    <w:snapToGrid w:val="0"/>
                    <w:jc w:val="center"/>
                    <w:rPr>
                      <w:b/>
                      <w:bCs/>
                      <w:color w:val="auto"/>
                      <w:szCs w:val="21"/>
                    </w:rPr>
                  </w:pPr>
                  <w:r>
                    <w:rPr>
                      <w:b/>
                      <w:bCs/>
                      <w:color w:val="auto"/>
                      <w:szCs w:val="21"/>
                    </w:rPr>
                    <w:t>发生量t/a</w:t>
                  </w:r>
                </w:p>
              </w:tc>
              <w:tc>
                <w:tcPr>
                  <w:tcW w:w="689" w:type="dxa"/>
                  <w:vMerge w:val="restart"/>
                  <w:vAlign w:val="center"/>
                </w:tcPr>
                <w:p w14:paraId="0ED989EA">
                  <w:pPr>
                    <w:adjustRightInd w:val="0"/>
                    <w:snapToGrid w:val="0"/>
                    <w:jc w:val="center"/>
                    <w:rPr>
                      <w:b/>
                      <w:bCs/>
                      <w:color w:val="auto"/>
                      <w:szCs w:val="21"/>
                    </w:rPr>
                  </w:pPr>
                  <w:r>
                    <w:rPr>
                      <w:b/>
                      <w:bCs/>
                      <w:color w:val="auto"/>
                      <w:szCs w:val="21"/>
                    </w:rPr>
                    <w:t>收集效率</w:t>
                  </w:r>
                </w:p>
              </w:tc>
              <w:tc>
                <w:tcPr>
                  <w:tcW w:w="704" w:type="dxa"/>
                  <w:vMerge w:val="restart"/>
                  <w:vAlign w:val="center"/>
                </w:tcPr>
                <w:p w14:paraId="173144F2">
                  <w:pPr>
                    <w:adjustRightInd w:val="0"/>
                    <w:snapToGrid w:val="0"/>
                    <w:jc w:val="center"/>
                    <w:rPr>
                      <w:b/>
                      <w:bCs/>
                      <w:color w:val="auto"/>
                      <w:szCs w:val="21"/>
                    </w:rPr>
                  </w:pPr>
                  <w:r>
                    <w:rPr>
                      <w:b/>
                      <w:bCs/>
                      <w:color w:val="auto"/>
                      <w:szCs w:val="21"/>
                    </w:rPr>
                    <w:t>处理</w:t>
                  </w:r>
                </w:p>
                <w:p w14:paraId="0BF35B33">
                  <w:pPr>
                    <w:adjustRightInd w:val="0"/>
                    <w:snapToGrid w:val="0"/>
                    <w:jc w:val="center"/>
                    <w:rPr>
                      <w:b/>
                      <w:bCs/>
                      <w:color w:val="auto"/>
                      <w:szCs w:val="21"/>
                    </w:rPr>
                  </w:pPr>
                  <w:r>
                    <w:rPr>
                      <w:b/>
                      <w:bCs/>
                      <w:color w:val="auto"/>
                      <w:szCs w:val="21"/>
                    </w:rPr>
                    <w:t>效率</w:t>
                  </w:r>
                </w:p>
              </w:tc>
              <w:tc>
                <w:tcPr>
                  <w:tcW w:w="1760" w:type="dxa"/>
                  <w:gridSpan w:val="2"/>
                  <w:vAlign w:val="center"/>
                </w:tcPr>
                <w:p w14:paraId="22DF2AFE">
                  <w:pPr>
                    <w:adjustRightInd w:val="0"/>
                    <w:snapToGrid w:val="0"/>
                    <w:jc w:val="center"/>
                    <w:rPr>
                      <w:b/>
                      <w:bCs/>
                      <w:color w:val="auto"/>
                      <w:szCs w:val="21"/>
                    </w:rPr>
                  </w:pPr>
                  <w:r>
                    <w:rPr>
                      <w:b/>
                      <w:bCs/>
                      <w:color w:val="auto"/>
                      <w:szCs w:val="21"/>
                    </w:rPr>
                    <w:t>无组织排放</w:t>
                  </w:r>
                </w:p>
              </w:tc>
            </w:tr>
            <w:tr w14:paraId="3A1B00B1">
              <w:tblPrEx>
                <w:tblBorders>
                  <w:top w:val="single" w:color="auto" w:sz="4" w:space="0"/>
                  <w:left w:val="single" w:color="auto" w:sz="2"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9" w:type="dxa"/>
                  <w:vMerge w:val="continue"/>
                  <w:vAlign w:val="center"/>
                </w:tcPr>
                <w:p w14:paraId="17DD202E">
                  <w:pPr>
                    <w:adjustRightInd w:val="0"/>
                    <w:snapToGrid w:val="0"/>
                    <w:jc w:val="center"/>
                    <w:rPr>
                      <w:b/>
                      <w:bCs/>
                      <w:color w:val="auto"/>
                      <w:szCs w:val="21"/>
                    </w:rPr>
                  </w:pPr>
                </w:p>
              </w:tc>
              <w:tc>
                <w:tcPr>
                  <w:tcW w:w="761" w:type="dxa"/>
                  <w:vMerge w:val="continue"/>
                  <w:vAlign w:val="center"/>
                </w:tcPr>
                <w:p w14:paraId="39C6EAFD">
                  <w:pPr>
                    <w:adjustRightInd w:val="0"/>
                    <w:snapToGrid w:val="0"/>
                    <w:jc w:val="center"/>
                    <w:rPr>
                      <w:b/>
                      <w:bCs/>
                      <w:color w:val="auto"/>
                      <w:szCs w:val="21"/>
                    </w:rPr>
                  </w:pPr>
                </w:p>
              </w:tc>
              <w:tc>
                <w:tcPr>
                  <w:tcW w:w="689" w:type="dxa"/>
                  <w:vMerge w:val="continue"/>
                  <w:vAlign w:val="center"/>
                </w:tcPr>
                <w:p w14:paraId="18AEDA6B">
                  <w:pPr>
                    <w:adjustRightInd w:val="0"/>
                    <w:snapToGrid w:val="0"/>
                    <w:jc w:val="center"/>
                    <w:rPr>
                      <w:bCs/>
                      <w:color w:val="auto"/>
                      <w:szCs w:val="21"/>
                    </w:rPr>
                  </w:pPr>
                </w:p>
              </w:tc>
              <w:tc>
                <w:tcPr>
                  <w:tcW w:w="704" w:type="dxa"/>
                  <w:vMerge w:val="continue"/>
                  <w:vAlign w:val="center"/>
                </w:tcPr>
                <w:p w14:paraId="7AA665AE">
                  <w:pPr>
                    <w:adjustRightInd w:val="0"/>
                    <w:snapToGrid w:val="0"/>
                    <w:jc w:val="center"/>
                    <w:rPr>
                      <w:bCs/>
                      <w:color w:val="auto"/>
                      <w:szCs w:val="21"/>
                    </w:rPr>
                  </w:pPr>
                </w:p>
              </w:tc>
              <w:tc>
                <w:tcPr>
                  <w:tcW w:w="801" w:type="dxa"/>
                  <w:vAlign w:val="center"/>
                </w:tcPr>
                <w:p w14:paraId="7CB03E7F">
                  <w:pPr>
                    <w:adjustRightInd w:val="0"/>
                    <w:snapToGrid w:val="0"/>
                    <w:jc w:val="center"/>
                    <w:rPr>
                      <w:b/>
                      <w:bCs/>
                      <w:color w:val="auto"/>
                      <w:szCs w:val="21"/>
                    </w:rPr>
                  </w:pPr>
                  <w:r>
                    <w:rPr>
                      <w:rFonts w:hint="eastAsia"/>
                      <w:b/>
                      <w:bCs/>
                      <w:color w:val="auto"/>
                      <w:szCs w:val="21"/>
                    </w:rPr>
                    <w:t>排放量t/a</w:t>
                  </w:r>
                </w:p>
              </w:tc>
              <w:tc>
                <w:tcPr>
                  <w:tcW w:w="959" w:type="dxa"/>
                  <w:vAlign w:val="center"/>
                </w:tcPr>
                <w:p w14:paraId="03989098">
                  <w:pPr>
                    <w:adjustRightInd w:val="0"/>
                    <w:snapToGrid w:val="0"/>
                    <w:jc w:val="center"/>
                    <w:rPr>
                      <w:b/>
                      <w:bCs/>
                      <w:color w:val="auto"/>
                      <w:szCs w:val="21"/>
                    </w:rPr>
                  </w:pPr>
                  <w:r>
                    <w:rPr>
                      <w:rFonts w:hint="eastAsia"/>
                      <w:b/>
                      <w:bCs/>
                      <w:color w:val="auto"/>
                      <w:szCs w:val="21"/>
                    </w:rPr>
                    <w:t>排放速率kg/h</w:t>
                  </w:r>
                </w:p>
              </w:tc>
            </w:tr>
            <w:tr w14:paraId="09B33E16">
              <w:tblPrEx>
                <w:tblBorders>
                  <w:top w:val="single" w:color="auto" w:sz="4" w:space="0"/>
                  <w:left w:val="single" w:color="auto" w:sz="2"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9" w:type="dxa"/>
                  <w:vAlign w:val="center"/>
                </w:tcPr>
                <w:p w14:paraId="3DAA769C">
                  <w:pPr>
                    <w:jc w:val="center"/>
                    <w:rPr>
                      <w:rFonts w:hint="eastAsia"/>
                      <w:color w:val="auto"/>
                      <w:szCs w:val="21"/>
                      <w:lang w:val="en-US" w:eastAsia="zh-CN"/>
                    </w:rPr>
                  </w:pPr>
                  <w:r>
                    <w:rPr>
                      <w:rFonts w:hint="eastAsia"/>
                      <w:color w:val="auto"/>
                      <w:szCs w:val="21"/>
                      <w:lang w:val="en-US" w:eastAsia="zh-CN"/>
                    </w:rPr>
                    <w:t>颗粒物</w:t>
                  </w:r>
                </w:p>
              </w:tc>
              <w:tc>
                <w:tcPr>
                  <w:tcW w:w="761" w:type="dxa"/>
                  <w:vAlign w:val="center"/>
                </w:tcPr>
                <w:p w14:paraId="02B05B2C">
                  <w:pPr>
                    <w:jc w:val="center"/>
                    <w:rPr>
                      <w:rFonts w:hint="default" w:eastAsia="宋体"/>
                      <w:color w:val="auto"/>
                      <w:szCs w:val="21"/>
                      <w:lang w:val="en-US" w:eastAsia="zh-CN"/>
                    </w:rPr>
                  </w:pPr>
                  <w:r>
                    <w:rPr>
                      <w:rFonts w:hint="eastAsia"/>
                      <w:color w:val="auto"/>
                      <w:szCs w:val="21"/>
                      <w:lang w:val="en-US" w:eastAsia="zh-CN"/>
                    </w:rPr>
                    <w:t>0.53</w:t>
                  </w:r>
                </w:p>
              </w:tc>
              <w:tc>
                <w:tcPr>
                  <w:tcW w:w="689" w:type="dxa"/>
                  <w:vAlign w:val="center"/>
                </w:tcPr>
                <w:p w14:paraId="5968C7D4">
                  <w:pPr>
                    <w:jc w:val="center"/>
                    <w:rPr>
                      <w:color w:val="auto"/>
                      <w:szCs w:val="21"/>
                    </w:rPr>
                  </w:pPr>
                  <w:r>
                    <w:rPr>
                      <w:rFonts w:hint="eastAsia"/>
                      <w:color w:val="auto"/>
                      <w:szCs w:val="21"/>
                      <w:lang w:val="en-US" w:eastAsia="zh-CN"/>
                    </w:rPr>
                    <w:t>80</w:t>
                  </w:r>
                  <w:r>
                    <w:rPr>
                      <w:color w:val="auto"/>
                      <w:szCs w:val="21"/>
                    </w:rPr>
                    <w:t>%</w:t>
                  </w:r>
                </w:p>
              </w:tc>
              <w:tc>
                <w:tcPr>
                  <w:tcW w:w="704" w:type="dxa"/>
                  <w:vAlign w:val="center"/>
                </w:tcPr>
                <w:p w14:paraId="6275D57B">
                  <w:pPr>
                    <w:jc w:val="center"/>
                    <w:rPr>
                      <w:color w:val="auto"/>
                      <w:szCs w:val="21"/>
                    </w:rPr>
                  </w:pPr>
                  <w:r>
                    <w:rPr>
                      <w:rFonts w:hint="eastAsia"/>
                      <w:color w:val="auto"/>
                      <w:szCs w:val="21"/>
                      <w:lang w:val="en-US" w:eastAsia="zh-CN"/>
                    </w:rPr>
                    <w:t>95</w:t>
                  </w:r>
                  <w:r>
                    <w:rPr>
                      <w:color w:val="auto"/>
                      <w:szCs w:val="21"/>
                    </w:rPr>
                    <w:t>%</w:t>
                  </w:r>
                </w:p>
              </w:tc>
              <w:tc>
                <w:tcPr>
                  <w:tcW w:w="801" w:type="dxa"/>
                  <w:vAlign w:val="center"/>
                </w:tcPr>
                <w:p w14:paraId="776C9311">
                  <w:pPr>
                    <w:jc w:val="center"/>
                    <w:rPr>
                      <w:rFonts w:hint="default" w:eastAsia="宋体"/>
                      <w:color w:val="auto"/>
                      <w:szCs w:val="21"/>
                      <w:lang w:val="en-US" w:eastAsia="zh-CN"/>
                    </w:rPr>
                  </w:pPr>
                  <w:r>
                    <w:rPr>
                      <w:rFonts w:hint="eastAsia"/>
                      <w:color w:val="auto"/>
                      <w:szCs w:val="21"/>
                      <w:lang w:val="en-US" w:eastAsia="zh-CN"/>
                    </w:rPr>
                    <w:t>0.127</w:t>
                  </w:r>
                </w:p>
              </w:tc>
              <w:tc>
                <w:tcPr>
                  <w:tcW w:w="959" w:type="dxa"/>
                  <w:vAlign w:val="center"/>
                </w:tcPr>
                <w:p w14:paraId="455EEDE9">
                  <w:pPr>
                    <w:jc w:val="center"/>
                    <w:rPr>
                      <w:rFonts w:hint="default" w:eastAsia="宋体"/>
                      <w:color w:val="auto"/>
                      <w:szCs w:val="21"/>
                      <w:lang w:val="en-US" w:eastAsia="zh-CN"/>
                    </w:rPr>
                  </w:pPr>
                  <w:r>
                    <w:rPr>
                      <w:rFonts w:hint="eastAsia"/>
                      <w:color w:val="auto"/>
                      <w:szCs w:val="21"/>
                      <w:lang w:val="en-US" w:eastAsia="zh-CN"/>
                    </w:rPr>
                    <w:t>0.009</w:t>
                  </w:r>
                </w:p>
              </w:tc>
            </w:tr>
          </w:tbl>
          <w:p w14:paraId="7A9FC7DC">
            <w:pPr>
              <w:keepNext w:val="0"/>
              <w:keepLines w:val="0"/>
              <w:pageBreakBefore w:val="0"/>
              <w:widowControl w:val="0"/>
              <w:kinsoku/>
              <w:wordWrap/>
              <w:overflowPunct/>
              <w:topLinePunct w:val="0"/>
              <w:autoSpaceDE/>
              <w:autoSpaceDN/>
              <w:bidi w:val="0"/>
              <w:adjustRightInd/>
              <w:snapToGrid/>
              <w:spacing w:line="240" w:lineRule="auto"/>
              <w:ind w:left="57" w:firstLine="448"/>
              <w:textAlignment w:val="auto"/>
              <w:rPr>
                <w:rFonts w:hint="eastAsia" w:eastAsia="宋体"/>
                <w:sz w:val="24"/>
                <w:lang w:eastAsia="zh-CN"/>
              </w:rPr>
            </w:pPr>
            <w:r>
              <w:rPr>
                <w:color w:val="auto"/>
                <w:szCs w:val="21"/>
              </w:rPr>
              <w:t>注：</w:t>
            </w:r>
            <w:r>
              <w:rPr>
                <w:rFonts w:hint="eastAsia"/>
                <w:color w:val="auto"/>
                <w:szCs w:val="21"/>
                <w:lang w:val="en-US" w:eastAsia="zh-CN"/>
              </w:rPr>
              <w:t>下料</w:t>
            </w:r>
            <w:r>
              <w:rPr>
                <w:color w:val="auto"/>
                <w:szCs w:val="21"/>
              </w:rPr>
              <w:t>工作时间按</w:t>
            </w:r>
            <w:r>
              <w:rPr>
                <w:rFonts w:hint="eastAsia"/>
                <w:color w:val="auto"/>
                <w:szCs w:val="21"/>
                <w:lang w:val="en-US" w:eastAsia="zh-CN"/>
              </w:rPr>
              <w:t>24</w:t>
            </w:r>
            <w:r>
              <w:rPr>
                <w:color w:val="auto"/>
                <w:szCs w:val="21"/>
              </w:rPr>
              <w:t>00</w:t>
            </w:r>
            <w:r>
              <w:rPr>
                <w:rFonts w:hint="eastAsia"/>
                <w:color w:val="auto"/>
                <w:szCs w:val="21"/>
                <w:lang w:val="en-US" w:eastAsia="zh-CN"/>
              </w:rPr>
              <w:t>h/a</w:t>
            </w:r>
            <w:r>
              <w:rPr>
                <w:color w:val="auto"/>
                <w:szCs w:val="21"/>
              </w:rPr>
              <w:t>计，</w:t>
            </w:r>
            <w:r>
              <w:rPr>
                <w:rFonts w:hint="eastAsia" w:ascii="Times New Roman" w:hAnsi="Times New Roman" w:eastAsia="宋体" w:cs="Times New Roman"/>
                <w:color w:val="auto"/>
                <w:szCs w:val="21"/>
                <w:lang w:val="en-US" w:eastAsia="zh-CN"/>
              </w:rPr>
              <w:t>同时无组织排放的金属粉尘80%沉降在车间内</w:t>
            </w:r>
            <w:r>
              <w:rPr>
                <w:rFonts w:ascii="Times New Roman" w:hAnsi="Times New Roman" w:eastAsia="宋体" w:cs="Times New Roman"/>
                <w:color w:val="auto"/>
                <w:szCs w:val="21"/>
              </w:rPr>
              <w:t>。</w:t>
            </w:r>
          </w:p>
          <w:p w14:paraId="09BC7CD8">
            <w:pPr>
              <w:spacing w:line="440" w:lineRule="exact"/>
              <w:ind w:left="57" w:firstLine="449"/>
              <w:rPr>
                <w:sz w:val="24"/>
                <w:szCs w:val="20"/>
              </w:rPr>
            </w:pPr>
            <w:r>
              <w:rPr>
                <w:sz w:val="24"/>
                <w:szCs w:val="20"/>
              </w:rPr>
              <w:t>（2）焊接废气</w:t>
            </w:r>
          </w:p>
          <w:p w14:paraId="5D69F6A8">
            <w:pPr>
              <w:spacing w:line="440" w:lineRule="exact"/>
              <w:ind w:firstLine="448"/>
              <w:rPr>
                <w:color w:val="auto"/>
                <w:sz w:val="24"/>
              </w:rPr>
            </w:pPr>
            <w:r>
              <w:rPr>
                <w:color w:val="auto"/>
                <w:sz w:val="24"/>
              </w:rPr>
              <w:t>本项目在生产过程需要使用电焊作业，因此在生产过程将会有焊接烟尘产生，焊接烟尘是一种十分复杂的物质，焊接烟尘主要成分为Fe</w:t>
            </w:r>
            <w:r>
              <w:rPr>
                <w:color w:val="auto"/>
                <w:sz w:val="24"/>
                <w:vertAlign w:val="subscript"/>
              </w:rPr>
              <w:t>2</w:t>
            </w:r>
            <w:r>
              <w:rPr>
                <w:color w:val="auto"/>
                <w:sz w:val="24"/>
              </w:rPr>
              <w:t>O</w:t>
            </w:r>
            <w:r>
              <w:rPr>
                <w:color w:val="auto"/>
                <w:sz w:val="24"/>
                <w:vertAlign w:val="subscript"/>
              </w:rPr>
              <w:t>3</w:t>
            </w:r>
            <w:r>
              <w:rPr>
                <w:color w:val="auto"/>
                <w:sz w:val="24"/>
              </w:rPr>
              <w:t>、MnO</w:t>
            </w:r>
            <w:r>
              <w:rPr>
                <w:color w:val="auto"/>
                <w:sz w:val="24"/>
                <w:vertAlign w:val="subscript"/>
              </w:rPr>
              <w:t>2</w:t>
            </w:r>
            <w:r>
              <w:rPr>
                <w:color w:val="auto"/>
                <w:sz w:val="24"/>
              </w:rPr>
              <w:t>以及有害气体CO、NO</w:t>
            </w:r>
            <w:r>
              <w:rPr>
                <w:color w:val="auto"/>
                <w:sz w:val="24"/>
                <w:vertAlign w:val="subscript"/>
              </w:rPr>
              <w:t>X</w:t>
            </w:r>
            <w:r>
              <w:rPr>
                <w:color w:val="auto"/>
                <w:sz w:val="24"/>
              </w:rPr>
              <w:t>和O</w:t>
            </w:r>
            <w:r>
              <w:rPr>
                <w:color w:val="auto"/>
                <w:sz w:val="24"/>
                <w:vertAlign w:val="subscript"/>
              </w:rPr>
              <w:t>3</w:t>
            </w:r>
            <w:r>
              <w:rPr>
                <w:color w:val="auto"/>
                <w:sz w:val="24"/>
              </w:rPr>
              <w:t>。</w:t>
            </w:r>
          </w:p>
          <w:p w14:paraId="104C0250">
            <w:pPr>
              <w:pStyle w:val="2"/>
              <w:spacing w:line="440" w:lineRule="exact"/>
              <w:ind w:firstLine="480"/>
              <w:rPr>
                <w:sz w:val="24"/>
              </w:rPr>
            </w:pPr>
            <w:r>
              <w:rPr>
                <w:color w:val="auto"/>
                <w:sz w:val="24"/>
                <w:lang w:val="en-US" w:eastAsia="zh-CN"/>
              </w:rPr>
              <w:t>本项目使用φ1.6的实芯焊丝，采用CO</w:t>
            </w:r>
            <w:r>
              <w:rPr>
                <w:color w:val="auto"/>
                <w:sz w:val="24"/>
                <w:vertAlign w:val="subscript"/>
                <w:lang w:val="en-US" w:eastAsia="zh-CN"/>
              </w:rPr>
              <w:t>2</w:t>
            </w:r>
            <w:r>
              <w:rPr>
                <w:color w:val="auto"/>
                <w:sz w:val="24"/>
                <w:lang w:val="en-US" w:eastAsia="zh-CN"/>
              </w:rPr>
              <w:t>气体保护焊工艺</w:t>
            </w:r>
            <w:r>
              <w:rPr>
                <w:rFonts w:hint="eastAsia"/>
                <w:color w:val="auto"/>
                <w:sz w:val="24"/>
                <w:lang w:val="en-US" w:eastAsia="zh-CN"/>
              </w:rPr>
              <w:t>和氩弧焊</w:t>
            </w:r>
            <w:r>
              <w:rPr>
                <w:color w:val="auto"/>
                <w:sz w:val="24"/>
                <w:lang w:val="en-US" w:eastAsia="zh-CN"/>
              </w:rPr>
              <w:t>，焊丝的使用量约为</w:t>
            </w:r>
            <w:r>
              <w:rPr>
                <w:rFonts w:hint="eastAsia"/>
                <w:color w:val="auto"/>
                <w:sz w:val="24"/>
                <w:lang w:val="en-US" w:eastAsia="zh-CN"/>
              </w:rPr>
              <w:t>6.0</w:t>
            </w:r>
            <w:r>
              <w:rPr>
                <w:color w:val="auto"/>
                <w:sz w:val="24"/>
                <w:lang w:val="en-US" w:eastAsia="zh-CN"/>
              </w:rPr>
              <w:t>t/a。</w:t>
            </w:r>
            <w:r>
              <w:rPr>
                <w:rFonts w:hint="eastAsia"/>
                <w:bCs/>
                <w:color w:val="auto"/>
                <w:sz w:val="24"/>
                <w:lang w:val="en-US" w:eastAsia="zh-CN"/>
              </w:rPr>
              <w:t>根据生态环境部2021年6月11日印发的《排放源统计调查产排污核算方法和系数手册》中机械行业系数手册，焊接烟尘产生量约为9.19kg/t-原料，</w:t>
            </w:r>
            <w:r>
              <w:rPr>
                <w:rFonts w:hint="eastAsia"/>
                <w:color w:val="auto"/>
                <w:sz w:val="24"/>
                <w:lang w:val="en-US" w:eastAsia="zh-CN"/>
              </w:rPr>
              <w:t>则</w:t>
            </w:r>
            <w:r>
              <w:rPr>
                <w:color w:val="auto"/>
                <w:sz w:val="24"/>
                <w:lang w:val="en-US" w:eastAsia="zh-CN"/>
              </w:rPr>
              <w:t>本项目</w:t>
            </w:r>
            <w:r>
              <w:rPr>
                <w:rFonts w:hint="eastAsia"/>
                <w:color w:val="auto"/>
                <w:sz w:val="24"/>
                <w:lang w:val="en-US" w:eastAsia="zh-CN"/>
              </w:rPr>
              <w:t>焊接</w:t>
            </w:r>
            <w:r>
              <w:rPr>
                <w:color w:val="auto"/>
                <w:sz w:val="24"/>
                <w:lang w:val="en-US" w:eastAsia="zh-CN"/>
              </w:rPr>
              <w:t>烟尘</w:t>
            </w:r>
            <w:r>
              <w:rPr>
                <w:rFonts w:hint="eastAsia"/>
                <w:color w:val="auto"/>
                <w:sz w:val="24"/>
                <w:lang w:val="en-US" w:eastAsia="zh-CN"/>
              </w:rPr>
              <w:t>（以颗粒物计）</w:t>
            </w:r>
            <w:r>
              <w:rPr>
                <w:color w:val="auto"/>
                <w:sz w:val="24"/>
                <w:lang w:val="en-US" w:eastAsia="zh-CN"/>
              </w:rPr>
              <w:t>的产生量约为0.</w:t>
            </w:r>
            <w:r>
              <w:rPr>
                <w:rFonts w:hint="eastAsia"/>
                <w:color w:val="auto"/>
                <w:sz w:val="24"/>
                <w:lang w:val="en-US" w:eastAsia="zh-CN"/>
              </w:rPr>
              <w:t>018</w:t>
            </w:r>
            <w:r>
              <w:rPr>
                <w:color w:val="auto"/>
                <w:sz w:val="24"/>
                <w:lang w:val="en-US" w:eastAsia="zh-CN"/>
              </w:rPr>
              <w:t>t/a</w:t>
            </w:r>
            <w:r>
              <w:rPr>
                <w:sz w:val="24"/>
              </w:rPr>
              <w:t>。</w:t>
            </w:r>
            <w:r>
              <w:rPr>
                <w:rFonts w:hint="eastAsia"/>
                <w:color w:val="auto"/>
                <w:sz w:val="24"/>
                <w:lang w:val="en-US" w:eastAsia="zh-CN"/>
              </w:rPr>
              <w:t>企业在每个焊接工位设置移动式焊烟净化器</w:t>
            </w:r>
            <w:r>
              <w:rPr>
                <w:rFonts w:hint="eastAsia" w:hAnsi="宋体"/>
                <w:color w:val="auto"/>
                <w:sz w:val="24"/>
                <w:lang w:val="en-US" w:eastAsia="zh-CN"/>
              </w:rPr>
              <w:t>，由于烟尘产生量较小，设备与产尘点距离较近，故本次废气收集效率按80%，处理效率按95%计算，</w:t>
            </w:r>
            <w:r>
              <w:rPr>
                <w:rFonts w:hint="eastAsia"/>
                <w:sz w:val="24"/>
              </w:rPr>
              <w:t>产生量以及排放源强见下表5-3</w:t>
            </w:r>
            <w:r>
              <w:rPr>
                <w:rFonts w:hint="eastAsia" w:hAnsi="宋体"/>
                <w:color w:val="auto"/>
                <w:sz w:val="24"/>
                <w:lang w:val="en-US" w:eastAsia="zh-CN"/>
              </w:rPr>
              <w:t>。</w:t>
            </w:r>
          </w:p>
          <w:p w14:paraId="29FF00BC">
            <w:pPr>
              <w:pStyle w:val="260"/>
              <w:keepNext w:val="0"/>
              <w:keepLines w:val="0"/>
              <w:pageBreakBefore w:val="0"/>
              <w:widowControl w:val="0"/>
              <w:kinsoku/>
              <w:wordWrap/>
              <w:overflowPunct/>
              <w:topLinePunct w:val="0"/>
              <w:autoSpaceDE/>
              <w:autoSpaceDN/>
              <w:bidi w:val="0"/>
              <w:adjustRightInd/>
              <w:snapToGrid/>
              <w:spacing w:line="440" w:lineRule="exact"/>
              <w:textAlignment w:val="auto"/>
              <w:rPr>
                <w:rFonts w:hAnsi="宋体"/>
                <w:color w:val="auto"/>
                <w:kern w:val="0"/>
                <w:sz w:val="21"/>
                <w:szCs w:val="21"/>
              </w:rPr>
            </w:pPr>
            <w:r>
              <w:rPr>
                <w:rFonts w:hint="eastAsia"/>
                <w:color w:val="auto"/>
                <w:sz w:val="21"/>
                <w:szCs w:val="21"/>
                <w:lang w:eastAsia="zh-CN"/>
              </w:rPr>
              <w:t>表</w:t>
            </w:r>
            <w:r>
              <w:rPr>
                <w:rFonts w:hint="eastAsia"/>
                <w:color w:val="auto"/>
                <w:sz w:val="21"/>
                <w:szCs w:val="21"/>
                <w:lang w:val="en-US" w:eastAsia="zh-CN"/>
              </w:rPr>
              <w:t>4-2</w:t>
            </w:r>
            <w:r>
              <w:rPr>
                <w:color w:val="auto"/>
                <w:sz w:val="21"/>
                <w:szCs w:val="21"/>
              </w:rPr>
              <w:t xml:space="preserve"> </w:t>
            </w:r>
            <w:r>
              <w:rPr>
                <w:rFonts w:hint="eastAsia"/>
                <w:color w:val="auto"/>
                <w:sz w:val="21"/>
                <w:szCs w:val="21"/>
              </w:rPr>
              <w:t>项目</w:t>
            </w:r>
            <w:r>
              <w:rPr>
                <w:rFonts w:hint="eastAsia" w:hAnsi="宋体"/>
                <w:color w:val="auto"/>
                <w:sz w:val="21"/>
                <w:szCs w:val="21"/>
                <w:lang w:val="en-US" w:eastAsia="zh-CN"/>
              </w:rPr>
              <w:t>焊接烟尘</w:t>
            </w:r>
            <w:r>
              <w:rPr>
                <w:rFonts w:hAnsi="宋体"/>
                <w:color w:val="auto"/>
                <w:kern w:val="0"/>
                <w:sz w:val="21"/>
                <w:szCs w:val="21"/>
              </w:rPr>
              <w:t>产生及排放</w:t>
            </w:r>
            <w:r>
              <w:rPr>
                <w:rFonts w:hint="eastAsia" w:hAnsi="宋体"/>
                <w:color w:val="auto"/>
                <w:kern w:val="0"/>
                <w:sz w:val="21"/>
                <w:szCs w:val="21"/>
              </w:rPr>
              <w:t>源强</w:t>
            </w:r>
            <w:r>
              <w:rPr>
                <w:rFonts w:hAnsi="宋体"/>
                <w:color w:val="auto"/>
                <w:kern w:val="0"/>
                <w:sz w:val="21"/>
                <w:szCs w:val="21"/>
              </w:rPr>
              <w:t>一览表</w:t>
            </w:r>
          </w:p>
          <w:tbl>
            <w:tblPr>
              <w:tblStyle w:val="37"/>
              <w:tblW w:w="8390" w:type="dxa"/>
              <w:jc w:val="center"/>
              <w:tblBorders>
                <w:top w:val="single" w:color="auto" w:sz="4" w:space="0"/>
                <w:left w:val="single" w:color="auto" w:sz="2"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313"/>
              <w:gridCol w:w="1189"/>
              <w:gridCol w:w="1215"/>
              <w:gridCol w:w="1382"/>
              <w:gridCol w:w="1655"/>
            </w:tblGrid>
            <w:tr w14:paraId="61426EA5">
              <w:tblPrEx>
                <w:tblBorders>
                  <w:top w:val="single" w:color="auto" w:sz="4" w:space="0"/>
                  <w:left w:val="single" w:color="auto" w:sz="2"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9" w:type="dxa"/>
                  <w:vMerge w:val="restart"/>
                  <w:vAlign w:val="center"/>
                </w:tcPr>
                <w:p w14:paraId="73066137">
                  <w:pPr>
                    <w:adjustRightInd w:val="0"/>
                    <w:snapToGrid w:val="0"/>
                    <w:jc w:val="center"/>
                    <w:rPr>
                      <w:b/>
                      <w:bCs/>
                      <w:color w:val="auto"/>
                      <w:szCs w:val="21"/>
                    </w:rPr>
                  </w:pPr>
                  <w:r>
                    <w:rPr>
                      <w:rFonts w:hint="eastAsia"/>
                      <w:b/>
                      <w:bCs/>
                      <w:color w:val="auto"/>
                      <w:szCs w:val="21"/>
                      <w:lang w:val="en-US" w:eastAsia="zh-CN"/>
                    </w:rPr>
                    <w:t>污染物</w:t>
                  </w:r>
                </w:p>
              </w:tc>
              <w:tc>
                <w:tcPr>
                  <w:tcW w:w="761" w:type="dxa"/>
                  <w:vMerge w:val="restart"/>
                  <w:vAlign w:val="center"/>
                </w:tcPr>
                <w:p w14:paraId="33903D73">
                  <w:pPr>
                    <w:adjustRightInd w:val="0"/>
                    <w:snapToGrid w:val="0"/>
                    <w:jc w:val="center"/>
                    <w:rPr>
                      <w:b/>
                      <w:bCs/>
                      <w:color w:val="auto"/>
                      <w:szCs w:val="21"/>
                    </w:rPr>
                  </w:pPr>
                  <w:r>
                    <w:rPr>
                      <w:b/>
                      <w:bCs/>
                      <w:color w:val="auto"/>
                      <w:szCs w:val="21"/>
                    </w:rPr>
                    <w:t>发生量t/a</w:t>
                  </w:r>
                </w:p>
              </w:tc>
              <w:tc>
                <w:tcPr>
                  <w:tcW w:w="689" w:type="dxa"/>
                  <w:vMerge w:val="restart"/>
                  <w:vAlign w:val="center"/>
                </w:tcPr>
                <w:p w14:paraId="353387B5">
                  <w:pPr>
                    <w:adjustRightInd w:val="0"/>
                    <w:snapToGrid w:val="0"/>
                    <w:jc w:val="center"/>
                    <w:rPr>
                      <w:b/>
                      <w:bCs/>
                      <w:color w:val="auto"/>
                      <w:szCs w:val="21"/>
                    </w:rPr>
                  </w:pPr>
                  <w:r>
                    <w:rPr>
                      <w:b/>
                      <w:bCs/>
                      <w:color w:val="auto"/>
                      <w:szCs w:val="21"/>
                    </w:rPr>
                    <w:t>收集效率</w:t>
                  </w:r>
                </w:p>
              </w:tc>
              <w:tc>
                <w:tcPr>
                  <w:tcW w:w="704" w:type="dxa"/>
                  <w:vMerge w:val="restart"/>
                  <w:vAlign w:val="center"/>
                </w:tcPr>
                <w:p w14:paraId="16088A82">
                  <w:pPr>
                    <w:adjustRightInd w:val="0"/>
                    <w:snapToGrid w:val="0"/>
                    <w:jc w:val="center"/>
                    <w:rPr>
                      <w:b/>
                      <w:bCs/>
                      <w:color w:val="auto"/>
                      <w:szCs w:val="21"/>
                    </w:rPr>
                  </w:pPr>
                  <w:r>
                    <w:rPr>
                      <w:b/>
                      <w:bCs/>
                      <w:color w:val="auto"/>
                      <w:szCs w:val="21"/>
                    </w:rPr>
                    <w:t>处理</w:t>
                  </w:r>
                </w:p>
                <w:p w14:paraId="6C5DBDEA">
                  <w:pPr>
                    <w:adjustRightInd w:val="0"/>
                    <w:snapToGrid w:val="0"/>
                    <w:jc w:val="center"/>
                    <w:rPr>
                      <w:b/>
                      <w:bCs/>
                      <w:color w:val="auto"/>
                      <w:szCs w:val="21"/>
                    </w:rPr>
                  </w:pPr>
                  <w:r>
                    <w:rPr>
                      <w:b/>
                      <w:bCs/>
                      <w:color w:val="auto"/>
                      <w:szCs w:val="21"/>
                    </w:rPr>
                    <w:t>效率</w:t>
                  </w:r>
                </w:p>
              </w:tc>
              <w:tc>
                <w:tcPr>
                  <w:tcW w:w="1760" w:type="dxa"/>
                  <w:gridSpan w:val="2"/>
                  <w:vAlign w:val="center"/>
                </w:tcPr>
                <w:p w14:paraId="53984AD6">
                  <w:pPr>
                    <w:adjustRightInd w:val="0"/>
                    <w:snapToGrid w:val="0"/>
                    <w:jc w:val="center"/>
                    <w:rPr>
                      <w:b/>
                      <w:bCs/>
                      <w:color w:val="auto"/>
                      <w:szCs w:val="21"/>
                    </w:rPr>
                  </w:pPr>
                  <w:r>
                    <w:rPr>
                      <w:b/>
                      <w:bCs/>
                      <w:color w:val="auto"/>
                      <w:szCs w:val="21"/>
                    </w:rPr>
                    <w:t>无组织排放</w:t>
                  </w:r>
                </w:p>
              </w:tc>
            </w:tr>
            <w:tr w14:paraId="5CB713FE">
              <w:tblPrEx>
                <w:tblBorders>
                  <w:top w:val="single" w:color="auto" w:sz="4" w:space="0"/>
                  <w:left w:val="single" w:color="auto" w:sz="2"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9" w:type="dxa"/>
                  <w:vMerge w:val="continue"/>
                  <w:vAlign w:val="center"/>
                </w:tcPr>
                <w:p w14:paraId="6EB9CBE5">
                  <w:pPr>
                    <w:adjustRightInd w:val="0"/>
                    <w:snapToGrid w:val="0"/>
                    <w:jc w:val="center"/>
                    <w:rPr>
                      <w:b/>
                      <w:bCs/>
                      <w:color w:val="auto"/>
                      <w:szCs w:val="21"/>
                    </w:rPr>
                  </w:pPr>
                </w:p>
              </w:tc>
              <w:tc>
                <w:tcPr>
                  <w:tcW w:w="761" w:type="dxa"/>
                  <w:vMerge w:val="continue"/>
                  <w:vAlign w:val="center"/>
                </w:tcPr>
                <w:p w14:paraId="169C4ED8">
                  <w:pPr>
                    <w:adjustRightInd w:val="0"/>
                    <w:snapToGrid w:val="0"/>
                    <w:jc w:val="center"/>
                    <w:rPr>
                      <w:b/>
                      <w:bCs/>
                      <w:color w:val="auto"/>
                      <w:szCs w:val="21"/>
                    </w:rPr>
                  </w:pPr>
                </w:p>
              </w:tc>
              <w:tc>
                <w:tcPr>
                  <w:tcW w:w="689" w:type="dxa"/>
                  <w:vMerge w:val="continue"/>
                  <w:vAlign w:val="center"/>
                </w:tcPr>
                <w:p w14:paraId="5E6DC329">
                  <w:pPr>
                    <w:adjustRightInd w:val="0"/>
                    <w:snapToGrid w:val="0"/>
                    <w:jc w:val="center"/>
                    <w:rPr>
                      <w:bCs/>
                      <w:color w:val="auto"/>
                      <w:szCs w:val="21"/>
                    </w:rPr>
                  </w:pPr>
                </w:p>
              </w:tc>
              <w:tc>
                <w:tcPr>
                  <w:tcW w:w="704" w:type="dxa"/>
                  <w:vMerge w:val="continue"/>
                  <w:vAlign w:val="center"/>
                </w:tcPr>
                <w:p w14:paraId="51019B22">
                  <w:pPr>
                    <w:adjustRightInd w:val="0"/>
                    <w:snapToGrid w:val="0"/>
                    <w:jc w:val="center"/>
                    <w:rPr>
                      <w:bCs/>
                      <w:color w:val="auto"/>
                      <w:szCs w:val="21"/>
                    </w:rPr>
                  </w:pPr>
                </w:p>
              </w:tc>
              <w:tc>
                <w:tcPr>
                  <w:tcW w:w="801" w:type="dxa"/>
                  <w:vAlign w:val="center"/>
                </w:tcPr>
                <w:p w14:paraId="3CAC1408">
                  <w:pPr>
                    <w:adjustRightInd w:val="0"/>
                    <w:snapToGrid w:val="0"/>
                    <w:jc w:val="center"/>
                    <w:rPr>
                      <w:b/>
                      <w:bCs/>
                      <w:color w:val="auto"/>
                      <w:szCs w:val="21"/>
                    </w:rPr>
                  </w:pPr>
                  <w:r>
                    <w:rPr>
                      <w:rFonts w:hint="eastAsia"/>
                      <w:b/>
                      <w:bCs/>
                      <w:color w:val="auto"/>
                      <w:szCs w:val="21"/>
                    </w:rPr>
                    <w:t>排放量t/a</w:t>
                  </w:r>
                </w:p>
              </w:tc>
              <w:tc>
                <w:tcPr>
                  <w:tcW w:w="959" w:type="dxa"/>
                  <w:vAlign w:val="center"/>
                </w:tcPr>
                <w:p w14:paraId="60C59460">
                  <w:pPr>
                    <w:adjustRightInd w:val="0"/>
                    <w:snapToGrid w:val="0"/>
                    <w:jc w:val="center"/>
                    <w:rPr>
                      <w:b/>
                      <w:bCs/>
                      <w:color w:val="auto"/>
                      <w:szCs w:val="21"/>
                    </w:rPr>
                  </w:pPr>
                  <w:r>
                    <w:rPr>
                      <w:rFonts w:hint="eastAsia"/>
                      <w:b/>
                      <w:bCs/>
                      <w:color w:val="auto"/>
                      <w:szCs w:val="21"/>
                    </w:rPr>
                    <w:t>排放速率kg/h</w:t>
                  </w:r>
                </w:p>
              </w:tc>
            </w:tr>
            <w:tr w14:paraId="096A1180">
              <w:tblPrEx>
                <w:tblBorders>
                  <w:top w:val="single" w:color="auto" w:sz="4" w:space="0"/>
                  <w:left w:val="single" w:color="auto" w:sz="2"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9" w:type="dxa"/>
                  <w:vAlign w:val="center"/>
                </w:tcPr>
                <w:p w14:paraId="63D4B136">
                  <w:pPr>
                    <w:jc w:val="center"/>
                    <w:rPr>
                      <w:rFonts w:hint="eastAsia"/>
                      <w:color w:val="auto"/>
                      <w:szCs w:val="21"/>
                      <w:lang w:val="en-US" w:eastAsia="zh-CN"/>
                    </w:rPr>
                  </w:pPr>
                  <w:r>
                    <w:rPr>
                      <w:rFonts w:hint="eastAsia"/>
                      <w:color w:val="auto"/>
                      <w:szCs w:val="21"/>
                      <w:lang w:val="en-US" w:eastAsia="zh-CN"/>
                    </w:rPr>
                    <w:t>颗粒物</w:t>
                  </w:r>
                </w:p>
              </w:tc>
              <w:tc>
                <w:tcPr>
                  <w:tcW w:w="761" w:type="dxa"/>
                  <w:vAlign w:val="center"/>
                </w:tcPr>
                <w:p w14:paraId="3BB6E538">
                  <w:pPr>
                    <w:jc w:val="center"/>
                    <w:rPr>
                      <w:rFonts w:hint="default" w:eastAsia="宋体"/>
                      <w:color w:val="auto"/>
                      <w:szCs w:val="21"/>
                      <w:lang w:val="en-US" w:eastAsia="zh-CN"/>
                    </w:rPr>
                  </w:pPr>
                  <w:r>
                    <w:rPr>
                      <w:rFonts w:hint="eastAsia"/>
                      <w:color w:val="auto"/>
                      <w:szCs w:val="21"/>
                      <w:lang w:val="en-US" w:eastAsia="zh-CN"/>
                    </w:rPr>
                    <w:t>0.055</w:t>
                  </w:r>
                </w:p>
              </w:tc>
              <w:tc>
                <w:tcPr>
                  <w:tcW w:w="689" w:type="dxa"/>
                  <w:vAlign w:val="center"/>
                </w:tcPr>
                <w:p w14:paraId="563B1A64">
                  <w:pPr>
                    <w:jc w:val="center"/>
                    <w:rPr>
                      <w:color w:val="auto"/>
                      <w:szCs w:val="21"/>
                    </w:rPr>
                  </w:pPr>
                  <w:r>
                    <w:rPr>
                      <w:rFonts w:hint="eastAsia"/>
                      <w:color w:val="auto"/>
                      <w:szCs w:val="21"/>
                      <w:lang w:val="en-US" w:eastAsia="zh-CN"/>
                    </w:rPr>
                    <w:t>80</w:t>
                  </w:r>
                  <w:r>
                    <w:rPr>
                      <w:color w:val="auto"/>
                      <w:szCs w:val="21"/>
                    </w:rPr>
                    <w:t>%</w:t>
                  </w:r>
                </w:p>
              </w:tc>
              <w:tc>
                <w:tcPr>
                  <w:tcW w:w="704" w:type="dxa"/>
                  <w:vAlign w:val="center"/>
                </w:tcPr>
                <w:p w14:paraId="36A5C9CF">
                  <w:pPr>
                    <w:jc w:val="center"/>
                    <w:rPr>
                      <w:color w:val="auto"/>
                      <w:szCs w:val="21"/>
                    </w:rPr>
                  </w:pPr>
                  <w:r>
                    <w:rPr>
                      <w:rFonts w:hint="eastAsia"/>
                      <w:color w:val="auto"/>
                      <w:szCs w:val="21"/>
                      <w:lang w:val="en-US" w:eastAsia="zh-CN"/>
                    </w:rPr>
                    <w:t>95</w:t>
                  </w:r>
                  <w:r>
                    <w:rPr>
                      <w:color w:val="auto"/>
                      <w:szCs w:val="21"/>
                    </w:rPr>
                    <w:t>%</w:t>
                  </w:r>
                </w:p>
              </w:tc>
              <w:tc>
                <w:tcPr>
                  <w:tcW w:w="801" w:type="dxa"/>
                  <w:vAlign w:val="center"/>
                </w:tcPr>
                <w:p w14:paraId="7DA402B0">
                  <w:pPr>
                    <w:jc w:val="center"/>
                    <w:rPr>
                      <w:rFonts w:hint="default" w:eastAsia="宋体"/>
                      <w:color w:val="auto"/>
                      <w:szCs w:val="21"/>
                      <w:lang w:val="en-US" w:eastAsia="zh-CN"/>
                    </w:rPr>
                  </w:pPr>
                  <w:r>
                    <w:rPr>
                      <w:rFonts w:hint="eastAsia"/>
                      <w:color w:val="auto"/>
                      <w:szCs w:val="21"/>
                      <w:lang w:val="en-US" w:eastAsia="zh-CN"/>
                    </w:rPr>
                    <w:t>0.013</w:t>
                  </w:r>
                </w:p>
              </w:tc>
              <w:tc>
                <w:tcPr>
                  <w:tcW w:w="959" w:type="dxa"/>
                  <w:vAlign w:val="center"/>
                </w:tcPr>
                <w:p w14:paraId="6D8C524A">
                  <w:pPr>
                    <w:jc w:val="center"/>
                    <w:rPr>
                      <w:rFonts w:hint="default" w:eastAsia="宋体"/>
                      <w:color w:val="auto"/>
                      <w:szCs w:val="21"/>
                      <w:lang w:val="en-US" w:eastAsia="zh-CN"/>
                    </w:rPr>
                  </w:pPr>
                  <w:r>
                    <w:rPr>
                      <w:rFonts w:hint="eastAsia"/>
                      <w:color w:val="auto"/>
                      <w:szCs w:val="21"/>
                      <w:lang w:val="en-US" w:eastAsia="zh-CN"/>
                    </w:rPr>
                    <w:t>0.002</w:t>
                  </w:r>
                </w:p>
              </w:tc>
            </w:tr>
          </w:tbl>
          <w:p w14:paraId="46EF49D4">
            <w:pPr>
              <w:ind w:firstLine="420" w:firstLineChars="200"/>
              <w:rPr>
                <w:sz w:val="24"/>
              </w:rPr>
            </w:pPr>
            <w:r>
              <w:rPr>
                <w:szCs w:val="21"/>
              </w:rPr>
              <w:t>注：年工作时间按</w:t>
            </w:r>
            <w:r>
              <w:rPr>
                <w:rFonts w:hint="eastAsia"/>
                <w:szCs w:val="21"/>
              </w:rPr>
              <w:t>12</w:t>
            </w:r>
            <w:r>
              <w:rPr>
                <w:szCs w:val="21"/>
              </w:rPr>
              <w:t>00小时计算。</w:t>
            </w:r>
          </w:p>
          <w:p w14:paraId="36D12FB2">
            <w:pPr>
              <w:spacing w:line="480" w:lineRule="exact"/>
              <w:ind w:firstLine="480" w:firstLineChars="200"/>
              <w:rPr>
                <w:sz w:val="24"/>
              </w:rPr>
            </w:pPr>
            <w:r>
              <w:rPr>
                <w:rFonts w:hint="eastAsia"/>
                <w:sz w:val="24"/>
              </w:rPr>
              <w:t>（3）注塑废气</w:t>
            </w:r>
          </w:p>
          <w:p w14:paraId="5CFB0ED2">
            <w:pPr>
              <w:spacing w:line="480" w:lineRule="exact"/>
              <w:ind w:firstLine="480" w:firstLineChars="200"/>
              <w:rPr>
                <w:sz w:val="24"/>
              </w:rPr>
            </w:pPr>
            <w:r>
              <w:rPr>
                <w:sz w:val="24"/>
              </w:rPr>
              <w:t>本项目以</w:t>
            </w:r>
            <w:r>
              <w:rPr>
                <w:bCs/>
                <w:sz w:val="24"/>
              </w:rPr>
              <w:t>PP</w:t>
            </w:r>
            <w:r>
              <w:rPr>
                <w:rFonts w:hint="eastAsia"/>
                <w:bCs/>
                <w:sz w:val="24"/>
              </w:rPr>
              <w:t>、ABS</w:t>
            </w:r>
            <w:r>
              <w:rPr>
                <w:bCs/>
                <w:sz w:val="24"/>
              </w:rPr>
              <w:t>树脂</w:t>
            </w:r>
            <w:r>
              <w:rPr>
                <w:rFonts w:hint="eastAsia"/>
                <w:bCs/>
                <w:sz w:val="24"/>
              </w:rPr>
              <w:t>新料和色母料</w:t>
            </w:r>
            <w:r>
              <w:rPr>
                <w:bCs/>
                <w:sz w:val="24"/>
              </w:rPr>
              <w:t>为原料，本项目生产过程不添加其他助剂，</w:t>
            </w:r>
            <w:r>
              <w:rPr>
                <w:sz w:val="24"/>
              </w:rPr>
              <w:t>热熔挤出过程温度控制在235~250℃左右，根据物料的理化性质分析，原料中有少量未聚合的单体在高温下会有部分挥发出来，该废气组分较复杂，工艺废气以非甲烷总烃计。因此，本项目在注塑过程产生的废气主要含有非甲烷总烃，根据《浙江省重点行业VOC</w:t>
            </w:r>
            <w:r>
              <w:rPr>
                <w:sz w:val="24"/>
                <w:vertAlign w:val="subscript"/>
              </w:rPr>
              <w:t>S</w:t>
            </w:r>
            <w:r>
              <w:rPr>
                <w:sz w:val="24"/>
              </w:rPr>
              <w:t>污染排放源排放量计算方法》对同类型企业的类比调查和经验数据的统计，非甲烷总烃产生量约为0.539kg/t原料，本项目年使用PP</w:t>
            </w:r>
            <w:r>
              <w:rPr>
                <w:rFonts w:hint="eastAsia"/>
                <w:sz w:val="24"/>
              </w:rPr>
              <w:t>、ABS</w:t>
            </w:r>
            <w:r>
              <w:rPr>
                <w:sz w:val="24"/>
              </w:rPr>
              <w:t>树脂</w:t>
            </w:r>
            <w:r>
              <w:rPr>
                <w:rFonts w:hint="eastAsia"/>
                <w:sz w:val="24"/>
              </w:rPr>
              <w:t>和色母料</w:t>
            </w:r>
            <w:r>
              <w:rPr>
                <w:sz w:val="24"/>
              </w:rPr>
              <w:t>共为</w:t>
            </w:r>
            <w:r>
              <w:rPr>
                <w:rFonts w:hint="eastAsia"/>
                <w:sz w:val="24"/>
              </w:rPr>
              <w:t>404</w:t>
            </w:r>
            <w:r>
              <w:rPr>
                <w:sz w:val="24"/>
              </w:rPr>
              <w:t>t，则非甲烷总烃的产生量为0.</w:t>
            </w:r>
            <w:r>
              <w:rPr>
                <w:rFonts w:hint="eastAsia"/>
                <w:sz w:val="24"/>
              </w:rPr>
              <w:t>218</w:t>
            </w:r>
            <w:r>
              <w:rPr>
                <w:sz w:val="24"/>
              </w:rPr>
              <w:t>t/a。</w:t>
            </w:r>
          </w:p>
          <w:p w14:paraId="33874FB9">
            <w:pPr>
              <w:spacing w:line="480" w:lineRule="exact"/>
              <w:ind w:firstLine="480" w:firstLineChars="200"/>
              <w:rPr>
                <w:sz w:val="24"/>
              </w:rPr>
            </w:pPr>
            <w:r>
              <w:rPr>
                <w:rFonts w:hint="eastAsia"/>
                <w:sz w:val="24"/>
              </w:rPr>
              <w:t>同时，ABS颗粒在注塑过程还会有少量的苯乙烯产生，根据《各种塑料原料注塑废气污染物排放系数》，按苯乙烯</w:t>
            </w:r>
            <w:r>
              <w:rPr>
                <w:sz w:val="24"/>
              </w:rPr>
              <w:t>产生量约为0.</w:t>
            </w:r>
            <w:r>
              <w:rPr>
                <w:rFonts w:hint="eastAsia"/>
                <w:sz w:val="24"/>
              </w:rPr>
              <w:t>05</w:t>
            </w:r>
            <w:r>
              <w:rPr>
                <w:sz w:val="24"/>
              </w:rPr>
              <w:t>kg/t原料</w:t>
            </w:r>
            <w:r>
              <w:rPr>
                <w:rFonts w:hint="eastAsia"/>
                <w:sz w:val="24"/>
              </w:rPr>
              <w:t>，本项目ABS</w:t>
            </w:r>
            <w:r>
              <w:rPr>
                <w:sz w:val="24"/>
              </w:rPr>
              <w:t>树脂</w:t>
            </w:r>
            <w:r>
              <w:rPr>
                <w:rFonts w:hint="eastAsia"/>
                <w:sz w:val="24"/>
              </w:rPr>
              <w:t>用量约为200t/a，则苯乙烯的产生量约为0.01t/a。</w:t>
            </w:r>
          </w:p>
          <w:p w14:paraId="0AE904DE">
            <w:pPr>
              <w:spacing w:line="480" w:lineRule="exact"/>
              <w:ind w:firstLine="480" w:firstLineChars="200"/>
              <w:rPr>
                <w:sz w:val="24"/>
              </w:rPr>
            </w:pPr>
            <w:r>
              <w:rPr>
                <w:rFonts w:hint="eastAsia"/>
                <w:sz w:val="24"/>
              </w:rPr>
              <w:t>为防止该部分废气对当地大气环境质量造成影响，企业拟配套废气处理设施对注塑废气进行收集处理，采用整体换风方式对废气进行收集，一般在车间做好密闭，确保微负压情况下，采用整体换风方式的废气收集效率可达到95%，收集的废气送至废气处理设施进行处理，废气拟采用“两级活性炭吸附”处理工艺，其去除率约为80%，设计引风机的风量为</w:t>
            </w:r>
            <w:r>
              <w:rPr>
                <w:rFonts w:hint="eastAsia"/>
                <w:sz w:val="24"/>
                <w:lang w:val="en-US" w:eastAsia="zh-CN"/>
              </w:rPr>
              <w:t>29</w:t>
            </w:r>
            <w:r>
              <w:rPr>
                <w:rFonts w:hint="eastAsia"/>
                <w:sz w:val="24"/>
              </w:rPr>
              <w:t>000m</w:t>
            </w:r>
            <w:r>
              <w:rPr>
                <w:rFonts w:hint="eastAsia"/>
                <w:sz w:val="24"/>
                <w:vertAlign w:val="superscript"/>
              </w:rPr>
              <w:t>3</w:t>
            </w:r>
            <w:r>
              <w:rPr>
                <w:rFonts w:hint="eastAsia"/>
                <w:sz w:val="24"/>
              </w:rPr>
              <w:t>/h（注塑车间面积为3</w:t>
            </w:r>
            <w:r>
              <w:rPr>
                <w:rFonts w:hint="eastAsia"/>
                <w:sz w:val="24"/>
                <w:lang w:val="en-US" w:eastAsia="zh-CN"/>
              </w:rPr>
              <w:t>6</w:t>
            </w:r>
            <w:r>
              <w:rPr>
                <w:rFonts w:hint="eastAsia"/>
                <w:sz w:val="24"/>
              </w:rPr>
              <w:t>0m</w:t>
            </w:r>
            <w:r>
              <w:rPr>
                <w:rFonts w:hint="eastAsia"/>
                <w:sz w:val="24"/>
                <w:vertAlign w:val="superscript"/>
              </w:rPr>
              <w:t>2</w:t>
            </w:r>
            <w:r>
              <w:rPr>
                <w:rFonts w:hint="eastAsia"/>
                <w:sz w:val="24"/>
              </w:rPr>
              <w:t>，高度4m，换气次数按照20次/小时计算），注塑废气产生量以及排放源强见下表</w:t>
            </w:r>
            <w:r>
              <w:rPr>
                <w:rFonts w:hint="eastAsia"/>
                <w:sz w:val="24"/>
                <w:lang w:val="en-US" w:eastAsia="zh-CN"/>
              </w:rPr>
              <w:t>4</w:t>
            </w:r>
            <w:r>
              <w:rPr>
                <w:rFonts w:hint="eastAsia"/>
                <w:sz w:val="24"/>
              </w:rPr>
              <w:t>-</w:t>
            </w:r>
            <w:r>
              <w:rPr>
                <w:rFonts w:hint="eastAsia"/>
                <w:sz w:val="24"/>
                <w:lang w:val="en-US" w:eastAsia="zh-CN"/>
              </w:rPr>
              <w:t>3</w:t>
            </w:r>
            <w:r>
              <w:rPr>
                <w:rFonts w:hint="eastAsia"/>
                <w:sz w:val="24"/>
              </w:rPr>
              <w:t>。</w:t>
            </w:r>
          </w:p>
          <w:p w14:paraId="34CD475A">
            <w:pPr>
              <w:spacing w:line="440" w:lineRule="exact"/>
              <w:jc w:val="center"/>
              <w:rPr>
                <w:b/>
                <w:szCs w:val="21"/>
              </w:rPr>
            </w:pPr>
          </w:p>
          <w:p w14:paraId="4A100F35">
            <w:pPr>
              <w:spacing w:line="440" w:lineRule="exact"/>
              <w:jc w:val="center"/>
              <w:rPr>
                <w:b/>
                <w:szCs w:val="21"/>
              </w:rPr>
            </w:pPr>
          </w:p>
          <w:p w14:paraId="484009D9">
            <w:pPr>
              <w:spacing w:line="440" w:lineRule="exact"/>
              <w:jc w:val="center"/>
              <w:rPr>
                <w:b/>
                <w:szCs w:val="21"/>
              </w:rPr>
            </w:pPr>
          </w:p>
          <w:p w14:paraId="2D44B031">
            <w:pPr>
              <w:spacing w:line="440" w:lineRule="exact"/>
              <w:jc w:val="center"/>
              <w:rPr>
                <w:b/>
                <w:szCs w:val="21"/>
              </w:rPr>
            </w:pPr>
          </w:p>
          <w:p w14:paraId="155430D4">
            <w:pPr>
              <w:spacing w:line="440" w:lineRule="exact"/>
              <w:jc w:val="center"/>
              <w:rPr>
                <w:b/>
                <w:szCs w:val="21"/>
              </w:rPr>
            </w:pPr>
            <w:r>
              <w:rPr>
                <w:b/>
                <w:szCs w:val="21"/>
              </w:rPr>
              <w:t>表</w:t>
            </w:r>
            <w:r>
              <w:rPr>
                <w:rFonts w:hint="eastAsia"/>
                <w:b/>
                <w:szCs w:val="21"/>
                <w:lang w:val="en-US" w:eastAsia="zh-CN"/>
              </w:rPr>
              <w:t>4-3</w:t>
            </w:r>
            <w:r>
              <w:rPr>
                <w:rFonts w:hint="eastAsia"/>
                <w:b/>
                <w:szCs w:val="21"/>
              </w:rPr>
              <w:t xml:space="preserve">  本项目注塑</w:t>
            </w:r>
            <w:r>
              <w:rPr>
                <w:b/>
                <w:szCs w:val="21"/>
              </w:rPr>
              <w:t>废气产生排放情况表</w:t>
            </w:r>
          </w:p>
          <w:tbl>
            <w:tblPr>
              <w:tblStyle w:val="37"/>
              <w:tblW w:w="46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76"/>
              <w:gridCol w:w="684"/>
              <w:gridCol w:w="678"/>
              <w:gridCol w:w="769"/>
              <w:gridCol w:w="769"/>
              <w:gridCol w:w="732"/>
              <w:gridCol w:w="770"/>
              <w:gridCol w:w="1618"/>
            </w:tblGrid>
            <w:tr w14:paraId="022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Merge w:val="restart"/>
                  <w:vAlign w:val="center"/>
                </w:tcPr>
                <w:p w14:paraId="0E74D60B">
                  <w:pPr>
                    <w:adjustRightInd w:val="0"/>
                    <w:snapToGrid w:val="0"/>
                    <w:jc w:val="center"/>
                    <w:rPr>
                      <w:bCs/>
                      <w:szCs w:val="21"/>
                    </w:rPr>
                  </w:pPr>
                  <w:r>
                    <w:rPr>
                      <w:bCs/>
                      <w:szCs w:val="21"/>
                    </w:rPr>
                    <w:t>污染物</w:t>
                  </w:r>
                </w:p>
              </w:tc>
              <w:tc>
                <w:tcPr>
                  <w:tcW w:w="876" w:type="dxa"/>
                  <w:vMerge w:val="restart"/>
                  <w:vAlign w:val="center"/>
                </w:tcPr>
                <w:p w14:paraId="7063E8BD">
                  <w:pPr>
                    <w:adjustRightInd w:val="0"/>
                    <w:snapToGrid w:val="0"/>
                    <w:jc w:val="center"/>
                    <w:rPr>
                      <w:bCs/>
                      <w:szCs w:val="21"/>
                    </w:rPr>
                  </w:pPr>
                  <w:r>
                    <w:rPr>
                      <w:bCs/>
                      <w:szCs w:val="21"/>
                    </w:rPr>
                    <w:t>污染物发生量</w:t>
                  </w:r>
                </w:p>
                <w:p w14:paraId="795DDAFF">
                  <w:pPr>
                    <w:adjustRightInd w:val="0"/>
                    <w:snapToGrid w:val="0"/>
                    <w:jc w:val="center"/>
                    <w:rPr>
                      <w:bCs/>
                      <w:szCs w:val="21"/>
                    </w:rPr>
                  </w:pPr>
                  <w:r>
                    <w:rPr>
                      <w:bCs/>
                      <w:szCs w:val="21"/>
                    </w:rPr>
                    <w:t>t/a</w:t>
                  </w:r>
                </w:p>
              </w:tc>
              <w:tc>
                <w:tcPr>
                  <w:tcW w:w="684" w:type="dxa"/>
                  <w:vMerge w:val="restart"/>
                  <w:vAlign w:val="center"/>
                </w:tcPr>
                <w:p w14:paraId="657069C7">
                  <w:pPr>
                    <w:adjustRightInd w:val="0"/>
                    <w:snapToGrid w:val="0"/>
                    <w:jc w:val="center"/>
                    <w:rPr>
                      <w:bCs/>
                      <w:szCs w:val="21"/>
                    </w:rPr>
                  </w:pPr>
                  <w:r>
                    <w:rPr>
                      <w:bCs/>
                      <w:szCs w:val="21"/>
                    </w:rPr>
                    <w:t>收集</w:t>
                  </w:r>
                </w:p>
                <w:p w14:paraId="381152DC">
                  <w:pPr>
                    <w:adjustRightInd w:val="0"/>
                    <w:snapToGrid w:val="0"/>
                    <w:jc w:val="center"/>
                    <w:rPr>
                      <w:bCs/>
                      <w:szCs w:val="21"/>
                    </w:rPr>
                  </w:pPr>
                  <w:r>
                    <w:rPr>
                      <w:bCs/>
                      <w:szCs w:val="21"/>
                    </w:rPr>
                    <w:t>效率</w:t>
                  </w:r>
                </w:p>
              </w:tc>
              <w:tc>
                <w:tcPr>
                  <w:tcW w:w="678" w:type="dxa"/>
                  <w:vMerge w:val="restart"/>
                  <w:vAlign w:val="center"/>
                </w:tcPr>
                <w:p w14:paraId="358B131B">
                  <w:pPr>
                    <w:adjustRightInd w:val="0"/>
                    <w:snapToGrid w:val="0"/>
                    <w:jc w:val="center"/>
                    <w:rPr>
                      <w:bCs/>
                      <w:szCs w:val="21"/>
                    </w:rPr>
                  </w:pPr>
                  <w:r>
                    <w:rPr>
                      <w:bCs/>
                      <w:szCs w:val="21"/>
                    </w:rPr>
                    <w:t>处理</w:t>
                  </w:r>
                </w:p>
                <w:p w14:paraId="09A6ACF8">
                  <w:pPr>
                    <w:adjustRightInd w:val="0"/>
                    <w:snapToGrid w:val="0"/>
                    <w:jc w:val="center"/>
                    <w:rPr>
                      <w:bCs/>
                      <w:szCs w:val="21"/>
                    </w:rPr>
                  </w:pPr>
                  <w:r>
                    <w:rPr>
                      <w:bCs/>
                      <w:szCs w:val="21"/>
                    </w:rPr>
                    <w:t>效率</w:t>
                  </w:r>
                </w:p>
              </w:tc>
              <w:tc>
                <w:tcPr>
                  <w:tcW w:w="1538" w:type="dxa"/>
                  <w:gridSpan w:val="2"/>
                  <w:vAlign w:val="center"/>
                </w:tcPr>
                <w:p w14:paraId="772E24A0">
                  <w:pPr>
                    <w:rPr>
                      <w:bCs/>
                      <w:szCs w:val="21"/>
                    </w:rPr>
                  </w:pPr>
                  <w:r>
                    <w:rPr>
                      <w:bCs/>
                      <w:szCs w:val="21"/>
                    </w:rPr>
                    <w:t>排放速率kg/h</w:t>
                  </w:r>
                </w:p>
              </w:tc>
              <w:tc>
                <w:tcPr>
                  <w:tcW w:w="1502" w:type="dxa"/>
                  <w:gridSpan w:val="2"/>
                  <w:vAlign w:val="center"/>
                </w:tcPr>
                <w:p w14:paraId="32E075E6">
                  <w:pPr>
                    <w:adjustRightInd w:val="0"/>
                    <w:snapToGrid w:val="0"/>
                    <w:jc w:val="center"/>
                    <w:rPr>
                      <w:bCs/>
                      <w:szCs w:val="21"/>
                    </w:rPr>
                  </w:pPr>
                  <w:r>
                    <w:rPr>
                      <w:bCs/>
                      <w:szCs w:val="21"/>
                    </w:rPr>
                    <w:t>排放量t/a</w:t>
                  </w:r>
                </w:p>
              </w:tc>
              <w:tc>
                <w:tcPr>
                  <w:tcW w:w="1617" w:type="dxa"/>
                  <w:vMerge w:val="restart"/>
                  <w:vAlign w:val="center"/>
                </w:tcPr>
                <w:p w14:paraId="1C56752B">
                  <w:pPr>
                    <w:adjustRightInd w:val="0"/>
                    <w:snapToGrid w:val="0"/>
                    <w:jc w:val="center"/>
                    <w:rPr>
                      <w:bCs/>
                      <w:szCs w:val="21"/>
                    </w:rPr>
                  </w:pPr>
                  <w:r>
                    <w:rPr>
                      <w:bCs/>
                      <w:szCs w:val="21"/>
                    </w:rPr>
                    <w:t>有组织排放浓度mg/m</w:t>
                  </w:r>
                  <w:r>
                    <w:rPr>
                      <w:bCs/>
                      <w:szCs w:val="21"/>
                      <w:vertAlign w:val="superscript"/>
                    </w:rPr>
                    <w:t>3</w:t>
                  </w:r>
                </w:p>
              </w:tc>
            </w:tr>
            <w:tr w14:paraId="3706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Merge w:val="continue"/>
                  <w:vAlign w:val="center"/>
                </w:tcPr>
                <w:p w14:paraId="161D0E6B">
                  <w:pPr>
                    <w:adjustRightInd w:val="0"/>
                    <w:snapToGrid w:val="0"/>
                    <w:jc w:val="center"/>
                    <w:rPr>
                      <w:bCs/>
                      <w:szCs w:val="21"/>
                    </w:rPr>
                  </w:pPr>
                </w:p>
              </w:tc>
              <w:tc>
                <w:tcPr>
                  <w:tcW w:w="876" w:type="dxa"/>
                  <w:vMerge w:val="continue"/>
                  <w:vAlign w:val="center"/>
                </w:tcPr>
                <w:p w14:paraId="7DF1E22B">
                  <w:pPr>
                    <w:adjustRightInd w:val="0"/>
                    <w:snapToGrid w:val="0"/>
                    <w:jc w:val="center"/>
                    <w:rPr>
                      <w:bCs/>
                      <w:szCs w:val="21"/>
                    </w:rPr>
                  </w:pPr>
                </w:p>
              </w:tc>
              <w:tc>
                <w:tcPr>
                  <w:tcW w:w="684" w:type="dxa"/>
                  <w:vMerge w:val="continue"/>
                  <w:vAlign w:val="center"/>
                </w:tcPr>
                <w:p w14:paraId="035092AF">
                  <w:pPr>
                    <w:adjustRightInd w:val="0"/>
                    <w:snapToGrid w:val="0"/>
                    <w:jc w:val="center"/>
                    <w:rPr>
                      <w:bCs/>
                      <w:szCs w:val="21"/>
                    </w:rPr>
                  </w:pPr>
                </w:p>
              </w:tc>
              <w:tc>
                <w:tcPr>
                  <w:tcW w:w="678" w:type="dxa"/>
                  <w:vMerge w:val="continue"/>
                  <w:vAlign w:val="center"/>
                </w:tcPr>
                <w:p w14:paraId="38A76BA4">
                  <w:pPr>
                    <w:adjustRightInd w:val="0"/>
                    <w:snapToGrid w:val="0"/>
                    <w:jc w:val="center"/>
                    <w:rPr>
                      <w:bCs/>
                      <w:szCs w:val="21"/>
                    </w:rPr>
                  </w:pPr>
                </w:p>
              </w:tc>
              <w:tc>
                <w:tcPr>
                  <w:tcW w:w="769" w:type="dxa"/>
                  <w:vAlign w:val="center"/>
                </w:tcPr>
                <w:p w14:paraId="69205D21">
                  <w:pPr>
                    <w:adjustRightInd w:val="0"/>
                    <w:snapToGrid w:val="0"/>
                    <w:jc w:val="center"/>
                    <w:rPr>
                      <w:bCs/>
                      <w:szCs w:val="21"/>
                    </w:rPr>
                  </w:pPr>
                  <w:r>
                    <w:rPr>
                      <w:bCs/>
                      <w:szCs w:val="21"/>
                    </w:rPr>
                    <w:t>有组织</w:t>
                  </w:r>
                </w:p>
              </w:tc>
              <w:tc>
                <w:tcPr>
                  <w:tcW w:w="769" w:type="dxa"/>
                  <w:vAlign w:val="center"/>
                </w:tcPr>
                <w:p w14:paraId="37547323">
                  <w:pPr>
                    <w:adjustRightInd w:val="0"/>
                    <w:snapToGrid w:val="0"/>
                    <w:jc w:val="center"/>
                    <w:rPr>
                      <w:bCs/>
                      <w:szCs w:val="21"/>
                    </w:rPr>
                  </w:pPr>
                  <w:r>
                    <w:rPr>
                      <w:bCs/>
                      <w:szCs w:val="21"/>
                    </w:rPr>
                    <w:t>无组织</w:t>
                  </w:r>
                </w:p>
              </w:tc>
              <w:tc>
                <w:tcPr>
                  <w:tcW w:w="732" w:type="dxa"/>
                  <w:vAlign w:val="center"/>
                </w:tcPr>
                <w:p w14:paraId="086AA3B9">
                  <w:pPr>
                    <w:adjustRightInd w:val="0"/>
                    <w:snapToGrid w:val="0"/>
                    <w:jc w:val="center"/>
                    <w:rPr>
                      <w:bCs/>
                      <w:szCs w:val="21"/>
                    </w:rPr>
                  </w:pPr>
                  <w:r>
                    <w:rPr>
                      <w:bCs/>
                      <w:szCs w:val="21"/>
                    </w:rPr>
                    <w:t>有组织</w:t>
                  </w:r>
                </w:p>
              </w:tc>
              <w:tc>
                <w:tcPr>
                  <w:tcW w:w="770" w:type="dxa"/>
                  <w:vAlign w:val="center"/>
                </w:tcPr>
                <w:p w14:paraId="6D12EBDC">
                  <w:pPr>
                    <w:adjustRightInd w:val="0"/>
                    <w:snapToGrid w:val="0"/>
                    <w:jc w:val="center"/>
                    <w:rPr>
                      <w:bCs/>
                      <w:szCs w:val="21"/>
                    </w:rPr>
                  </w:pPr>
                  <w:r>
                    <w:rPr>
                      <w:bCs/>
                      <w:szCs w:val="21"/>
                    </w:rPr>
                    <w:t>无组织</w:t>
                  </w:r>
                </w:p>
              </w:tc>
              <w:tc>
                <w:tcPr>
                  <w:tcW w:w="1617" w:type="dxa"/>
                  <w:vMerge w:val="continue"/>
                  <w:vAlign w:val="center"/>
                </w:tcPr>
                <w:p w14:paraId="686DB06B">
                  <w:pPr>
                    <w:adjustRightInd w:val="0"/>
                    <w:snapToGrid w:val="0"/>
                    <w:jc w:val="center"/>
                    <w:rPr>
                      <w:bCs/>
                      <w:szCs w:val="21"/>
                    </w:rPr>
                  </w:pPr>
                </w:p>
              </w:tc>
            </w:tr>
            <w:tr w14:paraId="254A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5B30AFF5">
                  <w:pPr>
                    <w:adjustRightInd w:val="0"/>
                    <w:snapToGrid w:val="0"/>
                    <w:jc w:val="center"/>
                    <w:rPr>
                      <w:szCs w:val="21"/>
                    </w:rPr>
                  </w:pPr>
                  <w:r>
                    <w:rPr>
                      <w:rFonts w:hint="eastAsia"/>
                      <w:bCs/>
                      <w:szCs w:val="21"/>
                    </w:rPr>
                    <w:t>非甲烷总烃</w:t>
                  </w:r>
                </w:p>
              </w:tc>
              <w:tc>
                <w:tcPr>
                  <w:tcW w:w="876" w:type="dxa"/>
                  <w:vAlign w:val="center"/>
                </w:tcPr>
                <w:p w14:paraId="4A901192">
                  <w:pPr>
                    <w:jc w:val="center"/>
                    <w:rPr>
                      <w:rFonts w:hint="default" w:eastAsia="宋体"/>
                      <w:szCs w:val="21"/>
                      <w:lang w:val="en-US" w:eastAsia="zh-CN"/>
                    </w:rPr>
                  </w:pPr>
                  <w:r>
                    <w:rPr>
                      <w:rFonts w:hint="eastAsia"/>
                      <w:szCs w:val="21"/>
                    </w:rPr>
                    <w:t>0.218</w:t>
                  </w:r>
                </w:p>
              </w:tc>
              <w:tc>
                <w:tcPr>
                  <w:tcW w:w="684" w:type="dxa"/>
                  <w:vAlign w:val="center"/>
                </w:tcPr>
                <w:p w14:paraId="2B3E2ADF">
                  <w:pPr>
                    <w:jc w:val="center"/>
                    <w:rPr>
                      <w:szCs w:val="21"/>
                    </w:rPr>
                  </w:pPr>
                  <w:r>
                    <w:rPr>
                      <w:szCs w:val="21"/>
                    </w:rPr>
                    <w:t>9</w:t>
                  </w:r>
                  <w:r>
                    <w:rPr>
                      <w:rFonts w:hint="eastAsia"/>
                      <w:szCs w:val="21"/>
                    </w:rPr>
                    <w:t>5</w:t>
                  </w:r>
                  <w:r>
                    <w:rPr>
                      <w:szCs w:val="21"/>
                    </w:rPr>
                    <w:t>%</w:t>
                  </w:r>
                </w:p>
              </w:tc>
              <w:tc>
                <w:tcPr>
                  <w:tcW w:w="678" w:type="dxa"/>
                  <w:vAlign w:val="center"/>
                </w:tcPr>
                <w:p w14:paraId="4397201F">
                  <w:pPr>
                    <w:jc w:val="center"/>
                    <w:rPr>
                      <w:szCs w:val="21"/>
                    </w:rPr>
                  </w:pPr>
                  <w:r>
                    <w:rPr>
                      <w:rFonts w:hint="eastAsia"/>
                      <w:szCs w:val="21"/>
                    </w:rPr>
                    <w:t>80</w:t>
                  </w:r>
                  <w:r>
                    <w:rPr>
                      <w:szCs w:val="21"/>
                    </w:rPr>
                    <w:t>%</w:t>
                  </w:r>
                </w:p>
              </w:tc>
              <w:tc>
                <w:tcPr>
                  <w:tcW w:w="769" w:type="dxa"/>
                  <w:vAlign w:val="center"/>
                </w:tcPr>
                <w:p w14:paraId="2D57039F">
                  <w:pPr>
                    <w:jc w:val="center"/>
                    <w:rPr>
                      <w:rFonts w:hint="default" w:eastAsia="宋体"/>
                      <w:szCs w:val="21"/>
                      <w:lang w:val="en-US" w:eastAsia="zh-CN"/>
                    </w:rPr>
                  </w:pPr>
                  <w:r>
                    <w:rPr>
                      <w:szCs w:val="21"/>
                    </w:rPr>
                    <w:t>0.0</w:t>
                  </w:r>
                  <w:r>
                    <w:rPr>
                      <w:rFonts w:hint="eastAsia"/>
                      <w:szCs w:val="21"/>
                    </w:rPr>
                    <w:t>11</w:t>
                  </w:r>
                </w:p>
              </w:tc>
              <w:tc>
                <w:tcPr>
                  <w:tcW w:w="769" w:type="dxa"/>
                  <w:vAlign w:val="center"/>
                </w:tcPr>
                <w:p w14:paraId="3E531919">
                  <w:pPr>
                    <w:jc w:val="center"/>
                    <w:rPr>
                      <w:rFonts w:hint="default" w:eastAsia="宋体"/>
                      <w:szCs w:val="21"/>
                      <w:lang w:val="en-US" w:eastAsia="zh-CN"/>
                    </w:rPr>
                  </w:pPr>
                  <w:r>
                    <w:rPr>
                      <w:szCs w:val="21"/>
                    </w:rPr>
                    <w:t>0.0</w:t>
                  </w:r>
                  <w:r>
                    <w:rPr>
                      <w:rFonts w:hint="eastAsia"/>
                      <w:szCs w:val="21"/>
                    </w:rPr>
                    <w:t>03</w:t>
                  </w:r>
                </w:p>
              </w:tc>
              <w:tc>
                <w:tcPr>
                  <w:tcW w:w="732" w:type="dxa"/>
                  <w:vAlign w:val="center"/>
                </w:tcPr>
                <w:p w14:paraId="62DC7CEC">
                  <w:pPr>
                    <w:jc w:val="center"/>
                    <w:rPr>
                      <w:rFonts w:hint="default" w:eastAsia="宋体"/>
                      <w:szCs w:val="21"/>
                      <w:lang w:val="en-US" w:eastAsia="zh-CN"/>
                    </w:rPr>
                  </w:pPr>
                  <w:r>
                    <w:rPr>
                      <w:szCs w:val="21"/>
                    </w:rPr>
                    <w:t>0.0</w:t>
                  </w:r>
                  <w:r>
                    <w:rPr>
                      <w:rFonts w:hint="eastAsia"/>
                      <w:szCs w:val="21"/>
                    </w:rPr>
                    <w:t>41</w:t>
                  </w:r>
                </w:p>
              </w:tc>
              <w:tc>
                <w:tcPr>
                  <w:tcW w:w="770" w:type="dxa"/>
                  <w:vAlign w:val="center"/>
                </w:tcPr>
                <w:p w14:paraId="13D0B372">
                  <w:pPr>
                    <w:jc w:val="center"/>
                    <w:rPr>
                      <w:rFonts w:hint="default" w:eastAsia="宋体"/>
                      <w:szCs w:val="21"/>
                      <w:lang w:val="en-US" w:eastAsia="zh-CN"/>
                    </w:rPr>
                  </w:pPr>
                  <w:r>
                    <w:rPr>
                      <w:szCs w:val="21"/>
                    </w:rPr>
                    <w:t>0.</w:t>
                  </w:r>
                  <w:r>
                    <w:rPr>
                      <w:rFonts w:hint="eastAsia"/>
                      <w:szCs w:val="21"/>
                    </w:rPr>
                    <w:t>011</w:t>
                  </w:r>
                </w:p>
              </w:tc>
              <w:tc>
                <w:tcPr>
                  <w:tcW w:w="1617" w:type="dxa"/>
                  <w:vAlign w:val="center"/>
                </w:tcPr>
                <w:p w14:paraId="530C4C89">
                  <w:pPr>
                    <w:jc w:val="center"/>
                    <w:rPr>
                      <w:rFonts w:hint="default" w:eastAsia="宋体"/>
                      <w:szCs w:val="21"/>
                      <w:lang w:val="en-US" w:eastAsia="zh-CN"/>
                    </w:rPr>
                  </w:pPr>
                  <w:r>
                    <w:rPr>
                      <w:rFonts w:hint="eastAsia"/>
                      <w:szCs w:val="21"/>
                    </w:rPr>
                    <w:t>0.4</w:t>
                  </w:r>
                </w:p>
              </w:tc>
            </w:tr>
            <w:tr w14:paraId="7CA2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3E697B9E">
                  <w:pPr>
                    <w:adjustRightInd w:val="0"/>
                    <w:snapToGrid w:val="0"/>
                    <w:jc w:val="center"/>
                    <w:rPr>
                      <w:bCs/>
                      <w:szCs w:val="21"/>
                    </w:rPr>
                  </w:pPr>
                  <w:r>
                    <w:rPr>
                      <w:rFonts w:hint="eastAsia"/>
                      <w:bCs/>
                      <w:szCs w:val="21"/>
                    </w:rPr>
                    <w:t>苯乙烯</w:t>
                  </w:r>
                </w:p>
              </w:tc>
              <w:tc>
                <w:tcPr>
                  <w:tcW w:w="876" w:type="dxa"/>
                  <w:vAlign w:val="center"/>
                </w:tcPr>
                <w:p w14:paraId="383355AB">
                  <w:pPr>
                    <w:jc w:val="center"/>
                    <w:rPr>
                      <w:rFonts w:hint="default" w:eastAsia="宋体"/>
                      <w:szCs w:val="21"/>
                      <w:lang w:val="en-US" w:eastAsia="zh-CN"/>
                    </w:rPr>
                  </w:pPr>
                  <w:r>
                    <w:rPr>
                      <w:rFonts w:hint="eastAsia"/>
                      <w:szCs w:val="21"/>
                    </w:rPr>
                    <w:t>0.010</w:t>
                  </w:r>
                </w:p>
              </w:tc>
              <w:tc>
                <w:tcPr>
                  <w:tcW w:w="684" w:type="dxa"/>
                  <w:vAlign w:val="center"/>
                </w:tcPr>
                <w:p w14:paraId="5F690195">
                  <w:pPr>
                    <w:jc w:val="center"/>
                    <w:rPr>
                      <w:szCs w:val="21"/>
                    </w:rPr>
                  </w:pPr>
                  <w:r>
                    <w:rPr>
                      <w:rFonts w:hint="eastAsia"/>
                      <w:szCs w:val="21"/>
                    </w:rPr>
                    <w:t>95%</w:t>
                  </w:r>
                </w:p>
              </w:tc>
              <w:tc>
                <w:tcPr>
                  <w:tcW w:w="678" w:type="dxa"/>
                  <w:vAlign w:val="center"/>
                </w:tcPr>
                <w:p w14:paraId="7603647C">
                  <w:pPr>
                    <w:jc w:val="center"/>
                    <w:rPr>
                      <w:szCs w:val="21"/>
                    </w:rPr>
                  </w:pPr>
                  <w:r>
                    <w:rPr>
                      <w:rFonts w:hint="eastAsia"/>
                      <w:szCs w:val="21"/>
                    </w:rPr>
                    <w:t>80%</w:t>
                  </w:r>
                </w:p>
              </w:tc>
              <w:tc>
                <w:tcPr>
                  <w:tcW w:w="769" w:type="dxa"/>
                  <w:vAlign w:val="center"/>
                </w:tcPr>
                <w:p w14:paraId="68ABA9D3">
                  <w:pPr>
                    <w:jc w:val="center"/>
                    <w:rPr>
                      <w:rFonts w:hint="eastAsia" w:eastAsia="宋体"/>
                      <w:szCs w:val="21"/>
                      <w:lang w:eastAsia="zh-CN"/>
                    </w:rPr>
                  </w:pPr>
                  <w:r>
                    <w:rPr>
                      <w:rFonts w:hint="eastAsia"/>
                      <w:szCs w:val="21"/>
                    </w:rPr>
                    <w:t>0.0005</w:t>
                  </w:r>
                </w:p>
              </w:tc>
              <w:tc>
                <w:tcPr>
                  <w:tcW w:w="769" w:type="dxa"/>
                  <w:vAlign w:val="center"/>
                </w:tcPr>
                <w:p w14:paraId="389910B4">
                  <w:pPr>
                    <w:jc w:val="center"/>
                    <w:rPr>
                      <w:rFonts w:hint="default" w:eastAsia="宋体"/>
                      <w:szCs w:val="21"/>
                      <w:lang w:val="en-US" w:eastAsia="zh-CN"/>
                    </w:rPr>
                  </w:pPr>
                  <w:r>
                    <w:rPr>
                      <w:rFonts w:hint="eastAsia"/>
                      <w:szCs w:val="21"/>
                    </w:rPr>
                    <w:t>0.0001</w:t>
                  </w:r>
                </w:p>
              </w:tc>
              <w:tc>
                <w:tcPr>
                  <w:tcW w:w="732" w:type="dxa"/>
                  <w:vAlign w:val="center"/>
                </w:tcPr>
                <w:p w14:paraId="6F2D6A0C">
                  <w:pPr>
                    <w:jc w:val="center"/>
                    <w:rPr>
                      <w:rFonts w:hint="eastAsia" w:eastAsia="宋体"/>
                      <w:szCs w:val="21"/>
                      <w:lang w:eastAsia="zh-CN"/>
                    </w:rPr>
                  </w:pPr>
                  <w:r>
                    <w:rPr>
                      <w:rFonts w:hint="eastAsia"/>
                      <w:szCs w:val="21"/>
                    </w:rPr>
                    <w:t>0.002</w:t>
                  </w:r>
                </w:p>
              </w:tc>
              <w:tc>
                <w:tcPr>
                  <w:tcW w:w="770" w:type="dxa"/>
                  <w:vAlign w:val="center"/>
                </w:tcPr>
                <w:p w14:paraId="7AFCE343">
                  <w:pPr>
                    <w:jc w:val="center"/>
                    <w:rPr>
                      <w:rFonts w:hint="eastAsia" w:eastAsia="宋体"/>
                      <w:szCs w:val="21"/>
                      <w:lang w:eastAsia="zh-CN"/>
                    </w:rPr>
                  </w:pPr>
                  <w:r>
                    <w:rPr>
                      <w:rFonts w:hint="eastAsia"/>
                      <w:szCs w:val="21"/>
                    </w:rPr>
                    <w:t>0.0005</w:t>
                  </w:r>
                </w:p>
              </w:tc>
              <w:tc>
                <w:tcPr>
                  <w:tcW w:w="1617" w:type="dxa"/>
                  <w:vAlign w:val="center"/>
                </w:tcPr>
                <w:p w14:paraId="3D5CDEAC">
                  <w:pPr>
                    <w:jc w:val="center"/>
                    <w:rPr>
                      <w:rFonts w:hint="default" w:eastAsia="宋体"/>
                      <w:szCs w:val="21"/>
                      <w:lang w:val="en-US" w:eastAsia="zh-CN"/>
                    </w:rPr>
                  </w:pPr>
                  <w:r>
                    <w:rPr>
                      <w:rFonts w:hint="eastAsia"/>
                      <w:szCs w:val="21"/>
                    </w:rPr>
                    <w:t>0.02</w:t>
                  </w:r>
                </w:p>
              </w:tc>
            </w:tr>
          </w:tbl>
          <w:p w14:paraId="7AC24D07">
            <w:pPr>
              <w:ind w:firstLine="420" w:firstLineChars="200"/>
              <w:rPr>
                <w:szCs w:val="21"/>
              </w:rPr>
            </w:pPr>
            <w:r>
              <w:rPr>
                <w:szCs w:val="21"/>
              </w:rPr>
              <w:t>注：年工作时间按</w:t>
            </w:r>
            <w:r>
              <w:rPr>
                <w:rFonts w:hint="eastAsia"/>
                <w:szCs w:val="21"/>
              </w:rPr>
              <w:t>36</w:t>
            </w:r>
            <w:r>
              <w:rPr>
                <w:szCs w:val="21"/>
              </w:rPr>
              <w:t>00小时计算。</w:t>
            </w:r>
          </w:p>
          <w:p w14:paraId="0CC69A90">
            <w:pPr>
              <w:spacing w:line="480" w:lineRule="exact"/>
              <w:ind w:firstLine="480" w:firstLineChars="200"/>
              <w:rPr>
                <w:sz w:val="24"/>
              </w:rPr>
            </w:pPr>
            <w:r>
              <w:rPr>
                <w:rFonts w:hint="eastAsia"/>
                <w:sz w:val="24"/>
              </w:rPr>
              <w:t>根据《合成树脂工业污染物排放标准》（GB31572-2015）中相关要求，对项目单位产非甲烷总烃排放量核算，项目单位产品非甲烷总烃排放量为：52kg/384t（成品率按照95%计算）=0.14 kg/t产品＜0.3kg/t产品，因此符合要求。</w:t>
            </w:r>
          </w:p>
          <w:p w14:paraId="05EDB468">
            <w:pPr>
              <w:pStyle w:val="3"/>
              <w:spacing w:line="440" w:lineRule="exac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原料采用苯乙烯，该原料再注塑过程产生的废气中带有轻微臭气，该臭气经注塑废气收集装置收集后通过两级活性炭吸附装置处理达标高空排放，能够达到GB14554-93《恶臭污染物排放标准》中的新扩改建二级标准</w:t>
            </w:r>
          </w:p>
          <w:p w14:paraId="6E581AD8">
            <w:pPr>
              <w:pStyle w:val="3"/>
              <w:spacing w:line="440" w:lineRule="exact"/>
              <w:rPr>
                <w:rFonts w:hAnsi="宋体" w:eastAsia="宋体"/>
                <w:color w:val="auto"/>
              </w:rPr>
            </w:pPr>
            <w:r>
              <w:rPr>
                <w:rFonts w:hint="eastAsia" w:hAnsi="宋体" w:eastAsia="宋体"/>
                <w:color w:val="auto"/>
              </w:rPr>
              <w:t>b、恶臭</w:t>
            </w:r>
          </w:p>
          <w:p w14:paraId="35D59EE9">
            <w:pPr>
              <w:pStyle w:val="3"/>
              <w:spacing w:line="440" w:lineRule="exact"/>
              <w:rPr>
                <w:rFonts w:hAnsi="宋体" w:eastAsia="宋体"/>
                <w:color w:val="auto"/>
              </w:rPr>
            </w:pPr>
            <w:r>
              <w:rPr>
                <w:rFonts w:hint="eastAsia" w:hAnsi="宋体" w:eastAsia="宋体"/>
                <w:color w:val="auto"/>
              </w:rPr>
              <w:t>本项目粘合工序轻微臭气产生。恶臭为人们对恶臭物质所感知的一种污染指标。其主要物质种类达上万种之多。由于其各种物质之间的相互作用(相加、协同、抵消及掩饰作用等) ，加之人类的嗅觉功能和恶臭物质取样分析等因素，迄今还难以对大多数恶臭物质作出浓度标准，目前我国只规定了八种恶臭污染物的一次最大排放限值、复合恶臭物质的臭气浓度限值及无组织排放源的厂界浓度限值，即 GB14554-93《恶臭污染物排放标准》。</w:t>
            </w:r>
          </w:p>
          <w:p w14:paraId="1A51909F">
            <w:pPr>
              <w:pStyle w:val="3"/>
              <w:spacing w:line="440" w:lineRule="exact"/>
              <w:rPr>
                <w:rFonts w:hAnsi="宋体" w:eastAsia="宋体"/>
                <w:color w:val="auto"/>
                <w:sz w:val="21"/>
                <w:szCs w:val="21"/>
              </w:rPr>
            </w:pPr>
            <w:r>
              <w:rPr>
                <w:rFonts w:hint="eastAsia" w:hAnsi="宋体" w:eastAsia="宋体"/>
                <w:color w:val="auto"/>
              </w:rPr>
              <w:t>北京环境监测中心在吸取国外经验的基础上提出了恶臭 6 级分级法（见表4-</w:t>
            </w:r>
            <w:r>
              <w:rPr>
                <w:rFonts w:hint="eastAsia" w:hAnsi="宋体" w:eastAsia="宋体"/>
                <w:color w:val="auto"/>
                <w:lang w:val="en-US" w:eastAsia="zh-CN"/>
              </w:rPr>
              <w:t>3</w:t>
            </w:r>
            <w:r>
              <w:rPr>
                <w:rFonts w:hint="eastAsia" w:hAnsi="宋体" w:eastAsia="宋体"/>
                <w:color w:val="auto"/>
              </w:rPr>
              <w:t>），该分级法以感受器 -嗅觉的感觉和人的主观感觉特征两个方面来描述各级特征，既明确了各级的差别，也提高了分级的准确程度。</w:t>
            </w:r>
          </w:p>
          <w:p w14:paraId="67E3A3BA">
            <w:pPr>
              <w:autoSpaceDE w:val="0"/>
              <w:autoSpaceDN w:val="0"/>
              <w:spacing w:line="440" w:lineRule="exact"/>
              <w:jc w:val="center"/>
              <w:rPr>
                <w:rFonts w:hAnsi="宋体"/>
                <w:b/>
                <w:bCs/>
                <w:color w:val="auto"/>
                <w:kern w:val="0"/>
                <w:szCs w:val="21"/>
              </w:rPr>
            </w:pPr>
            <w:r>
              <w:rPr>
                <w:rFonts w:hint="eastAsia" w:hAnsi="宋体"/>
                <w:b/>
                <w:bCs/>
                <w:color w:val="auto"/>
                <w:kern w:val="0"/>
                <w:szCs w:val="21"/>
              </w:rPr>
              <w:t>表4-</w:t>
            </w:r>
            <w:r>
              <w:rPr>
                <w:rFonts w:hint="eastAsia" w:hAnsi="宋体"/>
                <w:b/>
                <w:bCs/>
                <w:color w:val="auto"/>
                <w:kern w:val="0"/>
                <w:szCs w:val="21"/>
                <w:lang w:val="en-US" w:eastAsia="zh-CN"/>
              </w:rPr>
              <w:t>3</w:t>
            </w:r>
            <w:r>
              <w:rPr>
                <w:rFonts w:hint="eastAsia" w:hAnsi="宋体"/>
                <w:b/>
                <w:bCs/>
                <w:color w:val="auto"/>
                <w:kern w:val="0"/>
                <w:szCs w:val="21"/>
              </w:rPr>
              <w:t xml:space="preserve"> 恶臭6级分级法</w:t>
            </w:r>
          </w:p>
          <w:tbl>
            <w:tblPr>
              <w:tblStyle w:val="38"/>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6198"/>
            </w:tblGrid>
            <w:tr w14:paraId="55C0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192" w:type="dxa"/>
                  <w:vAlign w:val="center"/>
                </w:tcPr>
                <w:p w14:paraId="5AAAACC7">
                  <w:pPr>
                    <w:autoSpaceDE w:val="0"/>
                    <w:autoSpaceDN w:val="0"/>
                    <w:jc w:val="center"/>
                    <w:rPr>
                      <w:rFonts w:hAnsi="宋体"/>
                      <w:b/>
                      <w:bCs/>
                      <w:color w:val="auto"/>
                      <w:kern w:val="0"/>
                      <w:szCs w:val="21"/>
                    </w:rPr>
                  </w:pPr>
                  <w:r>
                    <w:rPr>
                      <w:rFonts w:hint="eastAsia" w:hAnsi="宋体"/>
                      <w:b/>
                      <w:bCs/>
                      <w:color w:val="auto"/>
                      <w:kern w:val="0"/>
                      <w:szCs w:val="21"/>
                    </w:rPr>
                    <w:t>恶臭强度级</w:t>
                  </w:r>
                </w:p>
              </w:tc>
              <w:tc>
                <w:tcPr>
                  <w:tcW w:w="6198" w:type="dxa"/>
                  <w:vAlign w:val="center"/>
                </w:tcPr>
                <w:p w14:paraId="2452C3C0">
                  <w:pPr>
                    <w:autoSpaceDE w:val="0"/>
                    <w:autoSpaceDN w:val="0"/>
                    <w:jc w:val="center"/>
                    <w:rPr>
                      <w:rFonts w:hAnsi="宋体"/>
                      <w:b/>
                      <w:bCs/>
                      <w:color w:val="auto"/>
                      <w:kern w:val="0"/>
                      <w:szCs w:val="21"/>
                    </w:rPr>
                  </w:pPr>
                  <w:r>
                    <w:rPr>
                      <w:rFonts w:hint="eastAsia" w:hAnsi="宋体"/>
                      <w:b/>
                      <w:bCs/>
                      <w:color w:val="auto"/>
                      <w:kern w:val="0"/>
                      <w:szCs w:val="21"/>
                    </w:rPr>
                    <w:t>特征</w:t>
                  </w:r>
                </w:p>
              </w:tc>
            </w:tr>
            <w:tr w14:paraId="078A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192" w:type="dxa"/>
                  <w:vAlign w:val="center"/>
                </w:tcPr>
                <w:p w14:paraId="3DD7D823">
                  <w:pPr>
                    <w:autoSpaceDE w:val="0"/>
                    <w:autoSpaceDN w:val="0"/>
                    <w:jc w:val="center"/>
                    <w:rPr>
                      <w:rFonts w:hAnsi="宋体"/>
                      <w:color w:val="auto"/>
                      <w:kern w:val="0"/>
                      <w:szCs w:val="21"/>
                    </w:rPr>
                  </w:pPr>
                  <w:r>
                    <w:rPr>
                      <w:rFonts w:hint="eastAsia" w:hAnsi="宋体"/>
                      <w:color w:val="auto"/>
                      <w:kern w:val="0"/>
                      <w:szCs w:val="21"/>
                    </w:rPr>
                    <w:t>0</w:t>
                  </w:r>
                </w:p>
              </w:tc>
              <w:tc>
                <w:tcPr>
                  <w:tcW w:w="6198" w:type="dxa"/>
                  <w:vAlign w:val="center"/>
                </w:tcPr>
                <w:p w14:paraId="466EE3BF">
                  <w:pPr>
                    <w:autoSpaceDE w:val="0"/>
                    <w:autoSpaceDN w:val="0"/>
                    <w:jc w:val="center"/>
                    <w:rPr>
                      <w:rFonts w:hAnsi="宋体"/>
                      <w:color w:val="auto"/>
                      <w:kern w:val="0"/>
                      <w:szCs w:val="21"/>
                    </w:rPr>
                  </w:pPr>
                  <w:r>
                    <w:rPr>
                      <w:rFonts w:hint="eastAsia" w:hAnsi="宋体"/>
                      <w:color w:val="auto"/>
                      <w:kern w:val="0"/>
                      <w:szCs w:val="21"/>
                    </w:rPr>
                    <w:t>未闻到有任何气，无任何反应</w:t>
                  </w:r>
                </w:p>
              </w:tc>
            </w:tr>
            <w:tr w14:paraId="2550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192" w:type="dxa"/>
                  <w:vAlign w:val="center"/>
                </w:tcPr>
                <w:p w14:paraId="1A809D91">
                  <w:pPr>
                    <w:autoSpaceDE w:val="0"/>
                    <w:autoSpaceDN w:val="0"/>
                    <w:jc w:val="center"/>
                    <w:rPr>
                      <w:rFonts w:hAnsi="宋体"/>
                      <w:color w:val="auto"/>
                      <w:kern w:val="0"/>
                      <w:szCs w:val="21"/>
                    </w:rPr>
                  </w:pPr>
                  <w:r>
                    <w:rPr>
                      <w:rFonts w:hint="eastAsia" w:hAnsi="宋体"/>
                      <w:color w:val="auto"/>
                      <w:kern w:val="0"/>
                      <w:szCs w:val="21"/>
                    </w:rPr>
                    <w:t>1</w:t>
                  </w:r>
                </w:p>
              </w:tc>
              <w:tc>
                <w:tcPr>
                  <w:tcW w:w="6198" w:type="dxa"/>
                  <w:vAlign w:val="center"/>
                </w:tcPr>
                <w:p w14:paraId="6B7F7391">
                  <w:pPr>
                    <w:autoSpaceDE w:val="0"/>
                    <w:autoSpaceDN w:val="0"/>
                    <w:jc w:val="center"/>
                    <w:rPr>
                      <w:rFonts w:hAnsi="宋体"/>
                      <w:color w:val="auto"/>
                      <w:kern w:val="0"/>
                      <w:szCs w:val="21"/>
                    </w:rPr>
                  </w:pPr>
                  <w:r>
                    <w:rPr>
                      <w:rFonts w:hint="eastAsia" w:hAnsi="宋体"/>
                      <w:color w:val="auto"/>
                      <w:kern w:val="0"/>
                      <w:szCs w:val="21"/>
                    </w:rPr>
                    <w:t>勉强能闻到有气味，但不宜辨认气味性质(感觉阅值) 认为无所谓</w:t>
                  </w:r>
                </w:p>
              </w:tc>
            </w:tr>
            <w:tr w14:paraId="40F7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192" w:type="dxa"/>
                  <w:vAlign w:val="center"/>
                </w:tcPr>
                <w:p w14:paraId="7EA6D8E8">
                  <w:pPr>
                    <w:autoSpaceDE w:val="0"/>
                    <w:autoSpaceDN w:val="0"/>
                    <w:jc w:val="center"/>
                    <w:rPr>
                      <w:rFonts w:hAnsi="宋体"/>
                      <w:color w:val="auto"/>
                      <w:kern w:val="0"/>
                      <w:szCs w:val="21"/>
                    </w:rPr>
                  </w:pPr>
                  <w:r>
                    <w:rPr>
                      <w:rFonts w:hint="eastAsia" w:hAnsi="宋体"/>
                      <w:color w:val="auto"/>
                      <w:kern w:val="0"/>
                      <w:szCs w:val="21"/>
                    </w:rPr>
                    <w:t>2</w:t>
                  </w:r>
                </w:p>
              </w:tc>
              <w:tc>
                <w:tcPr>
                  <w:tcW w:w="6198" w:type="dxa"/>
                  <w:vAlign w:val="center"/>
                </w:tcPr>
                <w:p w14:paraId="54D56A93">
                  <w:pPr>
                    <w:autoSpaceDE w:val="0"/>
                    <w:autoSpaceDN w:val="0"/>
                    <w:jc w:val="center"/>
                    <w:rPr>
                      <w:rFonts w:hAnsi="宋体"/>
                      <w:color w:val="auto"/>
                      <w:kern w:val="0"/>
                      <w:szCs w:val="21"/>
                    </w:rPr>
                  </w:pPr>
                  <w:r>
                    <w:rPr>
                      <w:rFonts w:hint="eastAsia" w:hAnsi="宋体"/>
                      <w:color w:val="auto"/>
                      <w:kern w:val="0"/>
                      <w:szCs w:val="21"/>
                    </w:rPr>
                    <w:t>能闻到气味，且能辨认气味的性质(识别阑值) ，但感到很正常</w:t>
                  </w:r>
                </w:p>
              </w:tc>
            </w:tr>
            <w:tr w14:paraId="6510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192" w:type="dxa"/>
                  <w:vAlign w:val="center"/>
                </w:tcPr>
                <w:p w14:paraId="5274E642">
                  <w:pPr>
                    <w:autoSpaceDE w:val="0"/>
                    <w:autoSpaceDN w:val="0"/>
                    <w:jc w:val="center"/>
                    <w:rPr>
                      <w:rFonts w:hAnsi="宋体"/>
                      <w:color w:val="auto"/>
                      <w:kern w:val="0"/>
                      <w:szCs w:val="21"/>
                    </w:rPr>
                  </w:pPr>
                  <w:r>
                    <w:rPr>
                      <w:rFonts w:hint="eastAsia" w:hAnsi="宋体"/>
                      <w:color w:val="auto"/>
                      <w:kern w:val="0"/>
                      <w:szCs w:val="21"/>
                    </w:rPr>
                    <w:t>3</w:t>
                  </w:r>
                </w:p>
              </w:tc>
              <w:tc>
                <w:tcPr>
                  <w:tcW w:w="6198" w:type="dxa"/>
                  <w:vAlign w:val="center"/>
                </w:tcPr>
                <w:p w14:paraId="73B6800B">
                  <w:pPr>
                    <w:autoSpaceDE w:val="0"/>
                    <w:autoSpaceDN w:val="0"/>
                    <w:jc w:val="center"/>
                    <w:rPr>
                      <w:rFonts w:hAnsi="宋体"/>
                      <w:color w:val="auto"/>
                      <w:kern w:val="0"/>
                      <w:szCs w:val="21"/>
                    </w:rPr>
                  </w:pPr>
                  <w:r>
                    <w:rPr>
                      <w:rFonts w:hint="eastAsia" w:hAnsi="宋体"/>
                      <w:color w:val="auto"/>
                      <w:kern w:val="0"/>
                      <w:szCs w:val="21"/>
                    </w:rPr>
                    <w:t>很容易闻到气味，有所不快，但不反感</w:t>
                  </w:r>
                </w:p>
              </w:tc>
            </w:tr>
            <w:tr w14:paraId="125E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192" w:type="dxa"/>
                  <w:vAlign w:val="center"/>
                </w:tcPr>
                <w:p w14:paraId="56AEA654">
                  <w:pPr>
                    <w:autoSpaceDE w:val="0"/>
                    <w:autoSpaceDN w:val="0"/>
                    <w:jc w:val="center"/>
                    <w:rPr>
                      <w:rFonts w:hAnsi="宋体"/>
                      <w:color w:val="auto"/>
                      <w:kern w:val="0"/>
                      <w:szCs w:val="21"/>
                    </w:rPr>
                  </w:pPr>
                  <w:r>
                    <w:rPr>
                      <w:rFonts w:hint="eastAsia" w:hAnsi="宋体"/>
                      <w:color w:val="auto"/>
                      <w:kern w:val="0"/>
                      <w:szCs w:val="21"/>
                    </w:rPr>
                    <w:t>4</w:t>
                  </w:r>
                </w:p>
              </w:tc>
              <w:tc>
                <w:tcPr>
                  <w:tcW w:w="6198" w:type="dxa"/>
                  <w:vAlign w:val="center"/>
                </w:tcPr>
                <w:p w14:paraId="208C83D9">
                  <w:pPr>
                    <w:autoSpaceDE w:val="0"/>
                    <w:autoSpaceDN w:val="0"/>
                    <w:jc w:val="center"/>
                    <w:rPr>
                      <w:rFonts w:hAnsi="宋体"/>
                      <w:color w:val="auto"/>
                      <w:kern w:val="0"/>
                      <w:szCs w:val="21"/>
                    </w:rPr>
                  </w:pPr>
                  <w:r>
                    <w:rPr>
                      <w:rFonts w:hint="eastAsia" w:hAnsi="宋体"/>
                      <w:color w:val="auto"/>
                      <w:kern w:val="0"/>
                      <w:szCs w:val="21"/>
                    </w:rPr>
                    <w:t>有很强的气味，而且很反感，想离开</w:t>
                  </w:r>
                </w:p>
              </w:tc>
            </w:tr>
            <w:tr w14:paraId="193C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192" w:type="dxa"/>
                  <w:vAlign w:val="center"/>
                </w:tcPr>
                <w:p w14:paraId="17461B35">
                  <w:pPr>
                    <w:autoSpaceDE w:val="0"/>
                    <w:autoSpaceDN w:val="0"/>
                    <w:jc w:val="center"/>
                    <w:rPr>
                      <w:rFonts w:hAnsi="宋体"/>
                      <w:color w:val="auto"/>
                      <w:kern w:val="0"/>
                      <w:szCs w:val="21"/>
                    </w:rPr>
                  </w:pPr>
                  <w:r>
                    <w:rPr>
                      <w:rFonts w:hint="eastAsia" w:hAnsi="宋体"/>
                      <w:color w:val="auto"/>
                      <w:kern w:val="0"/>
                      <w:szCs w:val="21"/>
                    </w:rPr>
                    <w:t>5</w:t>
                  </w:r>
                </w:p>
              </w:tc>
              <w:tc>
                <w:tcPr>
                  <w:tcW w:w="6198" w:type="dxa"/>
                  <w:vAlign w:val="center"/>
                </w:tcPr>
                <w:p w14:paraId="20E444DE">
                  <w:pPr>
                    <w:autoSpaceDE w:val="0"/>
                    <w:autoSpaceDN w:val="0"/>
                    <w:jc w:val="center"/>
                    <w:rPr>
                      <w:rFonts w:hAnsi="宋体"/>
                      <w:color w:val="auto"/>
                      <w:kern w:val="0"/>
                      <w:szCs w:val="21"/>
                    </w:rPr>
                  </w:pPr>
                  <w:r>
                    <w:rPr>
                      <w:rFonts w:hint="eastAsia" w:hAnsi="宋体"/>
                      <w:color w:val="auto"/>
                      <w:kern w:val="0"/>
                      <w:szCs w:val="21"/>
                    </w:rPr>
                    <w:t>有极强的气味，无法忍受，立即逃跑</w:t>
                  </w:r>
                </w:p>
              </w:tc>
            </w:tr>
          </w:tbl>
          <w:p w14:paraId="717BCA56">
            <w:pPr>
              <w:autoSpaceDE w:val="0"/>
              <w:autoSpaceDN w:val="0"/>
              <w:spacing w:line="460" w:lineRule="exact"/>
              <w:ind w:firstLine="480" w:firstLineChars="200"/>
              <w:rPr>
                <w:rFonts w:hAnsi="宋体"/>
                <w:color w:val="auto"/>
                <w:sz w:val="24"/>
              </w:rPr>
            </w:pPr>
            <w:r>
              <w:rPr>
                <w:rFonts w:hint="eastAsia" w:hAnsi="宋体"/>
                <w:color w:val="auto"/>
                <w:sz w:val="24"/>
              </w:rPr>
              <w:t>根据对同行业车间的现场踏勘，正常情况下车间内能闻到轻微的气味。对照北京环境监测中心提出的恶臭6级分级法，车间内恶臭等级在1-2 级左右；车间外5m基本闻不到气味，恶臭等级小于1级。</w:t>
            </w:r>
          </w:p>
          <w:p w14:paraId="1229E007">
            <w:pPr>
              <w:spacing w:line="440" w:lineRule="exact"/>
              <w:rPr>
                <w:color w:val="auto"/>
                <w:szCs w:val="20"/>
              </w:rPr>
            </w:pPr>
          </w:p>
        </w:tc>
      </w:tr>
    </w:tbl>
    <w:p w14:paraId="2606C30F">
      <w:pPr>
        <w:pStyle w:val="3"/>
        <w:ind w:firstLine="562"/>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2519"/>
      </w:tblGrid>
      <w:tr w14:paraId="5470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29E3569">
            <w:pPr>
              <w:adjustRightInd w:val="0"/>
              <w:snapToGrid w:val="0"/>
              <w:jc w:val="center"/>
              <w:rPr>
                <w:rFonts w:hAnsi="宋体"/>
                <w:bCs/>
                <w:color w:val="auto"/>
                <w:sz w:val="24"/>
              </w:rPr>
            </w:pPr>
          </w:p>
          <w:p w14:paraId="674EA1FA">
            <w:pPr>
              <w:adjustRightInd w:val="0"/>
              <w:snapToGrid w:val="0"/>
              <w:jc w:val="center"/>
              <w:rPr>
                <w:rFonts w:hAnsi="宋体"/>
                <w:bCs/>
                <w:color w:val="auto"/>
                <w:sz w:val="24"/>
              </w:rPr>
            </w:pPr>
          </w:p>
          <w:p w14:paraId="63993D75">
            <w:pPr>
              <w:adjustRightInd w:val="0"/>
              <w:snapToGrid w:val="0"/>
              <w:jc w:val="center"/>
              <w:rPr>
                <w:rFonts w:hAnsi="宋体"/>
                <w:bCs/>
                <w:color w:val="auto"/>
                <w:sz w:val="24"/>
              </w:rPr>
            </w:pPr>
          </w:p>
          <w:p w14:paraId="7754F487">
            <w:pPr>
              <w:adjustRightInd w:val="0"/>
              <w:snapToGrid w:val="0"/>
              <w:jc w:val="center"/>
              <w:rPr>
                <w:rFonts w:hAnsi="宋体"/>
                <w:bCs/>
                <w:color w:val="auto"/>
                <w:sz w:val="24"/>
              </w:rPr>
            </w:pPr>
          </w:p>
          <w:p w14:paraId="46BFBFE9">
            <w:pPr>
              <w:adjustRightInd w:val="0"/>
              <w:snapToGrid w:val="0"/>
              <w:jc w:val="center"/>
              <w:rPr>
                <w:rFonts w:hAnsi="宋体"/>
                <w:bCs/>
                <w:color w:val="auto"/>
                <w:sz w:val="24"/>
              </w:rPr>
            </w:pPr>
          </w:p>
          <w:p w14:paraId="18AAE053">
            <w:pPr>
              <w:adjustRightInd w:val="0"/>
              <w:snapToGrid w:val="0"/>
              <w:jc w:val="center"/>
              <w:rPr>
                <w:rFonts w:hAnsi="宋体"/>
                <w:bCs/>
                <w:color w:val="auto"/>
                <w:sz w:val="24"/>
              </w:rPr>
            </w:pPr>
          </w:p>
          <w:p w14:paraId="40B83C2E">
            <w:pPr>
              <w:adjustRightInd w:val="0"/>
              <w:snapToGrid w:val="0"/>
              <w:jc w:val="center"/>
              <w:rPr>
                <w:rFonts w:hAnsi="宋体"/>
                <w:bCs/>
                <w:color w:val="auto"/>
                <w:sz w:val="24"/>
              </w:rPr>
            </w:pPr>
          </w:p>
          <w:p w14:paraId="27643493">
            <w:pPr>
              <w:adjustRightInd w:val="0"/>
              <w:snapToGrid w:val="0"/>
              <w:jc w:val="center"/>
              <w:rPr>
                <w:rFonts w:hAnsi="宋体"/>
                <w:bCs/>
                <w:color w:val="auto"/>
                <w:sz w:val="24"/>
              </w:rPr>
            </w:pPr>
          </w:p>
          <w:p w14:paraId="4775AE63">
            <w:pPr>
              <w:adjustRightInd w:val="0"/>
              <w:snapToGrid w:val="0"/>
              <w:jc w:val="center"/>
              <w:rPr>
                <w:rFonts w:hAnsi="宋体"/>
                <w:bCs/>
                <w:color w:val="auto"/>
                <w:sz w:val="24"/>
              </w:rPr>
            </w:pPr>
          </w:p>
          <w:p w14:paraId="685AD18F">
            <w:pPr>
              <w:adjustRightInd w:val="0"/>
              <w:snapToGrid w:val="0"/>
              <w:jc w:val="center"/>
              <w:rPr>
                <w:bCs/>
                <w:color w:val="auto"/>
                <w:sz w:val="24"/>
              </w:rPr>
            </w:pPr>
            <w:r>
              <w:rPr>
                <w:rFonts w:hAnsi="宋体"/>
                <w:bCs/>
                <w:color w:val="auto"/>
                <w:sz w:val="24"/>
              </w:rPr>
              <w:t>运营</w:t>
            </w:r>
          </w:p>
          <w:p w14:paraId="4261535F">
            <w:pPr>
              <w:adjustRightInd w:val="0"/>
              <w:snapToGrid w:val="0"/>
              <w:jc w:val="center"/>
              <w:rPr>
                <w:bCs/>
                <w:color w:val="auto"/>
                <w:sz w:val="24"/>
              </w:rPr>
            </w:pPr>
            <w:r>
              <w:rPr>
                <w:rFonts w:hAnsi="宋体"/>
                <w:bCs/>
                <w:color w:val="auto"/>
                <w:sz w:val="24"/>
              </w:rPr>
              <w:t>期环</w:t>
            </w:r>
          </w:p>
          <w:p w14:paraId="3143E2A5">
            <w:pPr>
              <w:adjustRightInd w:val="0"/>
              <w:snapToGrid w:val="0"/>
              <w:jc w:val="center"/>
              <w:rPr>
                <w:bCs/>
                <w:color w:val="auto"/>
                <w:sz w:val="24"/>
              </w:rPr>
            </w:pPr>
            <w:r>
              <w:rPr>
                <w:rFonts w:hAnsi="宋体"/>
                <w:bCs/>
                <w:color w:val="auto"/>
                <w:sz w:val="24"/>
              </w:rPr>
              <w:t>境影</w:t>
            </w:r>
          </w:p>
          <w:p w14:paraId="7D132DDF">
            <w:pPr>
              <w:adjustRightInd w:val="0"/>
              <w:snapToGrid w:val="0"/>
              <w:jc w:val="center"/>
              <w:rPr>
                <w:bCs/>
                <w:color w:val="auto"/>
                <w:sz w:val="24"/>
              </w:rPr>
            </w:pPr>
            <w:r>
              <w:rPr>
                <w:rFonts w:hAnsi="宋体"/>
                <w:bCs/>
                <w:color w:val="auto"/>
                <w:sz w:val="24"/>
              </w:rPr>
              <w:t>响和</w:t>
            </w:r>
          </w:p>
          <w:p w14:paraId="321523EE">
            <w:pPr>
              <w:adjustRightInd w:val="0"/>
              <w:snapToGrid w:val="0"/>
              <w:jc w:val="center"/>
              <w:rPr>
                <w:b/>
                <w:color w:val="auto"/>
                <w:kern w:val="0"/>
                <w:sz w:val="28"/>
                <w:szCs w:val="28"/>
              </w:rPr>
            </w:pPr>
            <w:r>
              <w:rPr>
                <w:rFonts w:hAnsi="宋体"/>
                <w:bCs/>
                <w:color w:val="auto"/>
                <w:sz w:val="24"/>
              </w:rPr>
              <w:t>保护措施</w:t>
            </w:r>
          </w:p>
        </w:tc>
        <w:tc>
          <w:tcPr>
            <w:tcW w:w="12519" w:type="dxa"/>
          </w:tcPr>
          <w:p w14:paraId="3481E748">
            <w:pPr>
              <w:pStyle w:val="2"/>
              <w:spacing w:line="440" w:lineRule="exact"/>
              <w:ind w:firstLine="480"/>
              <w:rPr>
                <w:color w:val="auto"/>
                <w:sz w:val="24"/>
              </w:rPr>
            </w:pPr>
            <w:r>
              <w:rPr>
                <w:rFonts w:hAnsi="宋体"/>
                <w:color w:val="auto"/>
                <w:kern w:val="0"/>
                <w:sz w:val="24"/>
              </w:rPr>
              <w:t>根据上述分析，工序</w:t>
            </w:r>
            <w:r>
              <w:rPr>
                <w:color w:val="auto"/>
                <w:kern w:val="0"/>
                <w:sz w:val="24"/>
              </w:rPr>
              <w:t>/</w:t>
            </w:r>
            <w:r>
              <w:rPr>
                <w:rFonts w:hAnsi="宋体"/>
                <w:color w:val="auto"/>
                <w:kern w:val="0"/>
                <w:sz w:val="24"/>
              </w:rPr>
              <w:t>生产线</w:t>
            </w:r>
            <w:r>
              <w:rPr>
                <w:rFonts w:hAnsi="宋体"/>
                <w:color w:val="auto"/>
                <w:sz w:val="24"/>
              </w:rPr>
              <w:t>主要废气污染源源强核算结果及相关参数见表</w:t>
            </w:r>
            <w:r>
              <w:rPr>
                <w:color w:val="auto"/>
                <w:sz w:val="24"/>
              </w:rPr>
              <w:t>4-</w:t>
            </w:r>
            <w:r>
              <w:rPr>
                <w:rFonts w:hint="eastAsia"/>
                <w:color w:val="auto"/>
                <w:sz w:val="24"/>
                <w:lang w:val="en-US" w:eastAsia="zh-CN"/>
              </w:rPr>
              <w:t>5</w:t>
            </w:r>
            <w:r>
              <w:rPr>
                <w:rFonts w:hAnsi="宋体"/>
                <w:color w:val="auto"/>
                <w:sz w:val="24"/>
              </w:rPr>
              <w:t>。</w:t>
            </w:r>
          </w:p>
          <w:p w14:paraId="76B8F534">
            <w:pPr>
              <w:pStyle w:val="2"/>
              <w:snapToGrid w:val="0"/>
              <w:spacing w:beforeLines="50"/>
              <w:ind w:firstLine="422"/>
              <w:jc w:val="center"/>
              <w:rPr>
                <w:b/>
                <w:bCs/>
                <w:color w:val="auto"/>
                <w:szCs w:val="21"/>
              </w:rPr>
            </w:pPr>
            <w:r>
              <w:rPr>
                <w:b/>
                <w:bCs/>
                <w:color w:val="auto"/>
                <w:szCs w:val="21"/>
              </w:rPr>
              <w:t>表</w:t>
            </w:r>
            <w:r>
              <w:rPr>
                <w:rFonts w:hint="eastAsia"/>
                <w:b/>
                <w:bCs/>
                <w:color w:val="auto"/>
                <w:szCs w:val="21"/>
              </w:rPr>
              <w:t>4</w:t>
            </w:r>
            <w:r>
              <w:rPr>
                <w:b/>
                <w:bCs/>
                <w:color w:val="auto"/>
                <w:szCs w:val="21"/>
              </w:rPr>
              <w:t>-</w:t>
            </w:r>
            <w:r>
              <w:rPr>
                <w:rFonts w:hint="eastAsia"/>
                <w:b/>
                <w:bCs/>
                <w:color w:val="auto"/>
                <w:szCs w:val="21"/>
                <w:lang w:val="en-US" w:eastAsia="zh-CN"/>
              </w:rPr>
              <w:t>5</w:t>
            </w:r>
            <w:r>
              <w:rPr>
                <w:rFonts w:hint="eastAsia"/>
                <w:b/>
                <w:bCs/>
                <w:color w:val="auto"/>
                <w:szCs w:val="21"/>
              </w:rPr>
              <w:t xml:space="preserve"> </w:t>
            </w:r>
            <w:r>
              <w:rPr>
                <w:b/>
                <w:bCs/>
                <w:color w:val="auto"/>
                <w:szCs w:val="21"/>
              </w:rPr>
              <w:t xml:space="preserve"> 废气污染源源强核算结果及相关参数一览表</w:t>
            </w:r>
          </w:p>
          <w:tbl>
            <w:tblPr>
              <w:tblStyle w:val="37"/>
              <w:tblW w:w="1247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44"/>
              <w:gridCol w:w="643"/>
              <w:gridCol w:w="897"/>
              <w:gridCol w:w="696"/>
              <w:gridCol w:w="972"/>
              <w:gridCol w:w="1080"/>
              <w:gridCol w:w="972"/>
              <w:gridCol w:w="900"/>
              <w:gridCol w:w="648"/>
              <w:gridCol w:w="660"/>
              <w:gridCol w:w="960"/>
              <w:gridCol w:w="1068"/>
              <w:gridCol w:w="948"/>
              <w:gridCol w:w="700"/>
            </w:tblGrid>
            <w:tr w14:paraId="750DD7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tcBorders>
                    <w:left w:val="single" w:color="auto" w:sz="4" w:space="0"/>
                  </w:tcBorders>
                  <w:shd w:val="clear" w:color="auto" w:fill="auto"/>
                  <w:vAlign w:val="center"/>
                </w:tcPr>
                <w:p w14:paraId="6463A3C1">
                  <w:pPr>
                    <w:pStyle w:val="2"/>
                    <w:snapToGrid w:val="0"/>
                    <w:ind w:firstLine="0" w:firstLineChars="0"/>
                    <w:jc w:val="center"/>
                    <w:rPr>
                      <w:b/>
                      <w:color w:val="auto"/>
                      <w:szCs w:val="21"/>
                    </w:rPr>
                  </w:pPr>
                  <w:r>
                    <w:rPr>
                      <w:b/>
                      <w:color w:val="auto"/>
                      <w:szCs w:val="21"/>
                    </w:rPr>
                    <w:t>工序/生产线</w:t>
                  </w:r>
                </w:p>
              </w:tc>
              <w:tc>
                <w:tcPr>
                  <w:tcW w:w="644" w:type="dxa"/>
                  <w:vMerge w:val="restart"/>
                  <w:shd w:val="clear" w:color="auto" w:fill="auto"/>
                  <w:vAlign w:val="center"/>
                </w:tcPr>
                <w:p w14:paraId="2B8A0788">
                  <w:pPr>
                    <w:pStyle w:val="2"/>
                    <w:snapToGrid w:val="0"/>
                    <w:ind w:firstLine="0" w:firstLineChars="0"/>
                    <w:jc w:val="center"/>
                    <w:rPr>
                      <w:b/>
                      <w:color w:val="auto"/>
                      <w:szCs w:val="21"/>
                    </w:rPr>
                  </w:pPr>
                  <w:r>
                    <w:rPr>
                      <w:b/>
                      <w:color w:val="auto"/>
                      <w:szCs w:val="21"/>
                    </w:rPr>
                    <w:t>装置</w:t>
                  </w:r>
                </w:p>
              </w:tc>
              <w:tc>
                <w:tcPr>
                  <w:tcW w:w="643" w:type="dxa"/>
                  <w:vMerge w:val="restart"/>
                  <w:shd w:val="clear" w:color="auto" w:fill="auto"/>
                  <w:vAlign w:val="center"/>
                </w:tcPr>
                <w:p w14:paraId="369958B7">
                  <w:pPr>
                    <w:pStyle w:val="2"/>
                    <w:snapToGrid w:val="0"/>
                    <w:ind w:firstLine="0" w:firstLineChars="0"/>
                    <w:jc w:val="center"/>
                    <w:rPr>
                      <w:b/>
                      <w:color w:val="auto"/>
                      <w:szCs w:val="21"/>
                    </w:rPr>
                  </w:pPr>
                  <w:r>
                    <w:rPr>
                      <w:b/>
                      <w:color w:val="auto"/>
                      <w:szCs w:val="21"/>
                    </w:rPr>
                    <w:t>污染源</w:t>
                  </w:r>
                </w:p>
              </w:tc>
              <w:tc>
                <w:tcPr>
                  <w:tcW w:w="897" w:type="dxa"/>
                  <w:vMerge w:val="restart"/>
                  <w:shd w:val="clear" w:color="auto" w:fill="auto"/>
                  <w:vAlign w:val="center"/>
                </w:tcPr>
                <w:p w14:paraId="3B39266C">
                  <w:pPr>
                    <w:pStyle w:val="2"/>
                    <w:snapToGrid w:val="0"/>
                    <w:ind w:firstLine="0" w:firstLineChars="0"/>
                    <w:jc w:val="center"/>
                    <w:rPr>
                      <w:b/>
                      <w:color w:val="auto"/>
                      <w:szCs w:val="21"/>
                    </w:rPr>
                  </w:pPr>
                  <w:r>
                    <w:rPr>
                      <w:b/>
                      <w:color w:val="auto"/>
                      <w:szCs w:val="21"/>
                    </w:rPr>
                    <w:t>污染物</w:t>
                  </w:r>
                </w:p>
              </w:tc>
              <w:tc>
                <w:tcPr>
                  <w:tcW w:w="3720" w:type="dxa"/>
                  <w:gridSpan w:val="4"/>
                  <w:shd w:val="clear" w:color="auto" w:fill="auto"/>
                  <w:vAlign w:val="center"/>
                </w:tcPr>
                <w:p w14:paraId="59F51E05">
                  <w:pPr>
                    <w:pStyle w:val="2"/>
                    <w:snapToGrid w:val="0"/>
                    <w:ind w:firstLine="0" w:firstLineChars="0"/>
                    <w:jc w:val="center"/>
                    <w:rPr>
                      <w:b/>
                      <w:color w:val="auto"/>
                      <w:szCs w:val="21"/>
                    </w:rPr>
                  </w:pPr>
                  <w:r>
                    <w:rPr>
                      <w:b/>
                      <w:color w:val="auto"/>
                      <w:szCs w:val="21"/>
                    </w:rPr>
                    <w:t>污染物产生</w:t>
                  </w:r>
                </w:p>
              </w:tc>
              <w:tc>
                <w:tcPr>
                  <w:tcW w:w="1548" w:type="dxa"/>
                  <w:gridSpan w:val="2"/>
                  <w:shd w:val="clear" w:color="auto" w:fill="auto"/>
                  <w:vAlign w:val="center"/>
                </w:tcPr>
                <w:p w14:paraId="28746271">
                  <w:pPr>
                    <w:pStyle w:val="2"/>
                    <w:snapToGrid w:val="0"/>
                    <w:ind w:firstLine="0" w:firstLineChars="0"/>
                    <w:jc w:val="center"/>
                    <w:rPr>
                      <w:b/>
                      <w:color w:val="auto"/>
                      <w:szCs w:val="21"/>
                    </w:rPr>
                  </w:pPr>
                  <w:r>
                    <w:rPr>
                      <w:b/>
                      <w:color w:val="auto"/>
                      <w:szCs w:val="21"/>
                    </w:rPr>
                    <w:t>治理措施</w:t>
                  </w:r>
                </w:p>
              </w:tc>
              <w:tc>
                <w:tcPr>
                  <w:tcW w:w="3636" w:type="dxa"/>
                  <w:gridSpan w:val="4"/>
                  <w:tcBorders>
                    <w:right w:val="single" w:color="auto" w:sz="4" w:space="0"/>
                  </w:tcBorders>
                  <w:shd w:val="clear" w:color="auto" w:fill="auto"/>
                  <w:vAlign w:val="center"/>
                </w:tcPr>
                <w:p w14:paraId="33242682">
                  <w:pPr>
                    <w:pStyle w:val="2"/>
                    <w:snapToGrid w:val="0"/>
                    <w:ind w:firstLine="0" w:firstLineChars="0"/>
                    <w:jc w:val="center"/>
                    <w:rPr>
                      <w:b/>
                      <w:color w:val="auto"/>
                      <w:szCs w:val="21"/>
                    </w:rPr>
                  </w:pPr>
                  <w:r>
                    <w:rPr>
                      <w:b/>
                      <w:color w:val="auto"/>
                      <w:szCs w:val="21"/>
                    </w:rPr>
                    <w:t>污染物排放</w:t>
                  </w:r>
                </w:p>
              </w:tc>
              <w:tc>
                <w:tcPr>
                  <w:tcW w:w="700" w:type="dxa"/>
                  <w:vMerge w:val="restart"/>
                  <w:tcBorders>
                    <w:left w:val="single" w:color="auto" w:sz="4" w:space="0"/>
                    <w:right w:val="single" w:color="auto" w:sz="4" w:space="0"/>
                  </w:tcBorders>
                  <w:shd w:val="clear" w:color="auto" w:fill="auto"/>
                  <w:vAlign w:val="center"/>
                </w:tcPr>
                <w:p w14:paraId="31761BFC">
                  <w:pPr>
                    <w:pStyle w:val="2"/>
                    <w:snapToGrid w:val="0"/>
                    <w:ind w:firstLine="0" w:firstLineChars="0"/>
                    <w:jc w:val="center"/>
                    <w:rPr>
                      <w:b/>
                      <w:color w:val="auto"/>
                      <w:szCs w:val="21"/>
                    </w:rPr>
                  </w:pPr>
                  <w:r>
                    <w:rPr>
                      <w:b/>
                      <w:color w:val="auto"/>
                      <w:szCs w:val="21"/>
                    </w:rPr>
                    <w:t>排放时间（h）</w:t>
                  </w:r>
                </w:p>
              </w:tc>
            </w:tr>
            <w:tr w14:paraId="75418F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left w:val="single" w:color="auto" w:sz="4" w:space="0"/>
                  </w:tcBorders>
                  <w:shd w:val="clear" w:color="auto" w:fill="auto"/>
                  <w:vAlign w:val="center"/>
                </w:tcPr>
                <w:p w14:paraId="09322EC2">
                  <w:pPr>
                    <w:pStyle w:val="2"/>
                    <w:snapToGrid w:val="0"/>
                    <w:ind w:firstLine="422"/>
                    <w:jc w:val="center"/>
                    <w:rPr>
                      <w:b/>
                      <w:color w:val="auto"/>
                      <w:szCs w:val="21"/>
                    </w:rPr>
                  </w:pPr>
                </w:p>
              </w:tc>
              <w:tc>
                <w:tcPr>
                  <w:tcW w:w="644" w:type="dxa"/>
                  <w:vMerge w:val="continue"/>
                  <w:shd w:val="clear" w:color="auto" w:fill="auto"/>
                  <w:vAlign w:val="center"/>
                </w:tcPr>
                <w:p w14:paraId="2A931D76">
                  <w:pPr>
                    <w:pStyle w:val="2"/>
                    <w:snapToGrid w:val="0"/>
                    <w:ind w:firstLine="422"/>
                    <w:jc w:val="center"/>
                    <w:rPr>
                      <w:b/>
                      <w:color w:val="auto"/>
                      <w:szCs w:val="21"/>
                    </w:rPr>
                  </w:pPr>
                </w:p>
              </w:tc>
              <w:tc>
                <w:tcPr>
                  <w:tcW w:w="643" w:type="dxa"/>
                  <w:vMerge w:val="continue"/>
                  <w:shd w:val="clear" w:color="auto" w:fill="auto"/>
                  <w:vAlign w:val="center"/>
                </w:tcPr>
                <w:p w14:paraId="11CBCE77">
                  <w:pPr>
                    <w:pStyle w:val="2"/>
                    <w:snapToGrid w:val="0"/>
                    <w:ind w:firstLine="422"/>
                    <w:jc w:val="center"/>
                    <w:rPr>
                      <w:b/>
                      <w:color w:val="auto"/>
                      <w:szCs w:val="21"/>
                    </w:rPr>
                  </w:pPr>
                </w:p>
              </w:tc>
              <w:tc>
                <w:tcPr>
                  <w:tcW w:w="897" w:type="dxa"/>
                  <w:vMerge w:val="continue"/>
                  <w:shd w:val="clear" w:color="auto" w:fill="auto"/>
                  <w:vAlign w:val="center"/>
                </w:tcPr>
                <w:p w14:paraId="1F8D77A9">
                  <w:pPr>
                    <w:pStyle w:val="2"/>
                    <w:snapToGrid w:val="0"/>
                    <w:ind w:firstLine="422"/>
                    <w:jc w:val="center"/>
                    <w:rPr>
                      <w:b/>
                      <w:color w:val="auto"/>
                      <w:szCs w:val="21"/>
                    </w:rPr>
                  </w:pPr>
                </w:p>
              </w:tc>
              <w:tc>
                <w:tcPr>
                  <w:tcW w:w="696" w:type="dxa"/>
                  <w:shd w:val="clear" w:color="auto" w:fill="auto"/>
                  <w:vAlign w:val="center"/>
                </w:tcPr>
                <w:p w14:paraId="0568FBA0">
                  <w:pPr>
                    <w:pStyle w:val="2"/>
                    <w:snapToGrid w:val="0"/>
                    <w:ind w:firstLine="0" w:firstLineChars="0"/>
                    <w:jc w:val="center"/>
                    <w:rPr>
                      <w:b/>
                      <w:color w:val="auto"/>
                      <w:szCs w:val="21"/>
                    </w:rPr>
                  </w:pPr>
                  <w:r>
                    <w:rPr>
                      <w:b/>
                      <w:color w:val="auto"/>
                      <w:szCs w:val="21"/>
                    </w:rPr>
                    <w:t>核算方法</w:t>
                  </w:r>
                </w:p>
              </w:tc>
              <w:tc>
                <w:tcPr>
                  <w:tcW w:w="972" w:type="dxa"/>
                  <w:shd w:val="clear" w:color="auto" w:fill="auto"/>
                  <w:vAlign w:val="center"/>
                </w:tcPr>
                <w:p w14:paraId="152CFD50">
                  <w:pPr>
                    <w:pStyle w:val="2"/>
                    <w:snapToGrid w:val="0"/>
                    <w:ind w:firstLine="0" w:firstLineChars="0"/>
                    <w:jc w:val="center"/>
                    <w:rPr>
                      <w:b/>
                      <w:color w:val="auto"/>
                      <w:szCs w:val="21"/>
                    </w:rPr>
                  </w:pPr>
                  <w:r>
                    <w:rPr>
                      <w:b/>
                      <w:color w:val="auto"/>
                      <w:szCs w:val="21"/>
                    </w:rPr>
                    <w:t>产生废气量/（m³/h）</w:t>
                  </w:r>
                </w:p>
              </w:tc>
              <w:tc>
                <w:tcPr>
                  <w:tcW w:w="1080" w:type="dxa"/>
                  <w:shd w:val="clear" w:color="auto" w:fill="auto"/>
                  <w:vAlign w:val="center"/>
                </w:tcPr>
                <w:p w14:paraId="2ADCAA3C">
                  <w:pPr>
                    <w:pStyle w:val="2"/>
                    <w:snapToGrid w:val="0"/>
                    <w:ind w:firstLine="0" w:firstLineChars="0"/>
                    <w:jc w:val="center"/>
                    <w:rPr>
                      <w:b/>
                      <w:color w:val="auto"/>
                      <w:szCs w:val="21"/>
                    </w:rPr>
                  </w:pPr>
                  <w:r>
                    <w:rPr>
                      <w:b/>
                      <w:color w:val="auto"/>
                      <w:szCs w:val="21"/>
                    </w:rPr>
                    <w:t>产生浓度/（mg/m³）</w:t>
                  </w:r>
                </w:p>
              </w:tc>
              <w:tc>
                <w:tcPr>
                  <w:tcW w:w="972" w:type="dxa"/>
                  <w:shd w:val="clear" w:color="auto" w:fill="auto"/>
                  <w:vAlign w:val="center"/>
                </w:tcPr>
                <w:p w14:paraId="68E1EAF2">
                  <w:pPr>
                    <w:pStyle w:val="2"/>
                    <w:snapToGrid w:val="0"/>
                    <w:ind w:firstLine="0" w:firstLineChars="0"/>
                    <w:jc w:val="center"/>
                    <w:rPr>
                      <w:b/>
                      <w:color w:val="auto"/>
                      <w:szCs w:val="21"/>
                    </w:rPr>
                  </w:pPr>
                  <w:r>
                    <w:rPr>
                      <w:b/>
                      <w:color w:val="auto"/>
                      <w:szCs w:val="21"/>
                    </w:rPr>
                    <w:t>产生量/（kg/h）</w:t>
                  </w:r>
                </w:p>
              </w:tc>
              <w:tc>
                <w:tcPr>
                  <w:tcW w:w="900" w:type="dxa"/>
                  <w:shd w:val="clear" w:color="auto" w:fill="auto"/>
                  <w:vAlign w:val="center"/>
                </w:tcPr>
                <w:p w14:paraId="04E5140A">
                  <w:pPr>
                    <w:pStyle w:val="2"/>
                    <w:snapToGrid w:val="0"/>
                    <w:ind w:firstLine="0" w:firstLineChars="0"/>
                    <w:jc w:val="center"/>
                    <w:rPr>
                      <w:b/>
                      <w:color w:val="auto"/>
                      <w:szCs w:val="21"/>
                    </w:rPr>
                  </w:pPr>
                  <w:r>
                    <w:rPr>
                      <w:b/>
                      <w:color w:val="auto"/>
                      <w:szCs w:val="21"/>
                    </w:rPr>
                    <w:t>工艺</w:t>
                  </w:r>
                </w:p>
              </w:tc>
              <w:tc>
                <w:tcPr>
                  <w:tcW w:w="648" w:type="dxa"/>
                  <w:shd w:val="clear" w:color="auto" w:fill="auto"/>
                  <w:vAlign w:val="center"/>
                </w:tcPr>
                <w:p w14:paraId="56D82375">
                  <w:pPr>
                    <w:pStyle w:val="2"/>
                    <w:snapToGrid w:val="0"/>
                    <w:ind w:firstLine="0" w:firstLineChars="0"/>
                    <w:jc w:val="center"/>
                    <w:rPr>
                      <w:b/>
                      <w:color w:val="auto"/>
                      <w:szCs w:val="21"/>
                    </w:rPr>
                  </w:pPr>
                  <w:r>
                    <w:rPr>
                      <w:b/>
                      <w:color w:val="auto"/>
                      <w:szCs w:val="21"/>
                    </w:rPr>
                    <w:t>效率/%</w:t>
                  </w:r>
                </w:p>
              </w:tc>
              <w:tc>
                <w:tcPr>
                  <w:tcW w:w="660" w:type="dxa"/>
                  <w:shd w:val="clear" w:color="auto" w:fill="auto"/>
                  <w:vAlign w:val="center"/>
                </w:tcPr>
                <w:p w14:paraId="0330BA10">
                  <w:pPr>
                    <w:pStyle w:val="2"/>
                    <w:snapToGrid w:val="0"/>
                    <w:ind w:firstLine="0" w:firstLineChars="0"/>
                    <w:jc w:val="center"/>
                    <w:rPr>
                      <w:b/>
                      <w:color w:val="auto"/>
                      <w:szCs w:val="21"/>
                    </w:rPr>
                  </w:pPr>
                  <w:r>
                    <w:rPr>
                      <w:b/>
                      <w:color w:val="auto"/>
                      <w:szCs w:val="21"/>
                    </w:rPr>
                    <w:t>核算方法</w:t>
                  </w:r>
                </w:p>
              </w:tc>
              <w:tc>
                <w:tcPr>
                  <w:tcW w:w="960" w:type="dxa"/>
                  <w:shd w:val="clear" w:color="auto" w:fill="auto"/>
                  <w:vAlign w:val="center"/>
                </w:tcPr>
                <w:p w14:paraId="14B4BFFA">
                  <w:pPr>
                    <w:pStyle w:val="2"/>
                    <w:snapToGrid w:val="0"/>
                    <w:ind w:firstLine="0" w:firstLineChars="0"/>
                    <w:jc w:val="center"/>
                    <w:rPr>
                      <w:b/>
                      <w:color w:val="auto"/>
                      <w:szCs w:val="21"/>
                    </w:rPr>
                  </w:pPr>
                  <w:r>
                    <w:rPr>
                      <w:b/>
                      <w:color w:val="auto"/>
                      <w:szCs w:val="21"/>
                    </w:rPr>
                    <w:t>排放废气量/（m³/h）</w:t>
                  </w:r>
                </w:p>
              </w:tc>
              <w:tc>
                <w:tcPr>
                  <w:tcW w:w="1068" w:type="dxa"/>
                  <w:shd w:val="clear" w:color="auto" w:fill="auto"/>
                  <w:vAlign w:val="center"/>
                </w:tcPr>
                <w:p w14:paraId="3D68DC1A">
                  <w:pPr>
                    <w:pStyle w:val="2"/>
                    <w:snapToGrid w:val="0"/>
                    <w:ind w:firstLine="0" w:firstLineChars="0"/>
                    <w:jc w:val="center"/>
                    <w:rPr>
                      <w:b/>
                      <w:color w:val="auto"/>
                      <w:szCs w:val="21"/>
                    </w:rPr>
                  </w:pPr>
                  <w:r>
                    <w:rPr>
                      <w:b/>
                      <w:color w:val="auto"/>
                      <w:szCs w:val="21"/>
                    </w:rPr>
                    <w:t>排放浓度/（mg/m³）</w:t>
                  </w:r>
                </w:p>
              </w:tc>
              <w:tc>
                <w:tcPr>
                  <w:tcW w:w="948" w:type="dxa"/>
                  <w:tcBorders>
                    <w:right w:val="single" w:color="auto" w:sz="4" w:space="0"/>
                  </w:tcBorders>
                  <w:shd w:val="clear" w:color="auto" w:fill="auto"/>
                  <w:vAlign w:val="center"/>
                </w:tcPr>
                <w:p w14:paraId="08B7EDC2">
                  <w:pPr>
                    <w:pStyle w:val="2"/>
                    <w:snapToGrid w:val="0"/>
                    <w:ind w:firstLine="0" w:firstLineChars="0"/>
                    <w:jc w:val="center"/>
                    <w:rPr>
                      <w:b/>
                      <w:color w:val="auto"/>
                      <w:szCs w:val="21"/>
                    </w:rPr>
                  </w:pPr>
                  <w:r>
                    <w:rPr>
                      <w:b/>
                      <w:color w:val="auto"/>
                      <w:szCs w:val="21"/>
                    </w:rPr>
                    <w:t>排放量/（kg/h）</w:t>
                  </w:r>
                </w:p>
              </w:tc>
              <w:tc>
                <w:tcPr>
                  <w:tcW w:w="700" w:type="dxa"/>
                  <w:vMerge w:val="continue"/>
                  <w:tcBorders>
                    <w:left w:val="single" w:color="auto" w:sz="4" w:space="0"/>
                    <w:bottom w:val="single" w:color="auto" w:sz="4" w:space="0"/>
                    <w:right w:val="single" w:color="auto" w:sz="4" w:space="0"/>
                  </w:tcBorders>
                  <w:shd w:val="clear" w:color="auto" w:fill="auto"/>
                  <w:vAlign w:val="center"/>
                </w:tcPr>
                <w:p w14:paraId="31F1DBFF">
                  <w:pPr>
                    <w:pStyle w:val="2"/>
                    <w:snapToGrid w:val="0"/>
                    <w:ind w:firstLine="422" w:firstLineChars="0"/>
                    <w:jc w:val="center"/>
                    <w:rPr>
                      <w:b/>
                      <w:color w:val="auto"/>
                      <w:szCs w:val="21"/>
                    </w:rPr>
                  </w:pPr>
                </w:p>
              </w:tc>
            </w:tr>
            <w:tr w14:paraId="06A916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tcBorders>
                    <w:left w:val="single" w:color="auto" w:sz="4" w:space="0"/>
                  </w:tcBorders>
                  <w:shd w:val="clear" w:color="auto" w:fill="auto"/>
                  <w:vAlign w:val="center"/>
                </w:tcPr>
                <w:p w14:paraId="4BB4AB45">
                  <w:pPr>
                    <w:pStyle w:val="2"/>
                    <w:snapToGrid w:val="0"/>
                    <w:ind w:firstLine="0" w:firstLineChars="0"/>
                    <w:jc w:val="center"/>
                    <w:rPr>
                      <w:rFonts w:hint="eastAsia" w:eastAsia="宋体"/>
                      <w:color w:val="auto"/>
                      <w:lang w:eastAsia="zh-CN"/>
                    </w:rPr>
                  </w:pPr>
                  <w:r>
                    <w:rPr>
                      <w:rFonts w:hint="eastAsia"/>
                      <w:color w:val="auto"/>
                      <w:lang w:eastAsia="zh-CN"/>
                    </w:rPr>
                    <w:t>注塑</w:t>
                  </w:r>
                </w:p>
              </w:tc>
              <w:tc>
                <w:tcPr>
                  <w:tcW w:w="644" w:type="dxa"/>
                  <w:vMerge w:val="restart"/>
                  <w:shd w:val="clear" w:color="auto" w:fill="auto"/>
                  <w:vAlign w:val="center"/>
                </w:tcPr>
                <w:p w14:paraId="30E61E4A">
                  <w:pPr>
                    <w:pStyle w:val="2"/>
                    <w:snapToGrid w:val="0"/>
                    <w:ind w:firstLine="0" w:firstLineChars="0"/>
                    <w:jc w:val="center"/>
                    <w:rPr>
                      <w:rFonts w:hint="eastAsia" w:eastAsia="宋体"/>
                      <w:color w:val="auto"/>
                      <w:szCs w:val="21"/>
                      <w:lang w:eastAsia="zh-CN"/>
                    </w:rPr>
                  </w:pPr>
                  <w:r>
                    <w:rPr>
                      <w:rFonts w:hint="eastAsia"/>
                      <w:color w:val="auto"/>
                      <w:szCs w:val="21"/>
                      <w:lang w:eastAsia="zh-CN"/>
                    </w:rPr>
                    <w:t>注塑机</w:t>
                  </w:r>
                </w:p>
              </w:tc>
              <w:tc>
                <w:tcPr>
                  <w:tcW w:w="643" w:type="dxa"/>
                  <w:vMerge w:val="restart"/>
                  <w:shd w:val="clear" w:color="auto" w:fill="auto"/>
                  <w:vAlign w:val="center"/>
                </w:tcPr>
                <w:p w14:paraId="2B8321CB">
                  <w:pPr>
                    <w:pStyle w:val="2"/>
                    <w:snapToGrid w:val="0"/>
                    <w:ind w:firstLine="0" w:firstLineChars="0"/>
                    <w:jc w:val="center"/>
                    <w:rPr>
                      <w:rFonts w:hint="eastAsia" w:eastAsia="宋体"/>
                      <w:color w:val="auto"/>
                      <w:szCs w:val="21"/>
                      <w:lang w:eastAsia="zh-CN"/>
                    </w:rPr>
                  </w:pPr>
                  <w:r>
                    <w:rPr>
                      <w:rFonts w:hint="eastAsia"/>
                      <w:color w:val="auto"/>
                      <w:szCs w:val="21"/>
                      <w:lang w:eastAsia="zh-CN"/>
                    </w:rPr>
                    <w:t>注塑废气</w:t>
                  </w:r>
                </w:p>
              </w:tc>
              <w:tc>
                <w:tcPr>
                  <w:tcW w:w="897" w:type="dxa"/>
                  <w:vMerge w:val="restart"/>
                  <w:shd w:val="clear" w:color="auto" w:fill="auto"/>
                  <w:vAlign w:val="center"/>
                </w:tcPr>
                <w:p w14:paraId="7EF5A47C">
                  <w:pPr>
                    <w:pStyle w:val="2"/>
                    <w:snapToGrid w:val="0"/>
                    <w:ind w:firstLine="0" w:firstLineChars="0"/>
                    <w:jc w:val="center"/>
                    <w:rPr>
                      <w:color w:val="auto"/>
                      <w:szCs w:val="21"/>
                    </w:rPr>
                  </w:pPr>
                  <w:r>
                    <w:rPr>
                      <w:rFonts w:hint="eastAsia"/>
                      <w:color w:val="auto"/>
                      <w:szCs w:val="21"/>
                    </w:rPr>
                    <w:t>非甲烷总烃</w:t>
                  </w:r>
                </w:p>
              </w:tc>
              <w:tc>
                <w:tcPr>
                  <w:tcW w:w="696" w:type="dxa"/>
                  <w:vMerge w:val="restart"/>
                  <w:shd w:val="clear" w:color="auto" w:fill="auto"/>
                  <w:vAlign w:val="center"/>
                </w:tcPr>
                <w:p w14:paraId="047EE70C">
                  <w:pPr>
                    <w:pStyle w:val="2"/>
                    <w:snapToGrid w:val="0"/>
                    <w:ind w:firstLine="0" w:firstLineChars="0"/>
                    <w:jc w:val="center"/>
                    <w:rPr>
                      <w:color w:val="auto"/>
                      <w:szCs w:val="21"/>
                    </w:rPr>
                  </w:pPr>
                  <w:r>
                    <w:rPr>
                      <w:color w:val="auto"/>
                      <w:szCs w:val="21"/>
                    </w:rPr>
                    <w:t>系数法</w:t>
                  </w:r>
                </w:p>
              </w:tc>
              <w:tc>
                <w:tcPr>
                  <w:tcW w:w="972" w:type="dxa"/>
                  <w:shd w:val="clear" w:color="auto" w:fill="auto"/>
                  <w:vAlign w:val="center"/>
                </w:tcPr>
                <w:p w14:paraId="257B2F28">
                  <w:pPr>
                    <w:pStyle w:val="2"/>
                    <w:snapToGrid w:val="0"/>
                    <w:ind w:firstLine="0" w:firstLineChars="0"/>
                    <w:jc w:val="center"/>
                    <w:rPr>
                      <w:rFonts w:hint="default" w:eastAsia="宋体"/>
                      <w:color w:val="auto"/>
                      <w:szCs w:val="21"/>
                      <w:lang w:val="en-US" w:eastAsia="zh-CN"/>
                    </w:rPr>
                  </w:pPr>
                  <w:r>
                    <w:rPr>
                      <w:rFonts w:hint="eastAsia"/>
                      <w:color w:val="auto"/>
                      <w:szCs w:val="21"/>
                      <w:lang w:val="en-US" w:eastAsia="zh-CN"/>
                    </w:rPr>
                    <w:t>29000</w:t>
                  </w:r>
                </w:p>
              </w:tc>
              <w:tc>
                <w:tcPr>
                  <w:tcW w:w="1080" w:type="dxa"/>
                  <w:shd w:val="clear" w:color="auto" w:fill="auto"/>
                  <w:vAlign w:val="center"/>
                </w:tcPr>
                <w:p w14:paraId="6DCFE24E">
                  <w:pPr>
                    <w:pStyle w:val="2"/>
                    <w:snapToGrid w:val="0"/>
                    <w:ind w:firstLine="0" w:firstLineChars="0"/>
                    <w:jc w:val="center"/>
                    <w:rPr>
                      <w:rFonts w:hint="default" w:eastAsia="宋体"/>
                      <w:color w:val="auto"/>
                      <w:szCs w:val="21"/>
                      <w:lang w:val="en-US" w:eastAsia="zh-CN"/>
                    </w:rPr>
                  </w:pPr>
                  <w:r>
                    <w:rPr>
                      <w:rFonts w:hint="eastAsia"/>
                      <w:color w:val="auto"/>
                      <w:szCs w:val="21"/>
                      <w:lang w:val="en-US" w:eastAsia="zh-CN"/>
                    </w:rPr>
                    <w:t>2.0</w:t>
                  </w:r>
                </w:p>
              </w:tc>
              <w:tc>
                <w:tcPr>
                  <w:tcW w:w="972" w:type="dxa"/>
                  <w:shd w:val="clear" w:color="auto" w:fill="auto"/>
                  <w:vAlign w:val="center"/>
                </w:tcPr>
                <w:p w14:paraId="6B1898F3">
                  <w:pPr>
                    <w:pStyle w:val="2"/>
                    <w:snapToGrid w:val="0"/>
                    <w:ind w:firstLine="0" w:firstLineChars="0"/>
                    <w:jc w:val="center"/>
                    <w:rPr>
                      <w:rFonts w:hint="default" w:eastAsia="宋体"/>
                      <w:color w:val="auto"/>
                      <w:szCs w:val="21"/>
                      <w:lang w:val="en-US" w:eastAsia="zh-CN"/>
                    </w:rPr>
                  </w:pPr>
                  <w:r>
                    <w:rPr>
                      <w:rFonts w:hint="eastAsia"/>
                      <w:color w:val="auto"/>
                      <w:szCs w:val="21"/>
                      <w:lang w:val="en-US" w:eastAsia="zh-CN"/>
                    </w:rPr>
                    <w:t>0.058</w:t>
                  </w:r>
                </w:p>
              </w:tc>
              <w:tc>
                <w:tcPr>
                  <w:tcW w:w="900" w:type="dxa"/>
                  <w:vMerge w:val="restart"/>
                  <w:shd w:val="clear" w:color="auto" w:fill="auto"/>
                  <w:vAlign w:val="center"/>
                </w:tcPr>
                <w:p w14:paraId="08985A0A">
                  <w:pPr>
                    <w:pStyle w:val="2"/>
                    <w:snapToGrid w:val="0"/>
                    <w:ind w:firstLine="0" w:firstLineChars="0"/>
                    <w:jc w:val="center"/>
                    <w:rPr>
                      <w:color w:val="auto"/>
                      <w:szCs w:val="21"/>
                    </w:rPr>
                  </w:pPr>
                  <w:r>
                    <w:rPr>
                      <w:rFonts w:hint="eastAsia"/>
                      <w:color w:val="auto"/>
                      <w:szCs w:val="21"/>
                    </w:rPr>
                    <w:t>活性炭</w:t>
                  </w:r>
                </w:p>
              </w:tc>
              <w:tc>
                <w:tcPr>
                  <w:tcW w:w="648" w:type="dxa"/>
                  <w:vMerge w:val="restart"/>
                  <w:shd w:val="clear" w:color="auto" w:fill="auto"/>
                  <w:vAlign w:val="center"/>
                </w:tcPr>
                <w:p w14:paraId="71AAAB25">
                  <w:pPr>
                    <w:pStyle w:val="2"/>
                    <w:snapToGrid w:val="0"/>
                    <w:ind w:firstLine="0" w:firstLineChars="0"/>
                    <w:jc w:val="center"/>
                    <w:rPr>
                      <w:color w:val="auto"/>
                      <w:szCs w:val="21"/>
                    </w:rPr>
                  </w:pPr>
                  <w:r>
                    <w:rPr>
                      <w:rFonts w:hint="eastAsia"/>
                      <w:color w:val="auto"/>
                      <w:szCs w:val="21"/>
                    </w:rPr>
                    <w:t>80%</w:t>
                  </w:r>
                </w:p>
              </w:tc>
              <w:tc>
                <w:tcPr>
                  <w:tcW w:w="660" w:type="dxa"/>
                  <w:vMerge w:val="restart"/>
                  <w:shd w:val="clear" w:color="auto" w:fill="auto"/>
                  <w:vAlign w:val="center"/>
                </w:tcPr>
                <w:p w14:paraId="2A7FC033">
                  <w:pPr>
                    <w:jc w:val="center"/>
                    <w:rPr>
                      <w:color w:val="auto"/>
                      <w:szCs w:val="21"/>
                    </w:rPr>
                  </w:pPr>
                  <w:r>
                    <w:rPr>
                      <w:color w:val="auto"/>
                      <w:szCs w:val="21"/>
                    </w:rPr>
                    <w:t>效率核算</w:t>
                  </w:r>
                </w:p>
              </w:tc>
              <w:tc>
                <w:tcPr>
                  <w:tcW w:w="960" w:type="dxa"/>
                  <w:shd w:val="clear" w:color="auto" w:fill="auto"/>
                  <w:vAlign w:val="center"/>
                </w:tcPr>
                <w:p w14:paraId="254ABFDC">
                  <w:pPr>
                    <w:pStyle w:val="2"/>
                    <w:snapToGrid w:val="0"/>
                    <w:ind w:firstLine="0" w:firstLineChars="0"/>
                    <w:jc w:val="center"/>
                    <w:rPr>
                      <w:rFonts w:hint="default" w:eastAsia="宋体"/>
                      <w:color w:val="auto"/>
                      <w:szCs w:val="21"/>
                      <w:lang w:val="en-US" w:eastAsia="zh-CN"/>
                    </w:rPr>
                  </w:pPr>
                  <w:r>
                    <w:rPr>
                      <w:rFonts w:hint="eastAsia"/>
                      <w:color w:val="auto"/>
                      <w:szCs w:val="21"/>
                      <w:lang w:val="en-US" w:eastAsia="zh-CN"/>
                    </w:rPr>
                    <w:t>29000</w:t>
                  </w:r>
                </w:p>
              </w:tc>
              <w:tc>
                <w:tcPr>
                  <w:tcW w:w="1068" w:type="dxa"/>
                  <w:shd w:val="clear" w:color="auto" w:fill="auto"/>
                  <w:vAlign w:val="center"/>
                </w:tcPr>
                <w:p w14:paraId="35F0CC0D">
                  <w:pPr>
                    <w:pStyle w:val="2"/>
                    <w:snapToGrid w:val="0"/>
                    <w:ind w:firstLine="0" w:firstLineChars="0"/>
                    <w:jc w:val="center"/>
                    <w:rPr>
                      <w:rFonts w:hint="default" w:eastAsia="宋体"/>
                      <w:color w:val="auto"/>
                      <w:szCs w:val="21"/>
                      <w:lang w:val="en-US" w:eastAsia="zh-CN"/>
                    </w:rPr>
                  </w:pPr>
                  <w:r>
                    <w:rPr>
                      <w:rFonts w:hint="eastAsia"/>
                      <w:color w:val="auto"/>
                      <w:szCs w:val="21"/>
                      <w:lang w:val="en-US" w:eastAsia="zh-CN"/>
                    </w:rPr>
                    <w:t>0.4</w:t>
                  </w:r>
                </w:p>
              </w:tc>
              <w:tc>
                <w:tcPr>
                  <w:tcW w:w="948" w:type="dxa"/>
                  <w:tcBorders>
                    <w:right w:val="single" w:color="auto" w:sz="4" w:space="0"/>
                  </w:tcBorders>
                  <w:shd w:val="clear" w:color="auto" w:fill="auto"/>
                  <w:vAlign w:val="center"/>
                </w:tcPr>
                <w:p w14:paraId="37B824E4">
                  <w:pPr>
                    <w:pStyle w:val="2"/>
                    <w:snapToGrid w:val="0"/>
                    <w:ind w:firstLine="0" w:firstLineChars="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11</w:t>
                  </w:r>
                </w:p>
              </w:tc>
              <w:tc>
                <w:tcPr>
                  <w:tcW w:w="700" w:type="dxa"/>
                  <w:vMerge w:val="restart"/>
                  <w:tcBorders>
                    <w:left w:val="single" w:color="auto" w:sz="4" w:space="0"/>
                    <w:right w:val="single" w:color="auto" w:sz="4" w:space="0"/>
                  </w:tcBorders>
                  <w:shd w:val="clear" w:color="auto" w:fill="auto"/>
                  <w:vAlign w:val="center"/>
                </w:tcPr>
                <w:p w14:paraId="0F89F28E">
                  <w:pPr>
                    <w:pStyle w:val="2"/>
                    <w:snapToGrid w:val="0"/>
                    <w:ind w:firstLine="0" w:firstLineChars="0"/>
                    <w:jc w:val="center"/>
                    <w:rPr>
                      <w:color w:val="auto"/>
                      <w:szCs w:val="21"/>
                    </w:rPr>
                  </w:pPr>
                  <w:r>
                    <w:rPr>
                      <w:rFonts w:hint="eastAsia"/>
                      <w:color w:val="auto"/>
                      <w:szCs w:val="21"/>
                      <w:lang w:val="en-US" w:eastAsia="zh-CN"/>
                    </w:rPr>
                    <w:t>36</w:t>
                  </w:r>
                  <w:r>
                    <w:rPr>
                      <w:rFonts w:hint="eastAsia"/>
                      <w:color w:val="auto"/>
                      <w:szCs w:val="21"/>
                    </w:rPr>
                    <w:t>00</w:t>
                  </w:r>
                </w:p>
              </w:tc>
            </w:tr>
            <w:tr w14:paraId="18E4A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84" w:type="dxa"/>
                  <w:vMerge w:val="continue"/>
                  <w:tcBorders>
                    <w:left w:val="single" w:color="auto" w:sz="4" w:space="0"/>
                  </w:tcBorders>
                  <w:shd w:val="clear" w:color="auto" w:fill="auto"/>
                  <w:vAlign w:val="center"/>
                </w:tcPr>
                <w:p w14:paraId="3EDD98DE">
                  <w:pPr>
                    <w:pStyle w:val="2"/>
                    <w:snapToGrid w:val="0"/>
                    <w:ind w:firstLine="0" w:firstLineChars="0"/>
                    <w:jc w:val="center"/>
                    <w:rPr>
                      <w:color w:val="auto"/>
                      <w:szCs w:val="21"/>
                    </w:rPr>
                  </w:pPr>
                </w:p>
              </w:tc>
              <w:tc>
                <w:tcPr>
                  <w:tcW w:w="644" w:type="dxa"/>
                  <w:vMerge w:val="continue"/>
                  <w:shd w:val="clear" w:color="auto" w:fill="auto"/>
                  <w:vAlign w:val="center"/>
                </w:tcPr>
                <w:p w14:paraId="2F428C57">
                  <w:pPr>
                    <w:pStyle w:val="2"/>
                    <w:snapToGrid w:val="0"/>
                    <w:ind w:firstLine="0" w:firstLineChars="0"/>
                    <w:jc w:val="center"/>
                    <w:rPr>
                      <w:color w:val="auto"/>
                      <w:szCs w:val="21"/>
                    </w:rPr>
                  </w:pPr>
                </w:p>
              </w:tc>
              <w:tc>
                <w:tcPr>
                  <w:tcW w:w="643" w:type="dxa"/>
                  <w:vMerge w:val="continue"/>
                  <w:shd w:val="clear" w:color="auto" w:fill="auto"/>
                  <w:vAlign w:val="center"/>
                </w:tcPr>
                <w:p w14:paraId="66B6FE4C">
                  <w:pPr>
                    <w:pStyle w:val="2"/>
                    <w:snapToGrid w:val="0"/>
                    <w:ind w:firstLine="0" w:firstLineChars="0"/>
                    <w:jc w:val="center"/>
                    <w:rPr>
                      <w:color w:val="auto"/>
                      <w:szCs w:val="21"/>
                    </w:rPr>
                  </w:pPr>
                </w:p>
              </w:tc>
              <w:tc>
                <w:tcPr>
                  <w:tcW w:w="897" w:type="dxa"/>
                  <w:vMerge w:val="continue"/>
                  <w:shd w:val="clear" w:color="auto" w:fill="auto"/>
                  <w:vAlign w:val="center"/>
                </w:tcPr>
                <w:p w14:paraId="227527A0">
                  <w:pPr>
                    <w:pStyle w:val="2"/>
                    <w:snapToGrid w:val="0"/>
                    <w:ind w:firstLine="0" w:firstLineChars="0"/>
                    <w:jc w:val="center"/>
                    <w:rPr>
                      <w:color w:val="auto"/>
                      <w:szCs w:val="21"/>
                    </w:rPr>
                  </w:pPr>
                </w:p>
              </w:tc>
              <w:tc>
                <w:tcPr>
                  <w:tcW w:w="696" w:type="dxa"/>
                  <w:vMerge w:val="continue"/>
                  <w:shd w:val="clear" w:color="auto" w:fill="auto"/>
                  <w:vAlign w:val="center"/>
                </w:tcPr>
                <w:p w14:paraId="7C058BD0">
                  <w:pPr>
                    <w:pStyle w:val="2"/>
                    <w:snapToGrid w:val="0"/>
                    <w:ind w:firstLine="0" w:firstLineChars="0"/>
                    <w:jc w:val="center"/>
                    <w:rPr>
                      <w:color w:val="auto"/>
                      <w:szCs w:val="21"/>
                    </w:rPr>
                  </w:pPr>
                </w:p>
              </w:tc>
              <w:tc>
                <w:tcPr>
                  <w:tcW w:w="972" w:type="dxa"/>
                  <w:shd w:val="clear" w:color="auto" w:fill="auto"/>
                  <w:vAlign w:val="center"/>
                </w:tcPr>
                <w:p w14:paraId="5CF4DC29">
                  <w:pPr>
                    <w:pStyle w:val="2"/>
                    <w:snapToGrid w:val="0"/>
                    <w:ind w:firstLine="0" w:firstLineChars="0"/>
                    <w:jc w:val="center"/>
                    <w:rPr>
                      <w:color w:val="auto"/>
                      <w:szCs w:val="21"/>
                    </w:rPr>
                  </w:pPr>
                  <w:r>
                    <w:rPr>
                      <w:rFonts w:hint="eastAsia"/>
                      <w:color w:val="auto"/>
                      <w:szCs w:val="21"/>
                    </w:rPr>
                    <w:t>/</w:t>
                  </w:r>
                </w:p>
              </w:tc>
              <w:tc>
                <w:tcPr>
                  <w:tcW w:w="1080" w:type="dxa"/>
                  <w:shd w:val="clear" w:color="auto" w:fill="auto"/>
                  <w:vAlign w:val="center"/>
                </w:tcPr>
                <w:p w14:paraId="7B995399">
                  <w:pPr>
                    <w:pStyle w:val="2"/>
                    <w:snapToGrid w:val="0"/>
                    <w:ind w:firstLine="0" w:firstLineChars="0"/>
                    <w:jc w:val="center"/>
                    <w:rPr>
                      <w:color w:val="auto"/>
                      <w:szCs w:val="21"/>
                    </w:rPr>
                  </w:pPr>
                  <w:r>
                    <w:rPr>
                      <w:rFonts w:hint="eastAsia"/>
                      <w:color w:val="auto"/>
                      <w:szCs w:val="21"/>
                    </w:rPr>
                    <w:t>/</w:t>
                  </w:r>
                </w:p>
              </w:tc>
              <w:tc>
                <w:tcPr>
                  <w:tcW w:w="972" w:type="dxa"/>
                  <w:shd w:val="clear" w:color="auto" w:fill="auto"/>
                  <w:vAlign w:val="center"/>
                </w:tcPr>
                <w:p w14:paraId="23CBC4EB">
                  <w:pPr>
                    <w:pStyle w:val="2"/>
                    <w:snapToGrid w:val="0"/>
                    <w:ind w:firstLine="0" w:firstLineChars="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03</w:t>
                  </w:r>
                </w:p>
              </w:tc>
              <w:tc>
                <w:tcPr>
                  <w:tcW w:w="900" w:type="dxa"/>
                  <w:vMerge w:val="continue"/>
                  <w:shd w:val="clear" w:color="auto" w:fill="auto"/>
                  <w:vAlign w:val="center"/>
                </w:tcPr>
                <w:p w14:paraId="5CFC1726">
                  <w:pPr>
                    <w:pStyle w:val="2"/>
                    <w:snapToGrid w:val="0"/>
                    <w:ind w:firstLine="0" w:firstLineChars="0"/>
                    <w:jc w:val="center"/>
                    <w:rPr>
                      <w:color w:val="auto"/>
                      <w:szCs w:val="21"/>
                    </w:rPr>
                  </w:pPr>
                </w:p>
              </w:tc>
              <w:tc>
                <w:tcPr>
                  <w:tcW w:w="648" w:type="dxa"/>
                  <w:vMerge w:val="continue"/>
                  <w:shd w:val="clear" w:color="auto" w:fill="auto"/>
                  <w:vAlign w:val="center"/>
                </w:tcPr>
                <w:p w14:paraId="0E13BEEA">
                  <w:pPr>
                    <w:pStyle w:val="2"/>
                    <w:snapToGrid w:val="0"/>
                    <w:ind w:firstLine="0" w:firstLineChars="0"/>
                    <w:jc w:val="center"/>
                    <w:rPr>
                      <w:color w:val="auto"/>
                      <w:szCs w:val="21"/>
                    </w:rPr>
                  </w:pPr>
                </w:p>
              </w:tc>
              <w:tc>
                <w:tcPr>
                  <w:tcW w:w="660" w:type="dxa"/>
                  <w:vMerge w:val="continue"/>
                  <w:shd w:val="clear" w:color="auto" w:fill="auto"/>
                  <w:vAlign w:val="center"/>
                </w:tcPr>
                <w:p w14:paraId="68CB2131">
                  <w:pPr>
                    <w:jc w:val="center"/>
                    <w:rPr>
                      <w:color w:val="auto"/>
                      <w:szCs w:val="21"/>
                    </w:rPr>
                  </w:pPr>
                </w:p>
              </w:tc>
              <w:tc>
                <w:tcPr>
                  <w:tcW w:w="960" w:type="dxa"/>
                  <w:shd w:val="clear" w:color="auto" w:fill="auto"/>
                  <w:vAlign w:val="center"/>
                </w:tcPr>
                <w:p w14:paraId="4C882243">
                  <w:pPr>
                    <w:pStyle w:val="2"/>
                    <w:snapToGrid w:val="0"/>
                    <w:ind w:firstLine="0" w:firstLineChars="0"/>
                    <w:jc w:val="center"/>
                    <w:rPr>
                      <w:color w:val="auto"/>
                      <w:szCs w:val="21"/>
                    </w:rPr>
                  </w:pPr>
                  <w:r>
                    <w:rPr>
                      <w:rFonts w:hint="eastAsia"/>
                      <w:color w:val="auto"/>
                      <w:szCs w:val="21"/>
                    </w:rPr>
                    <w:t>/</w:t>
                  </w:r>
                </w:p>
              </w:tc>
              <w:tc>
                <w:tcPr>
                  <w:tcW w:w="1068" w:type="dxa"/>
                  <w:shd w:val="clear" w:color="auto" w:fill="auto"/>
                  <w:vAlign w:val="center"/>
                </w:tcPr>
                <w:p w14:paraId="6490A62C">
                  <w:pPr>
                    <w:pStyle w:val="2"/>
                    <w:snapToGrid w:val="0"/>
                    <w:ind w:firstLine="0" w:firstLineChars="0"/>
                    <w:jc w:val="center"/>
                    <w:rPr>
                      <w:color w:val="auto"/>
                      <w:szCs w:val="21"/>
                    </w:rPr>
                  </w:pPr>
                  <w:r>
                    <w:rPr>
                      <w:rFonts w:hint="eastAsia"/>
                      <w:color w:val="auto"/>
                      <w:szCs w:val="21"/>
                    </w:rPr>
                    <w:t>/</w:t>
                  </w:r>
                </w:p>
              </w:tc>
              <w:tc>
                <w:tcPr>
                  <w:tcW w:w="948" w:type="dxa"/>
                  <w:tcBorders>
                    <w:right w:val="single" w:color="auto" w:sz="4" w:space="0"/>
                  </w:tcBorders>
                  <w:shd w:val="clear" w:color="auto" w:fill="auto"/>
                  <w:vAlign w:val="center"/>
                </w:tcPr>
                <w:p w14:paraId="5D554E21">
                  <w:pPr>
                    <w:pStyle w:val="2"/>
                    <w:snapToGrid w:val="0"/>
                    <w:ind w:firstLine="0" w:firstLineChars="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03</w:t>
                  </w:r>
                </w:p>
              </w:tc>
              <w:tc>
                <w:tcPr>
                  <w:tcW w:w="700" w:type="dxa"/>
                  <w:vMerge w:val="continue"/>
                  <w:tcBorders>
                    <w:left w:val="single" w:color="auto" w:sz="4" w:space="0"/>
                    <w:right w:val="single" w:color="auto" w:sz="4" w:space="0"/>
                  </w:tcBorders>
                  <w:shd w:val="clear" w:color="auto" w:fill="auto"/>
                  <w:vAlign w:val="center"/>
                </w:tcPr>
                <w:p w14:paraId="5BE831CF">
                  <w:pPr>
                    <w:pStyle w:val="2"/>
                    <w:snapToGrid w:val="0"/>
                    <w:ind w:firstLine="0" w:firstLineChars="0"/>
                    <w:jc w:val="center"/>
                    <w:rPr>
                      <w:color w:val="auto"/>
                      <w:szCs w:val="21"/>
                    </w:rPr>
                  </w:pPr>
                </w:p>
              </w:tc>
            </w:tr>
            <w:tr w14:paraId="1C195D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84" w:type="dxa"/>
                  <w:vMerge w:val="continue"/>
                  <w:tcBorders>
                    <w:left w:val="single" w:color="auto" w:sz="4" w:space="0"/>
                  </w:tcBorders>
                  <w:shd w:val="clear" w:color="auto" w:fill="auto"/>
                  <w:vAlign w:val="center"/>
                </w:tcPr>
                <w:p w14:paraId="52E20D2B">
                  <w:pPr>
                    <w:pStyle w:val="2"/>
                    <w:snapToGrid w:val="0"/>
                    <w:ind w:firstLine="0" w:firstLineChars="0"/>
                    <w:jc w:val="center"/>
                    <w:rPr>
                      <w:color w:val="auto"/>
                      <w:szCs w:val="21"/>
                    </w:rPr>
                  </w:pPr>
                </w:p>
              </w:tc>
              <w:tc>
                <w:tcPr>
                  <w:tcW w:w="644" w:type="dxa"/>
                  <w:vMerge w:val="continue"/>
                  <w:shd w:val="clear" w:color="auto" w:fill="auto"/>
                  <w:vAlign w:val="center"/>
                </w:tcPr>
                <w:p w14:paraId="28A0CFC5">
                  <w:pPr>
                    <w:pStyle w:val="2"/>
                    <w:snapToGrid w:val="0"/>
                    <w:ind w:firstLine="0" w:firstLineChars="0"/>
                    <w:jc w:val="center"/>
                    <w:rPr>
                      <w:color w:val="auto"/>
                      <w:szCs w:val="21"/>
                    </w:rPr>
                  </w:pPr>
                </w:p>
              </w:tc>
              <w:tc>
                <w:tcPr>
                  <w:tcW w:w="643" w:type="dxa"/>
                  <w:vMerge w:val="continue"/>
                  <w:shd w:val="clear" w:color="auto" w:fill="auto"/>
                  <w:vAlign w:val="center"/>
                </w:tcPr>
                <w:p w14:paraId="1CFBF1D1">
                  <w:pPr>
                    <w:pStyle w:val="2"/>
                    <w:snapToGrid w:val="0"/>
                    <w:ind w:firstLine="0" w:firstLineChars="0"/>
                    <w:jc w:val="center"/>
                    <w:rPr>
                      <w:color w:val="auto"/>
                      <w:szCs w:val="21"/>
                    </w:rPr>
                  </w:pPr>
                </w:p>
              </w:tc>
              <w:tc>
                <w:tcPr>
                  <w:tcW w:w="897" w:type="dxa"/>
                  <w:vMerge w:val="restart"/>
                  <w:shd w:val="clear" w:color="auto" w:fill="auto"/>
                  <w:vAlign w:val="center"/>
                </w:tcPr>
                <w:p w14:paraId="768E524B">
                  <w:pPr>
                    <w:pStyle w:val="2"/>
                    <w:snapToGrid w:val="0"/>
                    <w:ind w:firstLine="0" w:firstLineChars="0"/>
                    <w:jc w:val="center"/>
                    <w:rPr>
                      <w:rFonts w:hint="eastAsia" w:eastAsia="宋体"/>
                      <w:color w:val="auto"/>
                      <w:szCs w:val="21"/>
                      <w:lang w:eastAsia="zh-CN"/>
                    </w:rPr>
                  </w:pPr>
                  <w:r>
                    <w:rPr>
                      <w:rFonts w:hint="eastAsia"/>
                      <w:color w:val="auto"/>
                      <w:szCs w:val="21"/>
                      <w:lang w:eastAsia="zh-CN"/>
                    </w:rPr>
                    <w:t>苯乙烯</w:t>
                  </w:r>
                </w:p>
              </w:tc>
              <w:tc>
                <w:tcPr>
                  <w:tcW w:w="696" w:type="dxa"/>
                  <w:vMerge w:val="restart"/>
                  <w:shd w:val="clear" w:color="auto" w:fill="auto"/>
                  <w:vAlign w:val="center"/>
                </w:tcPr>
                <w:p w14:paraId="56A3448F">
                  <w:pPr>
                    <w:pStyle w:val="2"/>
                    <w:snapToGrid w:val="0"/>
                    <w:ind w:firstLine="0" w:firstLineChars="0"/>
                    <w:jc w:val="center"/>
                    <w:rPr>
                      <w:color w:val="auto"/>
                      <w:szCs w:val="21"/>
                    </w:rPr>
                  </w:pPr>
                  <w:r>
                    <w:rPr>
                      <w:color w:val="auto"/>
                      <w:szCs w:val="21"/>
                    </w:rPr>
                    <w:t>系数法</w:t>
                  </w:r>
                </w:p>
              </w:tc>
              <w:tc>
                <w:tcPr>
                  <w:tcW w:w="972" w:type="dxa"/>
                  <w:shd w:val="clear" w:color="auto" w:fill="auto"/>
                  <w:vAlign w:val="center"/>
                </w:tcPr>
                <w:p w14:paraId="5699E869">
                  <w:pPr>
                    <w:pStyle w:val="2"/>
                    <w:snapToGrid w:val="0"/>
                    <w:ind w:firstLine="0" w:firstLineChars="0"/>
                    <w:jc w:val="center"/>
                    <w:rPr>
                      <w:rFonts w:hint="default"/>
                      <w:color w:val="auto"/>
                      <w:szCs w:val="21"/>
                      <w:lang w:val="en-US"/>
                    </w:rPr>
                  </w:pPr>
                  <w:r>
                    <w:rPr>
                      <w:rFonts w:hint="eastAsia"/>
                      <w:color w:val="auto"/>
                      <w:szCs w:val="21"/>
                      <w:lang w:val="en-US" w:eastAsia="zh-CN"/>
                    </w:rPr>
                    <w:t>29000</w:t>
                  </w:r>
                </w:p>
              </w:tc>
              <w:tc>
                <w:tcPr>
                  <w:tcW w:w="1080" w:type="dxa"/>
                  <w:shd w:val="clear" w:color="auto" w:fill="auto"/>
                  <w:vAlign w:val="center"/>
                </w:tcPr>
                <w:p w14:paraId="4A78D91D">
                  <w:pPr>
                    <w:pStyle w:val="2"/>
                    <w:snapToGrid w:val="0"/>
                    <w:ind w:firstLine="0" w:firstLineChars="0"/>
                    <w:jc w:val="center"/>
                    <w:rPr>
                      <w:rFonts w:hint="default" w:eastAsia="宋体"/>
                      <w:color w:val="auto"/>
                      <w:szCs w:val="21"/>
                      <w:lang w:val="en-US" w:eastAsia="zh-CN"/>
                    </w:rPr>
                  </w:pPr>
                  <w:r>
                    <w:rPr>
                      <w:rFonts w:hint="eastAsia"/>
                      <w:color w:val="auto"/>
                      <w:szCs w:val="21"/>
                      <w:lang w:val="en-US" w:eastAsia="zh-CN"/>
                    </w:rPr>
                    <w:t>0.1</w:t>
                  </w:r>
                </w:p>
              </w:tc>
              <w:tc>
                <w:tcPr>
                  <w:tcW w:w="972" w:type="dxa"/>
                  <w:shd w:val="clear" w:color="auto" w:fill="auto"/>
                  <w:vAlign w:val="center"/>
                </w:tcPr>
                <w:p w14:paraId="5EF67C21">
                  <w:pPr>
                    <w:pStyle w:val="2"/>
                    <w:snapToGrid w:val="0"/>
                    <w:ind w:firstLine="0" w:firstLineChars="0"/>
                    <w:jc w:val="center"/>
                    <w:rPr>
                      <w:rFonts w:hint="default" w:eastAsia="宋体"/>
                      <w:color w:val="auto"/>
                      <w:szCs w:val="21"/>
                      <w:lang w:val="en-US" w:eastAsia="zh-CN"/>
                    </w:rPr>
                  </w:pPr>
                  <w:r>
                    <w:rPr>
                      <w:rFonts w:hint="eastAsia"/>
                      <w:color w:val="auto"/>
                      <w:szCs w:val="21"/>
                      <w:lang w:val="en-US" w:eastAsia="zh-CN"/>
                    </w:rPr>
                    <w:t>0.0026</w:t>
                  </w:r>
                </w:p>
              </w:tc>
              <w:tc>
                <w:tcPr>
                  <w:tcW w:w="900" w:type="dxa"/>
                  <w:vMerge w:val="restart"/>
                  <w:shd w:val="clear" w:color="auto" w:fill="auto"/>
                  <w:vAlign w:val="center"/>
                </w:tcPr>
                <w:p w14:paraId="0206AB17">
                  <w:pPr>
                    <w:pStyle w:val="2"/>
                    <w:snapToGrid w:val="0"/>
                    <w:ind w:firstLine="0" w:firstLineChars="0"/>
                    <w:jc w:val="center"/>
                    <w:rPr>
                      <w:color w:val="auto"/>
                      <w:szCs w:val="21"/>
                    </w:rPr>
                  </w:pPr>
                  <w:r>
                    <w:rPr>
                      <w:rFonts w:hint="eastAsia"/>
                      <w:color w:val="auto"/>
                      <w:szCs w:val="21"/>
                    </w:rPr>
                    <w:t>活性炭</w:t>
                  </w:r>
                </w:p>
              </w:tc>
              <w:tc>
                <w:tcPr>
                  <w:tcW w:w="648" w:type="dxa"/>
                  <w:vMerge w:val="restart"/>
                  <w:shd w:val="clear" w:color="auto" w:fill="auto"/>
                  <w:vAlign w:val="center"/>
                </w:tcPr>
                <w:p w14:paraId="1B217857">
                  <w:pPr>
                    <w:pStyle w:val="2"/>
                    <w:snapToGrid w:val="0"/>
                    <w:ind w:firstLine="0" w:firstLineChars="0"/>
                    <w:jc w:val="center"/>
                    <w:rPr>
                      <w:color w:val="auto"/>
                      <w:szCs w:val="21"/>
                    </w:rPr>
                  </w:pPr>
                  <w:r>
                    <w:rPr>
                      <w:rFonts w:hint="eastAsia"/>
                      <w:color w:val="auto"/>
                      <w:szCs w:val="21"/>
                    </w:rPr>
                    <w:t>80%</w:t>
                  </w:r>
                </w:p>
              </w:tc>
              <w:tc>
                <w:tcPr>
                  <w:tcW w:w="660" w:type="dxa"/>
                  <w:vMerge w:val="restart"/>
                  <w:shd w:val="clear" w:color="auto" w:fill="auto"/>
                  <w:vAlign w:val="center"/>
                </w:tcPr>
                <w:p w14:paraId="777BF24D">
                  <w:pPr>
                    <w:jc w:val="center"/>
                    <w:rPr>
                      <w:color w:val="auto"/>
                      <w:szCs w:val="21"/>
                    </w:rPr>
                  </w:pPr>
                  <w:r>
                    <w:rPr>
                      <w:color w:val="auto"/>
                      <w:szCs w:val="21"/>
                    </w:rPr>
                    <w:t>效率核算</w:t>
                  </w:r>
                </w:p>
              </w:tc>
              <w:tc>
                <w:tcPr>
                  <w:tcW w:w="960" w:type="dxa"/>
                  <w:shd w:val="clear" w:color="auto" w:fill="auto"/>
                  <w:vAlign w:val="center"/>
                </w:tcPr>
                <w:p w14:paraId="4B850952">
                  <w:pPr>
                    <w:pStyle w:val="2"/>
                    <w:snapToGrid w:val="0"/>
                    <w:ind w:firstLine="0" w:firstLineChars="0"/>
                    <w:jc w:val="center"/>
                    <w:rPr>
                      <w:rFonts w:hint="default" w:eastAsia="宋体"/>
                      <w:color w:val="auto"/>
                      <w:szCs w:val="21"/>
                      <w:lang w:val="en-US" w:eastAsia="zh-CN"/>
                    </w:rPr>
                  </w:pPr>
                  <w:r>
                    <w:rPr>
                      <w:rFonts w:hint="eastAsia"/>
                      <w:color w:val="auto"/>
                      <w:szCs w:val="21"/>
                      <w:lang w:val="en-US" w:eastAsia="zh-CN"/>
                    </w:rPr>
                    <w:t>29000</w:t>
                  </w:r>
                </w:p>
              </w:tc>
              <w:tc>
                <w:tcPr>
                  <w:tcW w:w="1068" w:type="dxa"/>
                  <w:shd w:val="clear" w:color="auto" w:fill="auto"/>
                  <w:vAlign w:val="center"/>
                </w:tcPr>
                <w:p w14:paraId="04DFC6A0">
                  <w:pPr>
                    <w:pStyle w:val="2"/>
                    <w:snapToGrid w:val="0"/>
                    <w:ind w:firstLine="0" w:firstLineChars="0"/>
                    <w:jc w:val="center"/>
                    <w:rPr>
                      <w:rFonts w:hint="default" w:eastAsia="宋体"/>
                      <w:color w:val="auto"/>
                      <w:szCs w:val="21"/>
                      <w:lang w:val="en-US" w:eastAsia="zh-CN"/>
                    </w:rPr>
                  </w:pPr>
                  <w:r>
                    <w:rPr>
                      <w:rFonts w:hint="eastAsia"/>
                      <w:color w:val="auto"/>
                      <w:szCs w:val="21"/>
                      <w:lang w:val="en-US" w:eastAsia="zh-CN"/>
                    </w:rPr>
                    <w:t>0.02</w:t>
                  </w:r>
                </w:p>
              </w:tc>
              <w:tc>
                <w:tcPr>
                  <w:tcW w:w="948" w:type="dxa"/>
                  <w:tcBorders>
                    <w:right w:val="single" w:color="auto" w:sz="4" w:space="0"/>
                  </w:tcBorders>
                  <w:shd w:val="clear" w:color="auto" w:fill="auto"/>
                  <w:vAlign w:val="center"/>
                </w:tcPr>
                <w:p w14:paraId="0FF5F15C">
                  <w:pPr>
                    <w:pStyle w:val="2"/>
                    <w:snapToGrid w:val="0"/>
                    <w:ind w:firstLine="0" w:firstLineChars="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005</w:t>
                  </w:r>
                </w:p>
              </w:tc>
              <w:tc>
                <w:tcPr>
                  <w:tcW w:w="700" w:type="dxa"/>
                  <w:vMerge w:val="continue"/>
                  <w:tcBorders>
                    <w:left w:val="single" w:color="auto" w:sz="4" w:space="0"/>
                    <w:right w:val="single" w:color="auto" w:sz="4" w:space="0"/>
                  </w:tcBorders>
                  <w:shd w:val="clear" w:color="auto" w:fill="auto"/>
                  <w:vAlign w:val="center"/>
                </w:tcPr>
                <w:p w14:paraId="54D9AA34">
                  <w:pPr>
                    <w:pStyle w:val="2"/>
                    <w:snapToGrid w:val="0"/>
                    <w:ind w:firstLine="0" w:firstLineChars="0"/>
                    <w:jc w:val="center"/>
                    <w:rPr>
                      <w:color w:val="auto"/>
                      <w:szCs w:val="21"/>
                    </w:rPr>
                  </w:pPr>
                </w:p>
              </w:tc>
            </w:tr>
            <w:tr w14:paraId="650E60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84" w:type="dxa"/>
                  <w:vMerge w:val="continue"/>
                  <w:tcBorders>
                    <w:left w:val="single" w:color="auto" w:sz="4" w:space="0"/>
                  </w:tcBorders>
                  <w:shd w:val="clear" w:color="auto" w:fill="auto"/>
                  <w:vAlign w:val="center"/>
                </w:tcPr>
                <w:p w14:paraId="5F25FC39">
                  <w:pPr>
                    <w:pStyle w:val="2"/>
                    <w:snapToGrid w:val="0"/>
                    <w:ind w:firstLine="0" w:firstLineChars="0"/>
                    <w:jc w:val="center"/>
                  </w:pPr>
                </w:p>
              </w:tc>
              <w:tc>
                <w:tcPr>
                  <w:tcW w:w="644" w:type="dxa"/>
                  <w:vMerge w:val="continue"/>
                  <w:shd w:val="clear" w:color="auto" w:fill="auto"/>
                  <w:vAlign w:val="center"/>
                </w:tcPr>
                <w:p w14:paraId="096AA0E7">
                  <w:pPr>
                    <w:pStyle w:val="2"/>
                    <w:snapToGrid w:val="0"/>
                    <w:ind w:firstLine="0" w:firstLineChars="0"/>
                    <w:jc w:val="center"/>
                  </w:pPr>
                </w:p>
              </w:tc>
              <w:tc>
                <w:tcPr>
                  <w:tcW w:w="643" w:type="dxa"/>
                  <w:vMerge w:val="continue"/>
                  <w:shd w:val="clear" w:color="auto" w:fill="auto"/>
                  <w:vAlign w:val="center"/>
                </w:tcPr>
                <w:p w14:paraId="252F0342">
                  <w:pPr>
                    <w:pStyle w:val="2"/>
                    <w:snapToGrid w:val="0"/>
                    <w:ind w:firstLine="0" w:firstLineChars="0"/>
                    <w:jc w:val="center"/>
                  </w:pPr>
                </w:p>
              </w:tc>
              <w:tc>
                <w:tcPr>
                  <w:tcW w:w="897" w:type="dxa"/>
                  <w:vMerge w:val="continue"/>
                  <w:shd w:val="clear" w:color="auto" w:fill="auto"/>
                  <w:vAlign w:val="center"/>
                </w:tcPr>
                <w:p w14:paraId="703C0864">
                  <w:pPr>
                    <w:pStyle w:val="2"/>
                    <w:snapToGrid w:val="0"/>
                    <w:ind w:firstLine="0" w:firstLineChars="0"/>
                    <w:jc w:val="center"/>
                  </w:pPr>
                </w:p>
              </w:tc>
              <w:tc>
                <w:tcPr>
                  <w:tcW w:w="696" w:type="dxa"/>
                  <w:vMerge w:val="continue"/>
                  <w:shd w:val="clear" w:color="auto" w:fill="auto"/>
                  <w:vAlign w:val="center"/>
                </w:tcPr>
                <w:p w14:paraId="4E1349A6">
                  <w:pPr>
                    <w:pStyle w:val="2"/>
                    <w:snapToGrid w:val="0"/>
                    <w:ind w:firstLine="0" w:firstLineChars="0"/>
                    <w:jc w:val="center"/>
                  </w:pPr>
                </w:p>
              </w:tc>
              <w:tc>
                <w:tcPr>
                  <w:tcW w:w="972" w:type="dxa"/>
                  <w:shd w:val="clear" w:color="auto" w:fill="auto"/>
                  <w:vAlign w:val="center"/>
                </w:tcPr>
                <w:p w14:paraId="34ADCA5B">
                  <w:pPr>
                    <w:pStyle w:val="2"/>
                    <w:snapToGrid w:val="0"/>
                    <w:ind w:firstLine="0" w:firstLineChars="0"/>
                    <w:jc w:val="center"/>
                    <w:rPr>
                      <w:rFonts w:hint="eastAsia"/>
                      <w:color w:val="auto"/>
                      <w:szCs w:val="21"/>
                    </w:rPr>
                  </w:pPr>
                  <w:r>
                    <w:rPr>
                      <w:rFonts w:hint="eastAsia"/>
                      <w:color w:val="auto"/>
                      <w:szCs w:val="21"/>
                    </w:rPr>
                    <w:t>/</w:t>
                  </w:r>
                </w:p>
              </w:tc>
              <w:tc>
                <w:tcPr>
                  <w:tcW w:w="1080" w:type="dxa"/>
                  <w:shd w:val="clear" w:color="auto" w:fill="auto"/>
                  <w:vAlign w:val="center"/>
                </w:tcPr>
                <w:p w14:paraId="6249810C">
                  <w:pPr>
                    <w:pStyle w:val="2"/>
                    <w:snapToGrid w:val="0"/>
                    <w:ind w:firstLine="0" w:firstLineChars="0"/>
                    <w:jc w:val="center"/>
                    <w:rPr>
                      <w:rFonts w:hint="eastAsia"/>
                      <w:color w:val="auto"/>
                      <w:szCs w:val="21"/>
                    </w:rPr>
                  </w:pPr>
                  <w:r>
                    <w:rPr>
                      <w:rFonts w:hint="eastAsia"/>
                      <w:color w:val="auto"/>
                      <w:szCs w:val="21"/>
                    </w:rPr>
                    <w:t>/</w:t>
                  </w:r>
                </w:p>
              </w:tc>
              <w:tc>
                <w:tcPr>
                  <w:tcW w:w="972" w:type="dxa"/>
                  <w:shd w:val="clear" w:color="auto" w:fill="auto"/>
                  <w:vAlign w:val="center"/>
                </w:tcPr>
                <w:p w14:paraId="65AA9C81">
                  <w:pPr>
                    <w:pStyle w:val="2"/>
                    <w:snapToGrid w:val="0"/>
                    <w:ind w:firstLine="0" w:firstLineChars="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001</w:t>
                  </w:r>
                </w:p>
              </w:tc>
              <w:tc>
                <w:tcPr>
                  <w:tcW w:w="900" w:type="dxa"/>
                  <w:vMerge w:val="continue"/>
                  <w:shd w:val="clear" w:color="auto" w:fill="auto"/>
                  <w:vAlign w:val="center"/>
                </w:tcPr>
                <w:p w14:paraId="591D74CF">
                  <w:pPr>
                    <w:pStyle w:val="2"/>
                    <w:snapToGrid w:val="0"/>
                    <w:ind w:firstLine="0" w:firstLineChars="0"/>
                    <w:jc w:val="center"/>
                    <w:rPr>
                      <w:rFonts w:hint="eastAsia"/>
                      <w:color w:val="auto"/>
                      <w:szCs w:val="21"/>
                    </w:rPr>
                  </w:pPr>
                </w:p>
              </w:tc>
              <w:tc>
                <w:tcPr>
                  <w:tcW w:w="648" w:type="dxa"/>
                  <w:vMerge w:val="continue"/>
                  <w:shd w:val="clear" w:color="auto" w:fill="auto"/>
                  <w:vAlign w:val="center"/>
                </w:tcPr>
                <w:p w14:paraId="14ABB5DE">
                  <w:pPr>
                    <w:pStyle w:val="2"/>
                    <w:snapToGrid w:val="0"/>
                    <w:ind w:firstLine="0" w:firstLineChars="0"/>
                    <w:jc w:val="center"/>
                    <w:rPr>
                      <w:rFonts w:hint="eastAsia"/>
                      <w:color w:val="auto"/>
                      <w:szCs w:val="21"/>
                    </w:rPr>
                  </w:pPr>
                </w:p>
              </w:tc>
              <w:tc>
                <w:tcPr>
                  <w:tcW w:w="660" w:type="dxa"/>
                  <w:vMerge w:val="continue"/>
                  <w:shd w:val="clear" w:color="auto" w:fill="auto"/>
                  <w:vAlign w:val="center"/>
                </w:tcPr>
                <w:p w14:paraId="701E3746">
                  <w:pPr>
                    <w:pStyle w:val="2"/>
                    <w:snapToGrid w:val="0"/>
                    <w:ind w:firstLine="0" w:firstLineChars="0"/>
                    <w:jc w:val="center"/>
                    <w:rPr>
                      <w:rFonts w:hint="eastAsia"/>
                      <w:color w:val="auto"/>
                      <w:szCs w:val="21"/>
                    </w:rPr>
                  </w:pPr>
                </w:p>
              </w:tc>
              <w:tc>
                <w:tcPr>
                  <w:tcW w:w="960" w:type="dxa"/>
                  <w:shd w:val="clear" w:color="auto" w:fill="auto"/>
                  <w:vAlign w:val="center"/>
                </w:tcPr>
                <w:p w14:paraId="4679F3B8">
                  <w:pPr>
                    <w:pStyle w:val="2"/>
                    <w:snapToGrid w:val="0"/>
                    <w:ind w:firstLine="0" w:firstLineChars="0"/>
                    <w:jc w:val="center"/>
                    <w:rPr>
                      <w:rFonts w:hint="eastAsia"/>
                      <w:color w:val="auto"/>
                      <w:szCs w:val="21"/>
                    </w:rPr>
                  </w:pPr>
                  <w:r>
                    <w:rPr>
                      <w:rFonts w:hint="eastAsia"/>
                      <w:color w:val="auto"/>
                      <w:szCs w:val="21"/>
                    </w:rPr>
                    <w:t>/</w:t>
                  </w:r>
                </w:p>
              </w:tc>
              <w:tc>
                <w:tcPr>
                  <w:tcW w:w="1068" w:type="dxa"/>
                  <w:shd w:val="clear" w:color="auto" w:fill="auto"/>
                  <w:vAlign w:val="center"/>
                </w:tcPr>
                <w:p w14:paraId="1464C823">
                  <w:pPr>
                    <w:pStyle w:val="2"/>
                    <w:snapToGrid w:val="0"/>
                    <w:ind w:firstLine="0" w:firstLineChars="0"/>
                    <w:jc w:val="center"/>
                    <w:rPr>
                      <w:rFonts w:hint="eastAsia"/>
                      <w:color w:val="auto"/>
                      <w:szCs w:val="21"/>
                    </w:rPr>
                  </w:pPr>
                  <w:r>
                    <w:rPr>
                      <w:rFonts w:hint="eastAsia"/>
                      <w:color w:val="auto"/>
                      <w:szCs w:val="21"/>
                    </w:rPr>
                    <w:t>/</w:t>
                  </w:r>
                </w:p>
              </w:tc>
              <w:tc>
                <w:tcPr>
                  <w:tcW w:w="948" w:type="dxa"/>
                  <w:tcBorders>
                    <w:right w:val="single" w:color="auto" w:sz="4" w:space="0"/>
                  </w:tcBorders>
                  <w:shd w:val="clear" w:color="auto" w:fill="auto"/>
                  <w:vAlign w:val="center"/>
                </w:tcPr>
                <w:p w14:paraId="0B8BD549">
                  <w:pPr>
                    <w:pStyle w:val="2"/>
                    <w:snapToGrid w:val="0"/>
                    <w:ind w:firstLine="0" w:firstLineChars="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001</w:t>
                  </w:r>
                </w:p>
              </w:tc>
              <w:tc>
                <w:tcPr>
                  <w:tcW w:w="700" w:type="dxa"/>
                  <w:vMerge w:val="continue"/>
                  <w:tcBorders>
                    <w:left w:val="single" w:color="auto" w:sz="4" w:space="0"/>
                    <w:right w:val="single" w:color="auto" w:sz="4" w:space="0"/>
                  </w:tcBorders>
                  <w:shd w:val="clear" w:color="auto" w:fill="auto"/>
                  <w:vAlign w:val="center"/>
                </w:tcPr>
                <w:p w14:paraId="1C85D12D">
                  <w:pPr>
                    <w:pStyle w:val="2"/>
                    <w:snapToGrid w:val="0"/>
                    <w:ind w:firstLine="0" w:firstLineChars="0"/>
                    <w:jc w:val="center"/>
                    <w:rPr>
                      <w:rFonts w:hint="eastAsia"/>
                      <w:color w:val="auto"/>
                      <w:szCs w:val="21"/>
                    </w:rPr>
                  </w:pPr>
                </w:p>
              </w:tc>
            </w:tr>
            <w:tr w14:paraId="613086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tcBorders>
                    <w:left w:val="single" w:color="auto" w:sz="4" w:space="0"/>
                  </w:tcBorders>
                  <w:shd w:val="clear" w:color="auto" w:fill="auto"/>
                  <w:vAlign w:val="center"/>
                </w:tcPr>
                <w:p w14:paraId="6C160F38">
                  <w:pPr>
                    <w:pStyle w:val="2"/>
                    <w:snapToGrid w:val="0"/>
                    <w:ind w:left="0" w:leftChars="0" w:firstLine="0" w:firstLineChars="0"/>
                    <w:jc w:val="center"/>
                    <w:rPr>
                      <w:szCs w:val="21"/>
                    </w:rPr>
                  </w:pPr>
                  <w:r>
                    <w:rPr>
                      <w:rFonts w:hint="eastAsia"/>
                      <w:szCs w:val="21"/>
                    </w:rPr>
                    <w:t>焊接</w:t>
                  </w:r>
                </w:p>
              </w:tc>
              <w:tc>
                <w:tcPr>
                  <w:tcW w:w="644" w:type="dxa"/>
                  <w:shd w:val="clear" w:color="auto" w:fill="auto"/>
                  <w:vAlign w:val="center"/>
                </w:tcPr>
                <w:p w14:paraId="71ED8CF3">
                  <w:pPr>
                    <w:pStyle w:val="2"/>
                    <w:snapToGrid w:val="0"/>
                    <w:ind w:left="0" w:leftChars="0" w:firstLine="0" w:firstLineChars="0"/>
                    <w:jc w:val="center"/>
                    <w:rPr>
                      <w:szCs w:val="21"/>
                    </w:rPr>
                  </w:pPr>
                  <w:r>
                    <w:rPr>
                      <w:rFonts w:hint="eastAsia"/>
                      <w:szCs w:val="21"/>
                    </w:rPr>
                    <w:t>焊机</w:t>
                  </w:r>
                </w:p>
              </w:tc>
              <w:tc>
                <w:tcPr>
                  <w:tcW w:w="643" w:type="dxa"/>
                  <w:shd w:val="clear" w:color="auto" w:fill="auto"/>
                  <w:vAlign w:val="center"/>
                </w:tcPr>
                <w:p w14:paraId="3B533E9E">
                  <w:pPr>
                    <w:pStyle w:val="2"/>
                    <w:snapToGrid w:val="0"/>
                    <w:ind w:left="0" w:leftChars="0" w:firstLine="0" w:firstLineChars="0"/>
                    <w:jc w:val="center"/>
                    <w:rPr>
                      <w:szCs w:val="21"/>
                    </w:rPr>
                  </w:pPr>
                  <w:r>
                    <w:rPr>
                      <w:rFonts w:hint="eastAsia"/>
                      <w:szCs w:val="21"/>
                    </w:rPr>
                    <w:t>焊接废气</w:t>
                  </w:r>
                </w:p>
              </w:tc>
              <w:tc>
                <w:tcPr>
                  <w:tcW w:w="897" w:type="dxa"/>
                  <w:shd w:val="clear" w:color="auto" w:fill="auto"/>
                  <w:vAlign w:val="center"/>
                </w:tcPr>
                <w:p w14:paraId="59F93C79">
                  <w:pPr>
                    <w:pStyle w:val="2"/>
                    <w:snapToGrid w:val="0"/>
                    <w:ind w:left="0" w:leftChars="0" w:firstLine="0" w:firstLineChars="0"/>
                    <w:jc w:val="center"/>
                    <w:rPr>
                      <w:szCs w:val="21"/>
                    </w:rPr>
                  </w:pPr>
                  <w:r>
                    <w:rPr>
                      <w:rFonts w:hint="eastAsia"/>
                      <w:szCs w:val="21"/>
                    </w:rPr>
                    <w:t>烟尘</w:t>
                  </w:r>
                </w:p>
              </w:tc>
              <w:tc>
                <w:tcPr>
                  <w:tcW w:w="696" w:type="dxa"/>
                  <w:shd w:val="clear" w:color="auto" w:fill="auto"/>
                  <w:vAlign w:val="center"/>
                </w:tcPr>
                <w:p w14:paraId="3A98506F">
                  <w:pPr>
                    <w:pStyle w:val="2"/>
                    <w:snapToGrid w:val="0"/>
                    <w:ind w:left="0" w:leftChars="0" w:firstLine="0" w:firstLineChars="0"/>
                    <w:jc w:val="center"/>
                    <w:rPr>
                      <w:szCs w:val="21"/>
                    </w:rPr>
                  </w:pPr>
                  <w:r>
                    <w:rPr>
                      <w:szCs w:val="21"/>
                    </w:rPr>
                    <w:t>系数法</w:t>
                  </w:r>
                </w:p>
              </w:tc>
              <w:tc>
                <w:tcPr>
                  <w:tcW w:w="972" w:type="dxa"/>
                  <w:shd w:val="clear" w:color="auto" w:fill="auto"/>
                  <w:vAlign w:val="center"/>
                </w:tcPr>
                <w:p w14:paraId="4744E5B6">
                  <w:pPr>
                    <w:pStyle w:val="2"/>
                    <w:snapToGrid w:val="0"/>
                    <w:ind w:left="0" w:leftChars="0" w:firstLine="0" w:firstLineChars="0"/>
                    <w:jc w:val="center"/>
                    <w:rPr>
                      <w:rFonts w:hint="eastAsia" w:eastAsia="宋体"/>
                      <w:szCs w:val="21"/>
                      <w:lang w:eastAsia="zh-CN"/>
                    </w:rPr>
                  </w:pPr>
                  <w:r>
                    <w:rPr>
                      <w:rFonts w:hint="eastAsia"/>
                      <w:szCs w:val="21"/>
                      <w:lang w:val="en-US" w:eastAsia="zh-CN"/>
                    </w:rPr>
                    <w:t>/</w:t>
                  </w:r>
                </w:p>
              </w:tc>
              <w:tc>
                <w:tcPr>
                  <w:tcW w:w="1080" w:type="dxa"/>
                  <w:shd w:val="clear" w:color="auto" w:fill="auto"/>
                  <w:vAlign w:val="center"/>
                </w:tcPr>
                <w:p w14:paraId="306DA0D1">
                  <w:pPr>
                    <w:pStyle w:val="2"/>
                    <w:snapToGrid w:val="0"/>
                    <w:ind w:firstLine="0"/>
                    <w:jc w:val="center"/>
                    <w:rPr>
                      <w:rFonts w:hint="eastAsia" w:eastAsia="宋体"/>
                      <w:szCs w:val="21"/>
                      <w:lang w:eastAsia="zh-CN"/>
                    </w:rPr>
                  </w:pPr>
                  <w:r>
                    <w:rPr>
                      <w:rFonts w:hint="eastAsia"/>
                      <w:szCs w:val="21"/>
                      <w:lang w:val="en-US" w:eastAsia="zh-CN"/>
                    </w:rPr>
                    <w:t>/</w:t>
                  </w:r>
                </w:p>
              </w:tc>
              <w:tc>
                <w:tcPr>
                  <w:tcW w:w="972" w:type="dxa"/>
                  <w:shd w:val="clear" w:color="auto" w:fill="auto"/>
                  <w:vAlign w:val="center"/>
                </w:tcPr>
                <w:p w14:paraId="73F64479">
                  <w:pPr>
                    <w:pStyle w:val="2"/>
                    <w:snapToGrid w:val="0"/>
                    <w:ind w:left="0" w:leftChars="0" w:firstLine="0" w:firstLineChars="0"/>
                    <w:jc w:val="center"/>
                    <w:rPr>
                      <w:rFonts w:hint="default" w:eastAsia="宋体"/>
                      <w:szCs w:val="21"/>
                      <w:lang w:val="en-US" w:eastAsia="zh-CN"/>
                    </w:rPr>
                  </w:pPr>
                  <w:r>
                    <w:rPr>
                      <w:rFonts w:hint="eastAsia"/>
                      <w:szCs w:val="21"/>
                      <w:lang w:val="en-US" w:eastAsia="zh-CN"/>
                    </w:rPr>
                    <w:t>0.046</w:t>
                  </w:r>
                </w:p>
              </w:tc>
              <w:tc>
                <w:tcPr>
                  <w:tcW w:w="900" w:type="dxa"/>
                  <w:shd w:val="clear" w:color="auto" w:fill="auto"/>
                  <w:vAlign w:val="center"/>
                </w:tcPr>
                <w:p w14:paraId="1D66A810">
                  <w:pPr>
                    <w:pStyle w:val="2"/>
                    <w:snapToGrid w:val="0"/>
                    <w:ind w:left="0" w:leftChars="0" w:firstLine="0" w:firstLineChars="0"/>
                    <w:jc w:val="both"/>
                    <w:rPr>
                      <w:szCs w:val="21"/>
                    </w:rPr>
                  </w:pPr>
                  <w:r>
                    <w:rPr>
                      <w:rFonts w:hint="eastAsia"/>
                      <w:szCs w:val="21"/>
                      <w:lang w:eastAsia="zh-CN"/>
                    </w:rPr>
                    <w:t>移动式焊烟</w:t>
                  </w:r>
                  <w:r>
                    <w:rPr>
                      <w:rFonts w:hint="eastAsia"/>
                      <w:szCs w:val="21"/>
                    </w:rPr>
                    <w:t>净化器</w:t>
                  </w:r>
                </w:p>
              </w:tc>
              <w:tc>
                <w:tcPr>
                  <w:tcW w:w="648" w:type="dxa"/>
                  <w:shd w:val="clear" w:color="auto" w:fill="auto"/>
                  <w:vAlign w:val="center"/>
                </w:tcPr>
                <w:p w14:paraId="13B41004">
                  <w:pPr>
                    <w:pStyle w:val="2"/>
                    <w:snapToGrid w:val="0"/>
                    <w:ind w:left="0" w:leftChars="0" w:firstLine="0" w:firstLineChars="0"/>
                    <w:jc w:val="center"/>
                    <w:rPr>
                      <w:szCs w:val="21"/>
                    </w:rPr>
                  </w:pPr>
                  <w:r>
                    <w:rPr>
                      <w:rFonts w:hint="eastAsia"/>
                      <w:szCs w:val="21"/>
                    </w:rPr>
                    <w:t>90%</w:t>
                  </w:r>
                </w:p>
              </w:tc>
              <w:tc>
                <w:tcPr>
                  <w:tcW w:w="660" w:type="dxa"/>
                  <w:shd w:val="clear" w:color="auto" w:fill="auto"/>
                  <w:vAlign w:val="center"/>
                </w:tcPr>
                <w:p w14:paraId="1C71F087">
                  <w:pPr>
                    <w:jc w:val="center"/>
                    <w:rPr>
                      <w:szCs w:val="21"/>
                    </w:rPr>
                  </w:pPr>
                  <w:r>
                    <w:rPr>
                      <w:szCs w:val="21"/>
                    </w:rPr>
                    <w:t>效率核算</w:t>
                  </w:r>
                </w:p>
              </w:tc>
              <w:tc>
                <w:tcPr>
                  <w:tcW w:w="960" w:type="dxa"/>
                  <w:shd w:val="clear" w:color="auto" w:fill="auto"/>
                  <w:vAlign w:val="center"/>
                </w:tcPr>
                <w:p w14:paraId="31221D92">
                  <w:pPr>
                    <w:pStyle w:val="2"/>
                    <w:snapToGrid w:val="0"/>
                    <w:ind w:left="0" w:leftChars="0" w:firstLine="0" w:firstLineChars="0"/>
                    <w:jc w:val="center"/>
                    <w:rPr>
                      <w:rFonts w:hint="eastAsia" w:eastAsia="宋体"/>
                      <w:szCs w:val="21"/>
                      <w:lang w:eastAsia="zh-CN"/>
                    </w:rPr>
                  </w:pPr>
                  <w:r>
                    <w:rPr>
                      <w:rFonts w:hint="eastAsia"/>
                      <w:szCs w:val="21"/>
                      <w:lang w:val="en-US" w:eastAsia="zh-CN"/>
                    </w:rPr>
                    <w:t>/</w:t>
                  </w:r>
                </w:p>
              </w:tc>
              <w:tc>
                <w:tcPr>
                  <w:tcW w:w="1068" w:type="dxa"/>
                  <w:shd w:val="clear" w:color="auto" w:fill="auto"/>
                  <w:vAlign w:val="center"/>
                </w:tcPr>
                <w:p w14:paraId="12B35E83">
                  <w:pPr>
                    <w:pStyle w:val="2"/>
                    <w:snapToGrid w:val="0"/>
                    <w:ind w:firstLine="0"/>
                    <w:jc w:val="center"/>
                    <w:rPr>
                      <w:rFonts w:hint="eastAsia" w:eastAsia="宋体"/>
                      <w:szCs w:val="21"/>
                      <w:lang w:eastAsia="zh-CN"/>
                    </w:rPr>
                  </w:pPr>
                  <w:r>
                    <w:rPr>
                      <w:rFonts w:hint="eastAsia"/>
                      <w:szCs w:val="21"/>
                      <w:lang w:val="en-US" w:eastAsia="zh-CN"/>
                    </w:rPr>
                    <w:t>/</w:t>
                  </w:r>
                </w:p>
              </w:tc>
              <w:tc>
                <w:tcPr>
                  <w:tcW w:w="948" w:type="dxa"/>
                  <w:tcBorders>
                    <w:right w:val="single" w:color="auto" w:sz="4" w:space="0"/>
                  </w:tcBorders>
                  <w:shd w:val="clear" w:color="auto" w:fill="auto"/>
                  <w:vAlign w:val="center"/>
                </w:tcPr>
                <w:p w14:paraId="198911E4">
                  <w:pPr>
                    <w:pStyle w:val="2"/>
                    <w:snapToGrid w:val="0"/>
                    <w:ind w:left="0" w:leftChars="0" w:firstLine="0" w:firstLineChars="0"/>
                    <w:jc w:val="center"/>
                    <w:rPr>
                      <w:rFonts w:hint="eastAsia" w:eastAsia="宋体"/>
                      <w:szCs w:val="21"/>
                      <w:lang w:eastAsia="zh-CN"/>
                    </w:rPr>
                  </w:pPr>
                  <w:r>
                    <w:rPr>
                      <w:rFonts w:hint="eastAsia"/>
                      <w:szCs w:val="21"/>
                    </w:rPr>
                    <w:t>0.0</w:t>
                  </w:r>
                  <w:r>
                    <w:rPr>
                      <w:rFonts w:hint="eastAsia"/>
                      <w:szCs w:val="21"/>
                      <w:lang w:val="en-US" w:eastAsia="zh-CN"/>
                    </w:rPr>
                    <w:t>4</w:t>
                  </w:r>
                </w:p>
              </w:tc>
              <w:tc>
                <w:tcPr>
                  <w:tcW w:w="700" w:type="dxa"/>
                  <w:tcBorders>
                    <w:left w:val="single" w:color="auto" w:sz="4" w:space="0"/>
                    <w:right w:val="single" w:color="auto" w:sz="4" w:space="0"/>
                  </w:tcBorders>
                  <w:shd w:val="clear" w:color="auto" w:fill="auto"/>
                  <w:vAlign w:val="center"/>
                </w:tcPr>
                <w:p w14:paraId="5848D6EF">
                  <w:pPr>
                    <w:pStyle w:val="2"/>
                    <w:snapToGrid w:val="0"/>
                    <w:ind w:left="0" w:leftChars="0" w:firstLine="0" w:firstLineChars="0"/>
                    <w:jc w:val="center"/>
                    <w:rPr>
                      <w:szCs w:val="21"/>
                    </w:rPr>
                  </w:pPr>
                  <w:r>
                    <w:rPr>
                      <w:rFonts w:hint="eastAsia"/>
                      <w:szCs w:val="21"/>
                    </w:rPr>
                    <w:t>1200</w:t>
                  </w:r>
                </w:p>
              </w:tc>
            </w:tr>
            <w:tr w14:paraId="7E1417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tcBorders>
                    <w:left w:val="single" w:color="auto" w:sz="4" w:space="0"/>
                  </w:tcBorders>
                  <w:shd w:val="clear" w:color="auto" w:fill="auto"/>
                  <w:vAlign w:val="center"/>
                </w:tcPr>
                <w:p w14:paraId="3CBD4480">
                  <w:pPr>
                    <w:pStyle w:val="2"/>
                    <w:snapToGrid w:val="0"/>
                    <w:ind w:firstLine="0" w:firstLineChars="0"/>
                    <w:jc w:val="both"/>
                    <w:rPr>
                      <w:rFonts w:hint="eastAsia" w:ascii="Times New Roman" w:hAnsi="Times New Roman" w:cs="Times New Roman"/>
                      <w:color w:val="auto"/>
                      <w:lang w:eastAsia="zh-CN"/>
                    </w:rPr>
                  </w:pPr>
                  <w:r>
                    <w:rPr>
                      <w:rFonts w:hint="eastAsia" w:ascii="Times New Roman" w:hAnsi="Times New Roman" w:cs="Times New Roman"/>
                      <w:color w:val="auto"/>
                      <w:lang w:eastAsia="zh-CN"/>
                    </w:rPr>
                    <w:t>切割、钻孔</w:t>
                  </w:r>
                </w:p>
              </w:tc>
              <w:tc>
                <w:tcPr>
                  <w:tcW w:w="644" w:type="dxa"/>
                  <w:shd w:val="clear" w:color="auto" w:fill="auto"/>
                  <w:vAlign w:val="center"/>
                </w:tcPr>
                <w:p w14:paraId="36047163">
                  <w:pPr>
                    <w:pStyle w:val="2"/>
                    <w:snapToGrid w:val="0"/>
                    <w:ind w:firstLine="0" w:firstLineChars="0"/>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切割机、钻床</w:t>
                  </w:r>
                </w:p>
              </w:tc>
              <w:tc>
                <w:tcPr>
                  <w:tcW w:w="643" w:type="dxa"/>
                  <w:shd w:val="clear" w:color="auto" w:fill="auto"/>
                  <w:vAlign w:val="center"/>
                </w:tcPr>
                <w:p w14:paraId="74C67234">
                  <w:pPr>
                    <w:pStyle w:val="2"/>
                    <w:snapToGrid w:val="0"/>
                    <w:ind w:firstLine="0" w:firstLineChars="0"/>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金属粉尘</w:t>
                  </w:r>
                </w:p>
              </w:tc>
              <w:tc>
                <w:tcPr>
                  <w:tcW w:w="897" w:type="dxa"/>
                  <w:shd w:val="clear" w:color="auto" w:fill="auto"/>
                  <w:vAlign w:val="center"/>
                </w:tcPr>
                <w:p w14:paraId="5A6810F6">
                  <w:pPr>
                    <w:pStyle w:val="2"/>
                    <w:snapToGrid w:val="0"/>
                    <w:ind w:firstLine="0" w:firstLineChars="0"/>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颗粒物</w:t>
                  </w:r>
                </w:p>
              </w:tc>
              <w:tc>
                <w:tcPr>
                  <w:tcW w:w="696" w:type="dxa"/>
                  <w:shd w:val="clear" w:color="auto" w:fill="auto"/>
                  <w:vAlign w:val="center"/>
                </w:tcPr>
                <w:p w14:paraId="5479780E">
                  <w:pPr>
                    <w:pStyle w:val="2"/>
                    <w:snapToGrid w:val="0"/>
                    <w:ind w:left="0" w:leftChars="0" w:firstLine="0" w:firstLineChars="0"/>
                    <w:jc w:val="center"/>
                    <w:rPr>
                      <w:szCs w:val="21"/>
                    </w:rPr>
                  </w:pPr>
                  <w:r>
                    <w:rPr>
                      <w:szCs w:val="21"/>
                    </w:rPr>
                    <w:t>系数法</w:t>
                  </w:r>
                </w:p>
              </w:tc>
              <w:tc>
                <w:tcPr>
                  <w:tcW w:w="972" w:type="dxa"/>
                  <w:shd w:val="clear" w:color="auto" w:fill="auto"/>
                  <w:vAlign w:val="center"/>
                </w:tcPr>
                <w:p w14:paraId="69191EBD">
                  <w:pPr>
                    <w:pStyle w:val="2"/>
                    <w:snapToGrid w:val="0"/>
                    <w:ind w:left="0" w:leftChars="0" w:firstLine="0" w:firstLineChars="0"/>
                    <w:jc w:val="center"/>
                    <w:rPr>
                      <w:rFonts w:hint="eastAsia"/>
                      <w:szCs w:val="21"/>
                      <w:lang w:val="en-US" w:eastAsia="zh-CN"/>
                    </w:rPr>
                  </w:pPr>
                  <w:r>
                    <w:rPr>
                      <w:rFonts w:hint="eastAsia"/>
                      <w:szCs w:val="21"/>
                      <w:lang w:val="en-US" w:eastAsia="zh-CN"/>
                    </w:rPr>
                    <w:t>/</w:t>
                  </w:r>
                </w:p>
              </w:tc>
              <w:tc>
                <w:tcPr>
                  <w:tcW w:w="1080" w:type="dxa"/>
                  <w:shd w:val="clear" w:color="auto" w:fill="auto"/>
                  <w:vAlign w:val="center"/>
                </w:tcPr>
                <w:p w14:paraId="78223D9E">
                  <w:pPr>
                    <w:pStyle w:val="2"/>
                    <w:snapToGrid w:val="0"/>
                    <w:ind w:firstLine="420" w:firstLineChars="200"/>
                    <w:jc w:val="center"/>
                    <w:rPr>
                      <w:rFonts w:hint="eastAsia"/>
                      <w:szCs w:val="21"/>
                      <w:lang w:val="en-US" w:eastAsia="zh-CN"/>
                    </w:rPr>
                  </w:pPr>
                  <w:r>
                    <w:rPr>
                      <w:rFonts w:hint="eastAsia"/>
                      <w:szCs w:val="21"/>
                      <w:lang w:val="en-US" w:eastAsia="zh-CN"/>
                    </w:rPr>
                    <w:t>/</w:t>
                  </w:r>
                </w:p>
              </w:tc>
              <w:tc>
                <w:tcPr>
                  <w:tcW w:w="972" w:type="dxa"/>
                  <w:shd w:val="clear" w:color="auto" w:fill="auto"/>
                  <w:vAlign w:val="center"/>
                </w:tcPr>
                <w:p w14:paraId="7C8AAF6A">
                  <w:pPr>
                    <w:pStyle w:val="2"/>
                    <w:snapToGrid w:val="0"/>
                    <w:ind w:left="0" w:leftChars="0" w:firstLine="0" w:firstLineChars="0"/>
                    <w:jc w:val="center"/>
                    <w:rPr>
                      <w:rFonts w:hint="default"/>
                      <w:szCs w:val="21"/>
                      <w:lang w:val="en-US" w:eastAsia="zh-CN"/>
                    </w:rPr>
                  </w:pPr>
                  <w:r>
                    <w:rPr>
                      <w:rFonts w:hint="eastAsia"/>
                      <w:szCs w:val="21"/>
                      <w:lang w:val="en-US" w:eastAsia="zh-CN"/>
                    </w:rPr>
                    <w:t>0.221</w:t>
                  </w:r>
                </w:p>
              </w:tc>
              <w:tc>
                <w:tcPr>
                  <w:tcW w:w="900" w:type="dxa"/>
                  <w:shd w:val="clear" w:color="auto" w:fill="auto"/>
                  <w:vAlign w:val="center"/>
                </w:tcPr>
                <w:p w14:paraId="4DE36DD5">
                  <w:pPr>
                    <w:pStyle w:val="2"/>
                    <w:snapToGrid w:val="0"/>
                    <w:ind w:left="0" w:leftChars="0" w:firstLine="0" w:firstLineChars="0"/>
                    <w:jc w:val="both"/>
                    <w:rPr>
                      <w:rFonts w:hint="eastAsia"/>
                      <w:szCs w:val="21"/>
                      <w:lang w:eastAsia="zh-CN"/>
                    </w:rPr>
                  </w:pPr>
                  <w:r>
                    <w:rPr>
                      <w:rFonts w:hint="eastAsia"/>
                      <w:szCs w:val="21"/>
                      <w:lang w:eastAsia="zh-CN"/>
                    </w:rPr>
                    <w:t>移动式布袋除尘器</w:t>
                  </w:r>
                </w:p>
              </w:tc>
              <w:tc>
                <w:tcPr>
                  <w:tcW w:w="648" w:type="dxa"/>
                  <w:shd w:val="clear" w:color="auto" w:fill="auto"/>
                  <w:vAlign w:val="center"/>
                </w:tcPr>
                <w:p w14:paraId="239B7827">
                  <w:pPr>
                    <w:pStyle w:val="2"/>
                    <w:snapToGrid w:val="0"/>
                    <w:ind w:left="0" w:leftChars="0" w:firstLine="0" w:firstLineChars="0"/>
                    <w:jc w:val="center"/>
                    <w:rPr>
                      <w:rFonts w:hint="eastAsia"/>
                      <w:szCs w:val="21"/>
                    </w:rPr>
                  </w:pPr>
                  <w:r>
                    <w:rPr>
                      <w:rFonts w:hint="eastAsia"/>
                      <w:szCs w:val="21"/>
                    </w:rPr>
                    <w:t>90%</w:t>
                  </w:r>
                </w:p>
              </w:tc>
              <w:tc>
                <w:tcPr>
                  <w:tcW w:w="660" w:type="dxa"/>
                  <w:shd w:val="clear" w:color="auto" w:fill="auto"/>
                  <w:vAlign w:val="center"/>
                </w:tcPr>
                <w:p w14:paraId="17683024">
                  <w:pPr>
                    <w:jc w:val="center"/>
                    <w:rPr>
                      <w:szCs w:val="21"/>
                    </w:rPr>
                  </w:pPr>
                  <w:r>
                    <w:rPr>
                      <w:szCs w:val="21"/>
                    </w:rPr>
                    <w:t>效率核算</w:t>
                  </w:r>
                </w:p>
              </w:tc>
              <w:tc>
                <w:tcPr>
                  <w:tcW w:w="960" w:type="dxa"/>
                  <w:shd w:val="clear" w:color="auto" w:fill="auto"/>
                  <w:vAlign w:val="center"/>
                </w:tcPr>
                <w:p w14:paraId="1568F0D4">
                  <w:pPr>
                    <w:pStyle w:val="2"/>
                    <w:snapToGrid w:val="0"/>
                    <w:ind w:left="0" w:leftChars="0" w:firstLine="0" w:firstLineChars="0"/>
                    <w:jc w:val="center"/>
                    <w:rPr>
                      <w:rFonts w:hint="eastAsia"/>
                      <w:szCs w:val="21"/>
                      <w:lang w:val="en-US" w:eastAsia="zh-CN"/>
                    </w:rPr>
                  </w:pPr>
                  <w:r>
                    <w:rPr>
                      <w:rFonts w:hint="eastAsia"/>
                      <w:szCs w:val="21"/>
                      <w:lang w:val="en-US" w:eastAsia="zh-CN"/>
                    </w:rPr>
                    <w:t>/</w:t>
                  </w:r>
                </w:p>
              </w:tc>
              <w:tc>
                <w:tcPr>
                  <w:tcW w:w="1068" w:type="dxa"/>
                  <w:shd w:val="clear" w:color="auto" w:fill="auto"/>
                  <w:vAlign w:val="center"/>
                </w:tcPr>
                <w:p w14:paraId="338F6D71">
                  <w:pPr>
                    <w:pStyle w:val="2"/>
                    <w:snapToGrid w:val="0"/>
                    <w:ind w:firstLine="420" w:firstLineChars="200"/>
                    <w:jc w:val="center"/>
                    <w:rPr>
                      <w:rFonts w:hint="eastAsia"/>
                      <w:szCs w:val="21"/>
                      <w:lang w:val="en-US" w:eastAsia="zh-CN"/>
                    </w:rPr>
                  </w:pPr>
                  <w:r>
                    <w:rPr>
                      <w:rFonts w:hint="eastAsia"/>
                      <w:szCs w:val="21"/>
                      <w:lang w:val="en-US" w:eastAsia="zh-CN"/>
                    </w:rPr>
                    <w:t>/</w:t>
                  </w:r>
                </w:p>
              </w:tc>
              <w:tc>
                <w:tcPr>
                  <w:tcW w:w="948" w:type="dxa"/>
                  <w:tcBorders>
                    <w:right w:val="single" w:color="auto" w:sz="4" w:space="0"/>
                  </w:tcBorders>
                  <w:shd w:val="clear" w:color="auto" w:fill="auto"/>
                  <w:vAlign w:val="center"/>
                </w:tcPr>
                <w:p w14:paraId="51F53231">
                  <w:pPr>
                    <w:pStyle w:val="2"/>
                    <w:snapToGrid w:val="0"/>
                    <w:ind w:left="0" w:leftChars="0" w:firstLine="0" w:firstLineChars="0"/>
                    <w:jc w:val="center"/>
                    <w:rPr>
                      <w:rFonts w:hint="default" w:eastAsia="宋体"/>
                      <w:szCs w:val="21"/>
                      <w:lang w:val="en-US" w:eastAsia="zh-CN"/>
                    </w:rPr>
                  </w:pPr>
                  <w:r>
                    <w:rPr>
                      <w:rFonts w:hint="eastAsia"/>
                      <w:szCs w:val="21"/>
                      <w:lang w:val="en-US" w:eastAsia="zh-CN"/>
                    </w:rPr>
                    <w:t>0.009</w:t>
                  </w:r>
                </w:p>
              </w:tc>
              <w:tc>
                <w:tcPr>
                  <w:tcW w:w="700" w:type="dxa"/>
                  <w:tcBorders>
                    <w:left w:val="single" w:color="auto" w:sz="4" w:space="0"/>
                    <w:right w:val="single" w:color="auto" w:sz="4" w:space="0"/>
                  </w:tcBorders>
                  <w:shd w:val="clear" w:color="auto" w:fill="auto"/>
                  <w:vAlign w:val="center"/>
                </w:tcPr>
                <w:p w14:paraId="759C124C">
                  <w:pPr>
                    <w:pStyle w:val="2"/>
                    <w:snapToGrid w:val="0"/>
                    <w:ind w:left="0" w:leftChars="0" w:firstLine="0" w:firstLineChars="0"/>
                    <w:jc w:val="center"/>
                    <w:rPr>
                      <w:rFonts w:hint="eastAsia"/>
                      <w:szCs w:val="21"/>
                    </w:rPr>
                  </w:pPr>
                  <w:r>
                    <w:rPr>
                      <w:rFonts w:hint="eastAsia"/>
                      <w:szCs w:val="21"/>
                      <w:lang w:val="en-US" w:eastAsia="zh-CN"/>
                    </w:rPr>
                    <w:t>24</w:t>
                  </w:r>
                  <w:r>
                    <w:rPr>
                      <w:rFonts w:hint="eastAsia"/>
                      <w:szCs w:val="21"/>
                    </w:rPr>
                    <w:t>00</w:t>
                  </w:r>
                </w:p>
              </w:tc>
            </w:tr>
          </w:tbl>
          <w:p w14:paraId="7D7B9774">
            <w:pPr>
              <w:tabs>
                <w:tab w:val="left" w:pos="3481"/>
              </w:tabs>
              <w:ind w:firstLine="420" w:firstLineChars="200"/>
              <w:rPr>
                <w:rFonts w:hAnsi="宋体"/>
                <w:color w:val="auto"/>
                <w:sz w:val="24"/>
              </w:rPr>
            </w:pPr>
            <w:r>
              <w:rPr>
                <w:rFonts w:hint="eastAsia" w:hAnsi="宋体"/>
                <w:color w:val="auto"/>
              </w:rPr>
              <w:t>注：本次评价注塑废气中臭气浓度和含尘废气仅做定性分析。</w:t>
            </w:r>
          </w:p>
          <w:p w14:paraId="3BB2FB6C">
            <w:pPr>
              <w:tabs>
                <w:tab w:val="left" w:pos="3481"/>
              </w:tabs>
              <w:spacing w:line="440" w:lineRule="exact"/>
              <w:ind w:firstLine="480" w:firstLineChars="200"/>
              <w:rPr>
                <w:b/>
                <w:bCs/>
                <w:color w:val="auto"/>
              </w:rPr>
            </w:pPr>
            <w:r>
              <w:rPr>
                <w:rFonts w:hAnsi="宋体"/>
                <w:color w:val="auto"/>
                <w:sz w:val="24"/>
              </w:rPr>
              <w:t>根据上述分析，本项目主要废气排放口基本情况见表</w:t>
            </w:r>
            <w:r>
              <w:rPr>
                <w:color w:val="auto"/>
                <w:sz w:val="24"/>
              </w:rPr>
              <w:t>4-</w:t>
            </w:r>
            <w:r>
              <w:rPr>
                <w:rFonts w:hint="eastAsia"/>
                <w:color w:val="auto"/>
                <w:sz w:val="24"/>
                <w:lang w:val="en-US" w:eastAsia="zh-CN"/>
              </w:rPr>
              <w:t>6</w:t>
            </w:r>
            <w:r>
              <w:rPr>
                <w:rFonts w:hint="eastAsia" w:hAnsi="宋体"/>
                <w:color w:val="auto"/>
                <w:sz w:val="24"/>
              </w:rPr>
              <w:t>和</w:t>
            </w:r>
            <w:r>
              <w:rPr>
                <w:rFonts w:hAnsi="宋体"/>
                <w:color w:val="auto"/>
                <w:sz w:val="24"/>
              </w:rPr>
              <w:t>表</w:t>
            </w:r>
            <w:r>
              <w:rPr>
                <w:color w:val="auto"/>
                <w:sz w:val="24"/>
              </w:rPr>
              <w:t>4-</w:t>
            </w:r>
            <w:r>
              <w:rPr>
                <w:rFonts w:hint="eastAsia"/>
                <w:color w:val="auto"/>
                <w:sz w:val="24"/>
                <w:lang w:val="en-US" w:eastAsia="zh-CN"/>
              </w:rPr>
              <w:t>7</w:t>
            </w:r>
            <w:r>
              <w:rPr>
                <w:rFonts w:hAnsi="宋体"/>
                <w:color w:val="auto"/>
                <w:sz w:val="24"/>
              </w:rPr>
              <w:t>。</w:t>
            </w:r>
          </w:p>
          <w:p w14:paraId="07D9A8A1">
            <w:pPr>
              <w:tabs>
                <w:tab w:val="left" w:pos="3481"/>
              </w:tabs>
              <w:spacing w:line="440" w:lineRule="exact"/>
              <w:ind w:firstLine="422" w:firstLineChars="200"/>
              <w:jc w:val="center"/>
              <w:rPr>
                <w:b/>
                <w:bCs/>
                <w:color w:val="auto"/>
              </w:rPr>
            </w:pPr>
            <w:r>
              <w:rPr>
                <w:rFonts w:hAnsi="宋体"/>
                <w:b/>
                <w:bCs/>
                <w:color w:val="auto"/>
              </w:rPr>
              <w:t>表</w:t>
            </w:r>
            <w:r>
              <w:rPr>
                <w:b/>
                <w:bCs/>
                <w:color w:val="auto"/>
              </w:rPr>
              <w:t>4-</w:t>
            </w:r>
            <w:r>
              <w:rPr>
                <w:rFonts w:hint="eastAsia"/>
                <w:b/>
                <w:bCs/>
                <w:color w:val="auto"/>
                <w:lang w:val="en-US" w:eastAsia="zh-CN"/>
              </w:rPr>
              <w:t>6</w:t>
            </w:r>
            <w:r>
              <w:rPr>
                <w:b/>
                <w:bCs/>
                <w:color w:val="auto"/>
              </w:rPr>
              <w:t xml:space="preserve">  </w:t>
            </w:r>
            <w:r>
              <w:rPr>
                <w:rFonts w:hAnsi="宋体"/>
                <w:b/>
                <w:bCs/>
                <w:color w:val="auto"/>
              </w:rPr>
              <w:t>排放口基本情况（点源）</w:t>
            </w:r>
          </w:p>
          <w:tbl>
            <w:tblPr>
              <w:tblStyle w:val="37"/>
              <w:tblW w:w="12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21"/>
              <w:gridCol w:w="1470"/>
              <w:gridCol w:w="1077"/>
              <w:gridCol w:w="1159"/>
              <w:gridCol w:w="998"/>
              <w:gridCol w:w="756"/>
              <w:gridCol w:w="887"/>
              <w:gridCol w:w="705"/>
              <w:gridCol w:w="730"/>
              <w:gridCol w:w="703"/>
              <w:gridCol w:w="686"/>
              <w:gridCol w:w="1200"/>
              <w:gridCol w:w="1780"/>
            </w:tblGrid>
            <w:tr w14:paraId="6674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1" w:type="dxa"/>
                  <w:vMerge w:val="restart"/>
                  <w:vAlign w:val="center"/>
                </w:tcPr>
                <w:p w14:paraId="4907A535">
                  <w:pPr>
                    <w:pStyle w:val="122"/>
                    <w:spacing w:line="240" w:lineRule="auto"/>
                    <w:rPr>
                      <w:rFonts w:eastAsia="宋体"/>
                      <w:b/>
                      <w:color w:val="auto"/>
                    </w:rPr>
                  </w:pPr>
                  <w:r>
                    <w:rPr>
                      <w:rFonts w:hAnsi="宋体" w:eastAsia="宋体"/>
                      <w:b/>
                      <w:color w:val="auto"/>
                    </w:rPr>
                    <w:t>编号</w:t>
                  </w:r>
                </w:p>
              </w:tc>
              <w:tc>
                <w:tcPr>
                  <w:tcW w:w="1470" w:type="dxa"/>
                  <w:vMerge w:val="restart"/>
                  <w:vAlign w:val="center"/>
                </w:tcPr>
                <w:p w14:paraId="33072D50">
                  <w:pPr>
                    <w:pStyle w:val="122"/>
                    <w:spacing w:line="240" w:lineRule="auto"/>
                    <w:rPr>
                      <w:rFonts w:eastAsia="宋体"/>
                      <w:b/>
                      <w:color w:val="auto"/>
                    </w:rPr>
                  </w:pPr>
                  <w:r>
                    <w:rPr>
                      <w:rFonts w:hAnsi="宋体" w:eastAsia="宋体"/>
                      <w:b/>
                      <w:color w:val="auto"/>
                    </w:rPr>
                    <w:t>名称</w:t>
                  </w:r>
                </w:p>
              </w:tc>
              <w:tc>
                <w:tcPr>
                  <w:tcW w:w="2236" w:type="dxa"/>
                  <w:gridSpan w:val="2"/>
                  <w:vAlign w:val="center"/>
                </w:tcPr>
                <w:p w14:paraId="61A7117E">
                  <w:pPr>
                    <w:pStyle w:val="122"/>
                    <w:spacing w:line="240" w:lineRule="auto"/>
                    <w:rPr>
                      <w:rFonts w:eastAsia="宋体"/>
                      <w:b/>
                      <w:color w:val="auto"/>
                    </w:rPr>
                  </w:pPr>
                  <w:r>
                    <w:rPr>
                      <w:rFonts w:hAnsi="宋体" w:eastAsia="宋体"/>
                      <w:b/>
                      <w:color w:val="auto"/>
                    </w:rPr>
                    <w:t>排气筒底部中心坐标</w:t>
                  </w:r>
                  <w:r>
                    <w:rPr>
                      <w:rFonts w:eastAsia="宋体"/>
                      <w:b/>
                      <w:color w:val="auto"/>
                    </w:rPr>
                    <w:t>/m</w:t>
                  </w:r>
                </w:p>
              </w:tc>
              <w:tc>
                <w:tcPr>
                  <w:tcW w:w="998" w:type="dxa"/>
                  <w:vMerge w:val="restart"/>
                  <w:vAlign w:val="center"/>
                </w:tcPr>
                <w:p w14:paraId="68A9775A">
                  <w:pPr>
                    <w:pStyle w:val="122"/>
                    <w:spacing w:line="240" w:lineRule="auto"/>
                    <w:rPr>
                      <w:rFonts w:eastAsia="宋体"/>
                      <w:b/>
                      <w:color w:val="auto"/>
                    </w:rPr>
                  </w:pPr>
                  <w:r>
                    <w:rPr>
                      <w:rFonts w:hAnsi="宋体" w:eastAsia="宋体"/>
                      <w:b/>
                      <w:color w:val="auto"/>
                    </w:rPr>
                    <w:t>排气筒底部海拔高度</w:t>
                  </w:r>
                  <w:r>
                    <w:rPr>
                      <w:rFonts w:eastAsia="宋体"/>
                      <w:b/>
                      <w:color w:val="auto"/>
                    </w:rPr>
                    <w:t>/m</w:t>
                  </w:r>
                </w:p>
              </w:tc>
              <w:tc>
                <w:tcPr>
                  <w:tcW w:w="756" w:type="dxa"/>
                  <w:vMerge w:val="restart"/>
                  <w:vAlign w:val="center"/>
                </w:tcPr>
                <w:p w14:paraId="202079BD">
                  <w:pPr>
                    <w:pStyle w:val="122"/>
                    <w:spacing w:line="240" w:lineRule="auto"/>
                    <w:rPr>
                      <w:rFonts w:eastAsia="宋体"/>
                      <w:b/>
                      <w:color w:val="auto"/>
                    </w:rPr>
                  </w:pPr>
                  <w:r>
                    <w:rPr>
                      <w:rFonts w:hAnsi="宋体" w:eastAsia="宋体"/>
                      <w:b/>
                      <w:color w:val="auto"/>
                    </w:rPr>
                    <w:t>排气筒高度</w:t>
                  </w:r>
                  <w:r>
                    <w:rPr>
                      <w:rFonts w:eastAsia="宋体"/>
                      <w:b/>
                      <w:color w:val="auto"/>
                    </w:rPr>
                    <w:t>/m</w:t>
                  </w:r>
                </w:p>
              </w:tc>
              <w:tc>
                <w:tcPr>
                  <w:tcW w:w="887" w:type="dxa"/>
                  <w:vMerge w:val="restart"/>
                  <w:vAlign w:val="center"/>
                </w:tcPr>
                <w:p w14:paraId="3D1046E4">
                  <w:pPr>
                    <w:pStyle w:val="122"/>
                    <w:spacing w:line="240" w:lineRule="auto"/>
                    <w:rPr>
                      <w:rFonts w:eastAsia="宋体"/>
                      <w:b/>
                      <w:color w:val="auto"/>
                    </w:rPr>
                  </w:pPr>
                  <w:r>
                    <w:rPr>
                      <w:rFonts w:hAnsi="宋体" w:eastAsia="宋体"/>
                      <w:b/>
                      <w:color w:val="auto"/>
                    </w:rPr>
                    <w:t>排气筒出口内径</w:t>
                  </w:r>
                  <w:r>
                    <w:rPr>
                      <w:rFonts w:eastAsia="宋体"/>
                      <w:b/>
                      <w:color w:val="auto"/>
                    </w:rPr>
                    <w:t>/m</w:t>
                  </w:r>
                </w:p>
              </w:tc>
              <w:tc>
                <w:tcPr>
                  <w:tcW w:w="705" w:type="dxa"/>
                  <w:vMerge w:val="restart"/>
                  <w:vAlign w:val="center"/>
                </w:tcPr>
                <w:p w14:paraId="1B351C7F">
                  <w:pPr>
                    <w:pStyle w:val="122"/>
                    <w:spacing w:line="240" w:lineRule="auto"/>
                    <w:rPr>
                      <w:rFonts w:eastAsia="宋体"/>
                      <w:b/>
                      <w:color w:val="auto"/>
                    </w:rPr>
                  </w:pPr>
                  <w:r>
                    <w:rPr>
                      <w:rFonts w:hAnsi="宋体" w:eastAsia="宋体"/>
                      <w:b/>
                      <w:color w:val="auto"/>
                    </w:rPr>
                    <w:t>烟气流速</w:t>
                  </w:r>
                  <w:r>
                    <w:rPr>
                      <w:rFonts w:eastAsia="宋体"/>
                      <w:b/>
                      <w:color w:val="auto"/>
                    </w:rPr>
                    <w:t>/(m/s)</w:t>
                  </w:r>
                </w:p>
              </w:tc>
              <w:tc>
                <w:tcPr>
                  <w:tcW w:w="730" w:type="dxa"/>
                  <w:vMerge w:val="restart"/>
                  <w:vAlign w:val="center"/>
                </w:tcPr>
                <w:p w14:paraId="71A5CDEE">
                  <w:pPr>
                    <w:pStyle w:val="122"/>
                    <w:spacing w:line="240" w:lineRule="auto"/>
                    <w:rPr>
                      <w:rFonts w:eastAsia="宋体"/>
                      <w:b/>
                      <w:color w:val="auto"/>
                    </w:rPr>
                  </w:pPr>
                  <w:r>
                    <w:rPr>
                      <w:rFonts w:hAnsi="宋体" w:eastAsia="宋体"/>
                      <w:b/>
                      <w:color w:val="auto"/>
                    </w:rPr>
                    <w:t>烟气</w:t>
                  </w:r>
                </w:p>
                <w:p w14:paraId="60845396">
                  <w:pPr>
                    <w:pStyle w:val="122"/>
                    <w:spacing w:line="240" w:lineRule="auto"/>
                    <w:rPr>
                      <w:rFonts w:eastAsia="宋体"/>
                      <w:b/>
                      <w:color w:val="auto"/>
                    </w:rPr>
                  </w:pPr>
                  <w:r>
                    <w:rPr>
                      <w:rFonts w:hAnsi="宋体" w:eastAsia="宋体"/>
                      <w:b/>
                      <w:color w:val="auto"/>
                    </w:rPr>
                    <w:t>温度</w:t>
                  </w:r>
                  <w:r>
                    <w:rPr>
                      <w:rFonts w:eastAsia="宋体"/>
                      <w:b/>
                      <w:color w:val="auto"/>
                    </w:rPr>
                    <w:t>/</w:t>
                  </w:r>
                  <w:r>
                    <w:rPr>
                      <w:rFonts w:ascii="宋体" w:hAnsi="宋体" w:eastAsia="宋体"/>
                      <w:b/>
                      <w:color w:val="auto"/>
                    </w:rPr>
                    <w:t>℃</w:t>
                  </w:r>
                </w:p>
              </w:tc>
              <w:tc>
                <w:tcPr>
                  <w:tcW w:w="703" w:type="dxa"/>
                  <w:vMerge w:val="restart"/>
                  <w:vAlign w:val="center"/>
                </w:tcPr>
                <w:p w14:paraId="74166E6F">
                  <w:pPr>
                    <w:pStyle w:val="122"/>
                    <w:spacing w:line="240" w:lineRule="auto"/>
                    <w:rPr>
                      <w:rFonts w:eastAsia="宋体"/>
                      <w:b/>
                      <w:color w:val="auto"/>
                    </w:rPr>
                  </w:pPr>
                  <w:r>
                    <w:rPr>
                      <w:rFonts w:hAnsi="宋体" w:eastAsia="宋体"/>
                      <w:b/>
                      <w:color w:val="auto"/>
                    </w:rPr>
                    <w:t>年排放小时数</w:t>
                  </w:r>
                  <w:r>
                    <w:rPr>
                      <w:rFonts w:eastAsia="宋体"/>
                      <w:b/>
                      <w:color w:val="auto"/>
                    </w:rPr>
                    <w:t>/h</w:t>
                  </w:r>
                </w:p>
              </w:tc>
              <w:tc>
                <w:tcPr>
                  <w:tcW w:w="686" w:type="dxa"/>
                  <w:vMerge w:val="restart"/>
                  <w:vAlign w:val="center"/>
                </w:tcPr>
                <w:p w14:paraId="029E8008">
                  <w:pPr>
                    <w:pStyle w:val="122"/>
                    <w:spacing w:line="240" w:lineRule="auto"/>
                    <w:rPr>
                      <w:rFonts w:hAnsi="宋体" w:eastAsia="宋体"/>
                      <w:b/>
                      <w:color w:val="auto"/>
                    </w:rPr>
                  </w:pPr>
                  <w:r>
                    <w:rPr>
                      <w:rFonts w:hAnsi="宋体" w:eastAsia="宋体"/>
                      <w:b/>
                      <w:color w:val="auto"/>
                    </w:rPr>
                    <w:t>排放</w:t>
                  </w:r>
                </w:p>
                <w:p w14:paraId="0EFC24A8">
                  <w:pPr>
                    <w:pStyle w:val="122"/>
                    <w:spacing w:line="240" w:lineRule="auto"/>
                    <w:rPr>
                      <w:rFonts w:eastAsia="宋体"/>
                      <w:b/>
                      <w:color w:val="auto"/>
                    </w:rPr>
                  </w:pPr>
                  <w:r>
                    <w:rPr>
                      <w:rFonts w:hAnsi="宋体" w:eastAsia="宋体"/>
                      <w:b/>
                      <w:color w:val="auto"/>
                    </w:rPr>
                    <w:t>工况</w:t>
                  </w:r>
                </w:p>
              </w:tc>
              <w:tc>
                <w:tcPr>
                  <w:tcW w:w="2980" w:type="dxa"/>
                  <w:gridSpan w:val="2"/>
                  <w:vAlign w:val="center"/>
                </w:tcPr>
                <w:p w14:paraId="3DA99252">
                  <w:pPr>
                    <w:pStyle w:val="122"/>
                    <w:spacing w:line="240" w:lineRule="auto"/>
                    <w:rPr>
                      <w:rFonts w:hAnsi="宋体" w:eastAsia="宋体"/>
                      <w:b/>
                      <w:color w:val="auto"/>
                    </w:rPr>
                  </w:pPr>
                  <w:r>
                    <w:rPr>
                      <w:rFonts w:hAnsi="宋体" w:eastAsia="宋体"/>
                      <w:b/>
                      <w:color w:val="auto"/>
                    </w:rPr>
                    <w:t>污染物排放速率</w:t>
                  </w:r>
                  <w:r>
                    <w:rPr>
                      <w:rFonts w:eastAsia="宋体"/>
                      <w:b/>
                      <w:color w:val="auto"/>
                    </w:rPr>
                    <w:t>/(kg/h)</w:t>
                  </w:r>
                </w:p>
              </w:tc>
            </w:tr>
            <w:tr w14:paraId="420F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1" w:type="dxa"/>
                  <w:vMerge w:val="continue"/>
                  <w:vAlign w:val="center"/>
                </w:tcPr>
                <w:p w14:paraId="15D41FC4">
                  <w:pPr>
                    <w:pStyle w:val="122"/>
                    <w:spacing w:line="240" w:lineRule="auto"/>
                    <w:rPr>
                      <w:rFonts w:eastAsia="宋体"/>
                      <w:b/>
                      <w:color w:val="auto"/>
                    </w:rPr>
                  </w:pPr>
                </w:p>
              </w:tc>
              <w:tc>
                <w:tcPr>
                  <w:tcW w:w="1470" w:type="dxa"/>
                  <w:vMerge w:val="continue"/>
                  <w:vAlign w:val="center"/>
                </w:tcPr>
                <w:p w14:paraId="032B5D37">
                  <w:pPr>
                    <w:pStyle w:val="122"/>
                    <w:spacing w:line="240" w:lineRule="auto"/>
                    <w:rPr>
                      <w:rFonts w:eastAsia="宋体"/>
                      <w:b/>
                      <w:color w:val="auto"/>
                    </w:rPr>
                  </w:pPr>
                </w:p>
              </w:tc>
              <w:tc>
                <w:tcPr>
                  <w:tcW w:w="1077" w:type="dxa"/>
                  <w:vAlign w:val="center"/>
                </w:tcPr>
                <w:p w14:paraId="2F5A49A0">
                  <w:pPr>
                    <w:pStyle w:val="122"/>
                    <w:spacing w:line="240" w:lineRule="auto"/>
                    <w:rPr>
                      <w:rFonts w:eastAsia="宋体"/>
                      <w:b/>
                      <w:color w:val="auto"/>
                    </w:rPr>
                  </w:pPr>
                  <w:r>
                    <w:rPr>
                      <w:rFonts w:eastAsia="宋体"/>
                      <w:b/>
                      <w:color w:val="auto"/>
                    </w:rPr>
                    <w:t>X</w:t>
                  </w:r>
                </w:p>
              </w:tc>
              <w:tc>
                <w:tcPr>
                  <w:tcW w:w="1159" w:type="dxa"/>
                  <w:vAlign w:val="center"/>
                </w:tcPr>
                <w:p w14:paraId="3DEB0198">
                  <w:pPr>
                    <w:pStyle w:val="122"/>
                    <w:spacing w:line="240" w:lineRule="auto"/>
                    <w:rPr>
                      <w:rFonts w:eastAsia="宋体"/>
                      <w:b/>
                      <w:color w:val="auto"/>
                    </w:rPr>
                  </w:pPr>
                  <w:r>
                    <w:rPr>
                      <w:rFonts w:eastAsia="宋体"/>
                      <w:b/>
                      <w:color w:val="auto"/>
                    </w:rPr>
                    <w:t>Y</w:t>
                  </w:r>
                </w:p>
              </w:tc>
              <w:tc>
                <w:tcPr>
                  <w:tcW w:w="998" w:type="dxa"/>
                  <w:vMerge w:val="continue"/>
                  <w:vAlign w:val="center"/>
                </w:tcPr>
                <w:p w14:paraId="32A461CD">
                  <w:pPr>
                    <w:pStyle w:val="122"/>
                    <w:spacing w:line="240" w:lineRule="auto"/>
                    <w:rPr>
                      <w:rFonts w:eastAsia="宋体"/>
                      <w:b/>
                      <w:color w:val="auto"/>
                    </w:rPr>
                  </w:pPr>
                </w:p>
              </w:tc>
              <w:tc>
                <w:tcPr>
                  <w:tcW w:w="756" w:type="dxa"/>
                  <w:vMerge w:val="continue"/>
                  <w:vAlign w:val="center"/>
                </w:tcPr>
                <w:p w14:paraId="236360D3">
                  <w:pPr>
                    <w:pStyle w:val="122"/>
                    <w:spacing w:line="240" w:lineRule="auto"/>
                    <w:rPr>
                      <w:rFonts w:eastAsia="宋体"/>
                      <w:b/>
                      <w:color w:val="auto"/>
                    </w:rPr>
                  </w:pPr>
                </w:p>
              </w:tc>
              <w:tc>
                <w:tcPr>
                  <w:tcW w:w="887" w:type="dxa"/>
                  <w:vMerge w:val="continue"/>
                  <w:vAlign w:val="center"/>
                </w:tcPr>
                <w:p w14:paraId="70193E63">
                  <w:pPr>
                    <w:pStyle w:val="122"/>
                    <w:spacing w:line="240" w:lineRule="auto"/>
                    <w:rPr>
                      <w:rFonts w:eastAsia="宋体"/>
                      <w:b/>
                      <w:color w:val="auto"/>
                    </w:rPr>
                  </w:pPr>
                </w:p>
              </w:tc>
              <w:tc>
                <w:tcPr>
                  <w:tcW w:w="705" w:type="dxa"/>
                  <w:vMerge w:val="continue"/>
                  <w:vAlign w:val="center"/>
                </w:tcPr>
                <w:p w14:paraId="6BBEFDEA">
                  <w:pPr>
                    <w:pStyle w:val="122"/>
                    <w:spacing w:line="240" w:lineRule="auto"/>
                    <w:rPr>
                      <w:rFonts w:eastAsia="宋体"/>
                      <w:b/>
                      <w:color w:val="auto"/>
                    </w:rPr>
                  </w:pPr>
                </w:p>
              </w:tc>
              <w:tc>
                <w:tcPr>
                  <w:tcW w:w="730" w:type="dxa"/>
                  <w:vMerge w:val="continue"/>
                  <w:vAlign w:val="center"/>
                </w:tcPr>
                <w:p w14:paraId="5224F149">
                  <w:pPr>
                    <w:pStyle w:val="122"/>
                    <w:spacing w:line="240" w:lineRule="auto"/>
                    <w:rPr>
                      <w:rFonts w:eastAsia="宋体"/>
                      <w:b/>
                      <w:color w:val="auto"/>
                    </w:rPr>
                  </w:pPr>
                </w:p>
              </w:tc>
              <w:tc>
                <w:tcPr>
                  <w:tcW w:w="703" w:type="dxa"/>
                  <w:vMerge w:val="continue"/>
                  <w:vAlign w:val="center"/>
                </w:tcPr>
                <w:p w14:paraId="4E4238F5">
                  <w:pPr>
                    <w:pStyle w:val="122"/>
                    <w:spacing w:line="240" w:lineRule="auto"/>
                    <w:rPr>
                      <w:rFonts w:eastAsia="宋体"/>
                      <w:b/>
                      <w:color w:val="auto"/>
                    </w:rPr>
                  </w:pPr>
                </w:p>
              </w:tc>
              <w:tc>
                <w:tcPr>
                  <w:tcW w:w="686" w:type="dxa"/>
                  <w:vMerge w:val="continue"/>
                  <w:vAlign w:val="center"/>
                </w:tcPr>
                <w:p w14:paraId="2AB513F1">
                  <w:pPr>
                    <w:pStyle w:val="122"/>
                    <w:spacing w:line="240" w:lineRule="auto"/>
                    <w:rPr>
                      <w:rFonts w:eastAsia="宋体"/>
                      <w:b/>
                      <w:color w:val="auto"/>
                    </w:rPr>
                  </w:pPr>
                </w:p>
              </w:tc>
              <w:tc>
                <w:tcPr>
                  <w:tcW w:w="1200" w:type="dxa"/>
                  <w:vAlign w:val="center"/>
                </w:tcPr>
                <w:p w14:paraId="5510AE94">
                  <w:pPr>
                    <w:pStyle w:val="122"/>
                    <w:spacing w:line="240" w:lineRule="auto"/>
                    <w:rPr>
                      <w:rFonts w:eastAsia="宋体"/>
                      <w:b/>
                      <w:color w:val="auto"/>
                    </w:rPr>
                  </w:pPr>
                  <w:r>
                    <w:rPr>
                      <w:rFonts w:hAnsi="宋体" w:eastAsia="宋体"/>
                      <w:b/>
                      <w:color w:val="auto"/>
                    </w:rPr>
                    <w:t>非甲烷总烃</w:t>
                  </w:r>
                </w:p>
              </w:tc>
              <w:tc>
                <w:tcPr>
                  <w:tcW w:w="1780" w:type="dxa"/>
                  <w:vAlign w:val="center"/>
                </w:tcPr>
                <w:p w14:paraId="6D5C4454">
                  <w:pPr>
                    <w:pStyle w:val="122"/>
                    <w:spacing w:line="240" w:lineRule="auto"/>
                    <w:rPr>
                      <w:rFonts w:hint="eastAsia" w:hAnsi="宋体" w:eastAsia="宋体"/>
                      <w:b/>
                      <w:color w:val="auto"/>
                      <w:lang w:eastAsia="zh-CN"/>
                    </w:rPr>
                  </w:pPr>
                  <w:r>
                    <w:rPr>
                      <w:rFonts w:hint="eastAsia" w:hAnsi="宋体" w:eastAsia="宋体"/>
                      <w:b/>
                      <w:color w:val="auto"/>
                      <w:lang w:eastAsia="zh-CN"/>
                    </w:rPr>
                    <w:t>苯乙烯</w:t>
                  </w:r>
                </w:p>
              </w:tc>
            </w:tr>
            <w:tr w14:paraId="7A10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1" w:type="dxa"/>
                  <w:vAlign w:val="center"/>
                </w:tcPr>
                <w:p w14:paraId="36136766">
                  <w:pPr>
                    <w:pStyle w:val="122"/>
                    <w:spacing w:line="240" w:lineRule="auto"/>
                    <w:rPr>
                      <w:rFonts w:eastAsia="宋体"/>
                      <w:color w:val="auto"/>
                    </w:rPr>
                  </w:pPr>
                  <w:r>
                    <w:rPr>
                      <w:rFonts w:eastAsia="宋体"/>
                      <w:color w:val="auto"/>
                    </w:rPr>
                    <w:t>1</w:t>
                  </w:r>
                </w:p>
              </w:tc>
              <w:tc>
                <w:tcPr>
                  <w:tcW w:w="1470" w:type="dxa"/>
                  <w:vAlign w:val="center"/>
                </w:tcPr>
                <w:p w14:paraId="7A58D7F8">
                  <w:pPr>
                    <w:pStyle w:val="122"/>
                    <w:spacing w:line="240" w:lineRule="auto"/>
                    <w:rPr>
                      <w:rFonts w:eastAsia="宋体"/>
                      <w:color w:val="auto"/>
                    </w:rPr>
                  </w:pPr>
                  <w:r>
                    <w:rPr>
                      <w:rFonts w:eastAsia="宋体"/>
                      <w:color w:val="auto"/>
                    </w:rPr>
                    <w:t>DA001</w:t>
                  </w:r>
                  <w:r>
                    <w:rPr>
                      <w:rFonts w:hAnsi="宋体" w:eastAsia="宋体"/>
                      <w:color w:val="auto"/>
                    </w:rPr>
                    <w:t>排气筒</w:t>
                  </w:r>
                </w:p>
              </w:tc>
              <w:tc>
                <w:tcPr>
                  <w:tcW w:w="1077" w:type="dxa"/>
                  <w:vAlign w:val="center"/>
                </w:tcPr>
                <w:p w14:paraId="0D891B96">
                  <w:pPr>
                    <w:pStyle w:val="122"/>
                    <w:spacing w:line="240" w:lineRule="auto"/>
                    <w:rPr>
                      <w:rFonts w:hint="default" w:eastAsia="宋体"/>
                      <w:color w:val="auto"/>
                      <w:lang w:val="en-US" w:eastAsia="zh-CN"/>
                    </w:rPr>
                  </w:pPr>
                  <w:r>
                    <w:rPr>
                      <w:rFonts w:hint="eastAsia" w:eastAsia="宋体"/>
                      <w:color w:val="auto"/>
                      <w:lang w:val="en-US" w:eastAsia="zh-CN"/>
                    </w:rPr>
                    <w:t>753524.65</w:t>
                  </w:r>
                </w:p>
              </w:tc>
              <w:tc>
                <w:tcPr>
                  <w:tcW w:w="1159" w:type="dxa"/>
                  <w:vAlign w:val="center"/>
                </w:tcPr>
                <w:p w14:paraId="75EEE14C">
                  <w:pPr>
                    <w:pStyle w:val="122"/>
                    <w:spacing w:line="240" w:lineRule="auto"/>
                    <w:rPr>
                      <w:rFonts w:hint="default" w:eastAsia="宋体"/>
                      <w:color w:val="auto"/>
                      <w:lang w:val="en-US" w:eastAsia="zh-CN"/>
                    </w:rPr>
                  </w:pPr>
                  <w:r>
                    <w:rPr>
                      <w:rFonts w:hint="eastAsia" w:eastAsia="宋体"/>
                      <w:color w:val="auto"/>
                      <w:lang w:val="en-US" w:eastAsia="zh-CN"/>
                    </w:rPr>
                    <w:t>3384262.73</w:t>
                  </w:r>
                </w:p>
              </w:tc>
              <w:tc>
                <w:tcPr>
                  <w:tcW w:w="998" w:type="dxa"/>
                  <w:vAlign w:val="center"/>
                </w:tcPr>
                <w:p w14:paraId="6A631B54">
                  <w:pPr>
                    <w:pStyle w:val="122"/>
                    <w:spacing w:line="240" w:lineRule="auto"/>
                    <w:rPr>
                      <w:rFonts w:hint="eastAsia" w:eastAsia="宋体"/>
                      <w:color w:val="auto"/>
                      <w:lang w:eastAsia="zh-CN"/>
                    </w:rPr>
                  </w:pPr>
                  <w:r>
                    <w:rPr>
                      <w:rFonts w:hint="eastAsia" w:eastAsia="宋体"/>
                      <w:color w:val="auto"/>
                    </w:rPr>
                    <w:t>5</w:t>
                  </w:r>
                  <w:r>
                    <w:rPr>
                      <w:rFonts w:hint="eastAsia" w:eastAsia="宋体"/>
                      <w:color w:val="auto"/>
                      <w:lang w:val="en-US" w:eastAsia="zh-CN"/>
                    </w:rPr>
                    <w:t>2</w:t>
                  </w:r>
                </w:p>
              </w:tc>
              <w:tc>
                <w:tcPr>
                  <w:tcW w:w="756" w:type="dxa"/>
                  <w:vAlign w:val="center"/>
                </w:tcPr>
                <w:p w14:paraId="71DEC3A3">
                  <w:pPr>
                    <w:pStyle w:val="122"/>
                    <w:spacing w:line="240" w:lineRule="auto"/>
                    <w:rPr>
                      <w:rFonts w:eastAsia="宋体"/>
                      <w:color w:val="auto"/>
                    </w:rPr>
                  </w:pPr>
                  <w:r>
                    <w:rPr>
                      <w:rFonts w:hint="eastAsia" w:eastAsia="宋体"/>
                      <w:color w:val="auto"/>
                    </w:rPr>
                    <w:t>30</w:t>
                  </w:r>
                </w:p>
              </w:tc>
              <w:tc>
                <w:tcPr>
                  <w:tcW w:w="887" w:type="dxa"/>
                  <w:vAlign w:val="center"/>
                </w:tcPr>
                <w:p w14:paraId="498FA6F4">
                  <w:pPr>
                    <w:pStyle w:val="122"/>
                    <w:spacing w:line="240" w:lineRule="auto"/>
                    <w:rPr>
                      <w:rFonts w:hint="default" w:eastAsia="宋体"/>
                      <w:color w:val="auto"/>
                      <w:lang w:val="en-US" w:eastAsia="zh-CN"/>
                    </w:rPr>
                  </w:pPr>
                  <w:r>
                    <w:rPr>
                      <w:rFonts w:hint="eastAsia" w:eastAsia="宋体"/>
                      <w:color w:val="auto"/>
                      <w:lang w:val="en-US" w:eastAsia="zh-CN"/>
                    </w:rPr>
                    <w:t>0.9</w:t>
                  </w:r>
                </w:p>
              </w:tc>
              <w:tc>
                <w:tcPr>
                  <w:tcW w:w="705" w:type="dxa"/>
                  <w:vAlign w:val="center"/>
                </w:tcPr>
                <w:p w14:paraId="32B651A3">
                  <w:pPr>
                    <w:pStyle w:val="122"/>
                    <w:spacing w:line="240" w:lineRule="auto"/>
                    <w:rPr>
                      <w:rFonts w:hint="default" w:eastAsia="宋体"/>
                      <w:color w:val="auto"/>
                      <w:lang w:val="en-US" w:eastAsia="zh-CN"/>
                    </w:rPr>
                  </w:pPr>
                  <w:r>
                    <w:rPr>
                      <w:rFonts w:hint="eastAsia" w:eastAsia="宋体"/>
                      <w:color w:val="auto"/>
                      <w:lang w:val="en-US" w:eastAsia="zh-CN"/>
                    </w:rPr>
                    <w:t>12.7</w:t>
                  </w:r>
                </w:p>
              </w:tc>
              <w:tc>
                <w:tcPr>
                  <w:tcW w:w="730" w:type="dxa"/>
                  <w:vAlign w:val="center"/>
                </w:tcPr>
                <w:p w14:paraId="1F9B53B5">
                  <w:pPr>
                    <w:pStyle w:val="122"/>
                    <w:spacing w:line="240" w:lineRule="auto"/>
                    <w:rPr>
                      <w:rFonts w:eastAsia="宋体"/>
                      <w:color w:val="auto"/>
                    </w:rPr>
                  </w:pPr>
                  <w:r>
                    <w:rPr>
                      <w:rFonts w:hint="eastAsia" w:eastAsia="宋体"/>
                      <w:color w:val="auto"/>
                    </w:rPr>
                    <w:t>20</w:t>
                  </w:r>
                </w:p>
              </w:tc>
              <w:tc>
                <w:tcPr>
                  <w:tcW w:w="703" w:type="dxa"/>
                  <w:vAlign w:val="center"/>
                </w:tcPr>
                <w:p w14:paraId="0941FD28">
                  <w:pPr>
                    <w:pStyle w:val="122"/>
                    <w:spacing w:line="240" w:lineRule="auto"/>
                    <w:rPr>
                      <w:rFonts w:eastAsia="宋体"/>
                      <w:color w:val="auto"/>
                    </w:rPr>
                  </w:pPr>
                  <w:r>
                    <w:rPr>
                      <w:rFonts w:hint="eastAsia" w:eastAsia="宋体"/>
                      <w:color w:val="auto"/>
                      <w:lang w:val="en-US" w:eastAsia="zh-CN"/>
                    </w:rPr>
                    <w:t>36</w:t>
                  </w:r>
                  <w:r>
                    <w:rPr>
                      <w:rFonts w:eastAsia="宋体"/>
                      <w:color w:val="auto"/>
                    </w:rPr>
                    <w:t>00</w:t>
                  </w:r>
                </w:p>
              </w:tc>
              <w:tc>
                <w:tcPr>
                  <w:tcW w:w="686" w:type="dxa"/>
                  <w:vAlign w:val="center"/>
                </w:tcPr>
                <w:p w14:paraId="08ABD913">
                  <w:pPr>
                    <w:pStyle w:val="122"/>
                    <w:spacing w:line="240" w:lineRule="auto"/>
                    <w:rPr>
                      <w:rFonts w:eastAsia="宋体"/>
                      <w:color w:val="auto"/>
                    </w:rPr>
                  </w:pPr>
                  <w:r>
                    <w:rPr>
                      <w:rFonts w:hAnsi="宋体" w:eastAsia="宋体"/>
                      <w:color w:val="auto"/>
                    </w:rPr>
                    <w:t>正常</w:t>
                  </w:r>
                </w:p>
              </w:tc>
              <w:tc>
                <w:tcPr>
                  <w:tcW w:w="1200" w:type="dxa"/>
                  <w:vAlign w:val="center"/>
                </w:tcPr>
                <w:p w14:paraId="7396CC3E">
                  <w:pPr>
                    <w:widowControl/>
                    <w:jc w:val="center"/>
                    <w:textAlignment w:val="center"/>
                    <w:rPr>
                      <w:rFonts w:hint="default" w:eastAsia="宋体"/>
                      <w:color w:val="auto"/>
                      <w:kern w:val="0"/>
                      <w:szCs w:val="21"/>
                      <w:lang w:val="en-US" w:eastAsia="zh-CN"/>
                    </w:rPr>
                  </w:pPr>
                  <w:r>
                    <w:rPr>
                      <w:rFonts w:hint="eastAsia"/>
                      <w:color w:val="auto"/>
                      <w:kern w:val="0"/>
                      <w:szCs w:val="21"/>
                    </w:rPr>
                    <w:t>0.0</w:t>
                  </w:r>
                  <w:r>
                    <w:rPr>
                      <w:rFonts w:hint="eastAsia"/>
                      <w:color w:val="auto"/>
                      <w:kern w:val="0"/>
                      <w:szCs w:val="21"/>
                      <w:lang w:val="en-US" w:eastAsia="zh-CN"/>
                    </w:rPr>
                    <w:t>11</w:t>
                  </w:r>
                </w:p>
              </w:tc>
              <w:tc>
                <w:tcPr>
                  <w:tcW w:w="1780" w:type="dxa"/>
                  <w:vAlign w:val="center"/>
                </w:tcPr>
                <w:p w14:paraId="5C83D3D3">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0.0005</w:t>
                  </w:r>
                </w:p>
              </w:tc>
            </w:tr>
          </w:tbl>
          <w:p w14:paraId="3815CEA1">
            <w:pPr>
              <w:pStyle w:val="118"/>
              <w:spacing w:line="240" w:lineRule="auto"/>
              <w:ind w:firstLine="420"/>
              <w:jc w:val="left"/>
              <w:rPr>
                <w:rFonts w:hAnsi="宋体" w:eastAsia="宋体"/>
                <w:b/>
                <w:color w:val="auto"/>
                <w:sz w:val="21"/>
                <w:szCs w:val="22"/>
              </w:rPr>
            </w:pPr>
            <w:r>
              <w:rPr>
                <w:rFonts w:hint="eastAsia" w:hAnsi="宋体" w:eastAsia="宋体"/>
                <w:bCs/>
                <w:color w:val="auto"/>
                <w:sz w:val="21"/>
                <w:szCs w:val="22"/>
              </w:rPr>
              <w:t>注：本项目排气筒高度为30m。</w:t>
            </w:r>
          </w:p>
          <w:p w14:paraId="32288D0F">
            <w:pPr>
              <w:pStyle w:val="118"/>
              <w:ind w:firstLine="0" w:firstLineChars="0"/>
              <w:jc w:val="center"/>
              <w:rPr>
                <w:rFonts w:eastAsia="宋体"/>
                <w:b/>
                <w:color w:val="auto"/>
                <w:sz w:val="21"/>
                <w:szCs w:val="22"/>
              </w:rPr>
            </w:pPr>
            <w:r>
              <w:rPr>
                <w:rFonts w:hAnsi="宋体" w:eastAsia="宋体"/>
                <w:b/>
                <w:color w:val="auto"/>
                <w:sz w:val="21"/>
                <w:szCs w:val="22"/>
              </w:rPr>
              <w:t>表</w:t>
            </w:r>
            <w:r>
              <w:rPr>
                <w:rFonts w:eastAsia="宋体"/>
                <w:b/>
                <w:color w:val="auto"/>
                <w:sz w:val="21"/>
                <w:szCs w:val="22"/>
              </w:rPr>
              <w:t>4-</w:t>
            </w:r>
            <w:r>
              <w:rPr>
                <w:rFonts w:hint="eastAsia" w:eastAsia="宋体"/>
                <w:b/>
                <w:color w:val="auto"/>
                <w:sz w:val="21"/>
                <w:szCs w:val="22"/>
                <w:lang w:val="en-US" w:eastAsia="zh-CN"/>
              </w:rPr>
              <w:t>7</w:t>
            </w:r>
            <w:r>
              <w:rPr>
                <w:rFonts w:eastAsia="宋体"/>
                <w:b/>
                <w:color w:val="auto"/>
                <w:sz w:val="21"/>
                <w:szCs w:val="22"/>
              </w:rPr>
              <w:t xml:space="preserve">  </w:t>
            </w:r>
            <w:r>
              <w:rPr>
                <w:rFonts w:hAnsi="宋体" w:eastAsia="宋体"/>
                <w:b/>
                <w:color w:val="auto"/>
                <w:sz w:val="21"/>
                <w:szCs w:val="22"/>
              </w:rPr>
              <w:t>排放口基本情况（面源）</w:t>
            </w:r>
          </w:p>
          <w:tbl>
            <w:tblPr>
              <w:tblStyle w:val="37"/>
              <w:tblW w:w="12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1"/>
              <w:gridCol w:w="1029"/>
              <w:gridCol w:w="1118"/>
              <w:gridCol w:w="1132"/>
              <w:gridCol w:w="954"/>
              <w:gridCol w:w="791"/>
              <w:gridCol w:w="846"/>
              <w:gridCol w:w="777"/>
              <w:gridCol w:w="1035"/>
              <w:gridCol w:w="939"/>
              <w:gridCol w:w="1096"/>
              <w:gridCol w:w="778"/>
              <w:gridCol w:w="778"/>
              <w:gridCol w:w="778"/>
            </w:tblGrid>
            <w:tr w14:paraId="0C02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21" w:type="dxa"/>
                  <w:vMerge w:val="restart"/>
                  <w:vAlign w:val="center"/>
                </w:tcPr>
                <w:p w14:paraId="0E7ACF81">
                  <w:pPr>
                    <w:pStyle w:val="122"/>
                    <w:spacing w:line="240" w:lineRule="auto"/>
                    <w:rPr>
                      <w:rFonts w:eastAsia="宋体"/>
                      <w:b/>
                      <w:color w:val="auto"/>
                    </w:rPr>
                  </w:pPr>
                  <w:r>
                    <w:rPr>
                      <w:rFonts w:hAnsi="宋体" w:eastAsia="宋体"/>
                      <w:b/>
                      <w:color w:val="auto"/>
                    </w:rPr>
                    <w:t>编号</w:t>
                  </w:r>
                </w:p>
              </w:tc>
              <w:tc>
                <w:tcPr>
                  <w:tcW w:w="1029" w:type="dxa"/>
                  <w:vMerge w:val="restart"/>
                  <w:vAlign w:val="center"/>
                </w:tcPr>
                <w:p w14:paraId="42139277">
                  <w:pPr>
                    <w:pStyle w:val="122"/>
                    <w:spacing w:line="240" w:lineRule="auto"/>
                    <w:rPr>
                      <w:rFonts w:eastAsia="宋体"/>
                      <w:b/>
                      <w:color w:val="auto"/>
                    </w:rPr>
                  </w:pPr>
                  <w:r>
                    <w:rPr>
                      <w:rFonts w:hAnsi="宋体" w:eastAsia="宋体"/>
                      <w:b/>
                      <w:color w:val="auto"/>
                    </w:rPr>
                    <w:t>名称</w:t>
                  </w:r>
                </w:p>
              </w:tc>
              <w:tc>
                <w:tcPr>
                  <w:tcW w:w="2250" w:type="dxa"/>
                  <w:gridSpan w:val="2"/>
                  <w:vAlign w:val="center"/>
                </w:tcPr>
                <w:p w14:paraId="3936D195">
                  <w:pPr>
                    <w:pStyle w:val="122"/>
                    <w:spacing w:line="240" w:lineRule="auto"/>
                    <w:rPr>
                      <w:rFonts w:eastAsia="宋体"/>
                      <w:b/>
                      <w:color w:val="auto"/>
                    </w:rPr>
                  </w:pPr>
                  <w:r>
                    <w:rPr>
                      <w:rFonts w:hAnsi="宋体" w:eastAsia="宋体"/>
                      <w:b/>
                      <w:color w:val="auto"/>
                    </w:rPr>
                    <w:t>面源起点坐标</w:t>
                  </w:r>
                  <w:r>
                    <w:rPr>
                      <w:rFonts w:eastAsia="宋体"/>
                      <w:b/>
                      <w:color w:val="auto"/>
                    </w:rPr>
                    <w:t>/m</w:t>
                  </w:r>
                </w:p>
              </w:tc>
              <w:tc>
                <w:tcPr>
                  <w:tcW w:w="954" w:type="dxa"/>
                  <w:vMerge w:val="restart"/>
                  <w:vAlign w:val="center"/>
                </w:tcPr>
                <w:p w14:paraId="07B7BF8B">
                  <w:pPr>
                    <w:pStyle w:val="122"/>
                    <w:spacing w:line="240" w:lineRule="auto"/>
                    <w:rPr>
                      <w:rFonts w:eastAsia="宋体"/>
                      <w:b/>
                      <w:color w:val="auto"/>
                    </w:rPr>
                  </w:pPr>
                  <w:r>
                    <w:rPr>
                      <w:rFonts w:hAnsi="宋体" w:eastAsia="宋体"/>
                      <w:b/>
                      <w:color w:val="auto"/>
                    </w:rPr>
                    <w:t>面源海拔高度</w:t>
                  </w:r>
                  <w:r>
                    <w:rPr>
                      <w:rFonts w:eastAsia="宋体"/>
                      <w:b/>
                      <w:color w:val="auto"/>
                    </w:rPr>
                    <w:t>/m</w:t>
                  </w:r>
                </w:p>
              </w:tc>
              <w:tc>
                <w:tcPr>
                  <w:tcW w:w="791" w:type="dxa"/>
                  <w:vMerge w:val="restart"/>
                  <w:vAlign w:val="center"/>
                </w:tcPr>
                <w:p w14:paraId="567EEB83">
                  <w:pPr>
                    <w:pStyle w:val="122"/>
                    <w:spacing w:line="240" w:lineRule="auto"/>
                    <w:rPr>
                      <w:rFonts w:eastAsia="宋体"/>
                      <w:b/>
                      <w:color w:val="auto"/>
                    </w:rPr>
                  </w:pPr>
                  <w:r>
                    <w:rPr>
                      <w:rFonts w:hAnsi="宋体" w:eastAsia="宋体"/>
                      <w:b/>
                      <w:color w:val="auto"/>
                    </w:rPr>
                    <w:t>面源</w:t>
                  </w:r>
                </w:p>
                <w:p w14:paraId="26514240">
                  <w:pPr>
                    <w:pStyle w:val="122"/>
                    <w:spacing w:line="240" w:lineRule="auto"/>
                    <w:rPr>
                      <w:rFonts w:eastAsia="宋体"/>
                      <w:b/>
                      <w:color w:val="auto"/>
                    </w:rPr>
                  </w:pPr>
                  <w:r>
                    <w:rPr>
                      <w:rFonts w:hAnsi="宋体" w:eastAsia="宋体"/>
                      <w:b/>
                      <w:color w:val="auto"/>
                    </w:rPr>
                    <w:t>长度</w:t>
                  </w:r>
                  <w:r>
                    <w:rPr>
                      <w:rFonts w:eastAsia="宋体"/>
                      <w:b/>
                      <w:color w:val="auto"/>
                    </w:rPr>
                    <w:t>/m</w:t>
                  </w:r>
                </w:p>
              </w:tc>
              <w:tc>
                <w:tcPr>
                  <w:tcW w:w="846" w:type="dxa"/>
                  <w:vMerge w:val="restart"/>
                  <w:vAlign w:val="center"/>
                </w:tcPr>
                <w:p w14:paraId="32AFFDF7">
                  <w:pPr>
                    <w:pStyle w:val="122"/>
                    <w:spacing w:line="240" w:lineRule="auto"/>
                    <w:rPr>
                      <w:rFonts w:eastAsia="宋体"/>
                      <w:b/>
                      <w:color w:val="auto"/>
                    </w:rPr>
                  </w:pPr>
                  <w:r>
                    <w:rPr>
                      <w:rFonts w:hAnsi="宋体" w:eastAsia="宋体"/>
                      <w:b/>
                      <w:color w:val="auto"/>
                    </w:rPr>
                    <w:t>面源</w:t>
                  </w:r>
                </w:p>
                <w:p w14:paraId="04FA689D">
                  <w:pPr>
                    <w:pStyle w:val="122"/>
                    <w:spacing w:line="240" w:lineRule="auto"/>
                    <w:rPr>
                      <w:rFonts w:eastAsia="宋体"/>
                      <w:b/>
                      <w:color w:val="auto"/>
                    </w:rPr>
                  </w:pPr>
                  <w:r>
                    <w:rPr>
                      <w:rFonts w:hAnsi="宋体" w:eastAsia="宋体"/>
                      <w:b/>
                      <w:color w:val="auto"/>
                    </w:rPr>
                    <w:t>宽度</w:t>
                  </w:r>
                  <w:r>
                    <w:rPr>
                      <w:rFonts w:eastAsia="宋体"/>
                      <w:b/>
                      <w:color w:val="auto"/>
                    </w:rPr>
                    <w:t>/m</w:t>
                  </w:r>
                </w:p>
              </w:tc>
              <w:tc>
                <w:tcPr>
                  <w:tcW w:w="777" w:type="dxa"/>
                  <w:vMerge w:val="restart"/>
                  <w:vAlign w:val="center"/>
                </w:tcPr>
                <w:p w14:paraId="7397687D">
                  <w:pPr>
                    <w:pStyle w:val="122"/>
                    <w:spacing w:line="240" w:lineRule="auto"/>
                    <w:rPr>
                      <w:rFonts w:eastAsia="宋体"/>
                      <w:b/>
                      <w:color w:val="auto"/>
                    </w:rPr>
                  </w:pPr>
                  <w:r>
                    <w:rPr>
                      <w:rFonts w:hAnsi="宋体" w:eastAsia="宋体"/>
                      <w:b/>
                      <w:color w:val="auto"/>
                    </w:rPr>
                    <w:t>与正北向夹角</w:t>
                  </w:r>
                  <w:r>
                    <w:rPr>
                      <w:rFonts w:eastAsia="宋体"/>
                      <w:b/>
                      <w:color w:val="auto"/>
                    </w:rPr>
                    <w:t>/°</w:t>
                  </w:r>
                </w:p>
              </w:tc>
              <w:tc>
                <w:tcPr>
                  <w:tcW w:w="1035" w:type="dxa"/>
                  <w:vMerge w:val="restart"/>
                  <w:vAlign w:val="center"/>
                </w:tcPr>
                <w:p w14:paraId="2EA66081">
                  <w:pPr>
                    <w:pStyle w:val="122"/>
                    <w:spacing w:line="240" w:lineRule="auto"/>
                    <w:rPr>
                      <w:rFonts w:eastAsia="宋体"/>
                      <w:b/>
                      <w:color w:val="auto"/>
                    </w:rPr>
                  </w:pPr>
                  <w:r>
                    <w:rPr>
                      <w:rFonts w:hAnsi="宋体" w:eastAsia="宋体"/>
                      <w:b/>
                      <w:color w:val="auto"/>
                    </w:rPr>
                    <w:t>面源有效排放高度</w:t>
                  </w:r>
                  <w:r>
                    <w:rPr>
                      <w:rFonts w:eastAsia="宋体"/>
                      <w:b/>
                      <w:color w:val="auto"/>
                    </w:rPr>
                    <w:t>/m</w:t>
                  </w:r>
                </w:p>
              </w:tc>
              <w:tc>
                <w:tcPr>
                  <w:tcW w:w="939" w:type="dxa"/>
                  <w:vMerge w:val="restart"/>
                  <w:vAlign w:val="center"/>
                </w:tcPr>
                <w:p w14:paraId="5BD90A45">
                  <w:pPr>
                    <w:pStyle w:val="122"/>
                    <w:spacing w:line="240" w:lineRule="auto"/>
                    <w:rPr>
                      <w:rFonts w:eastAsia="宋体"/>
                      <w:b/>
                      <w:color w:val="auto"/>
                    </w:rPr>
                  </w:pPr>
                  <w:r>
                    <w:rPr>
                      <w:rFonts w:hAnsi="宋体" w:eastAsia="宋体"/>
                      <w:b/>
                      <w:color w:val="auto"/>
                    </w:rPr>
                    <w:t>年排放小时数</w:t>
                  </w:r>
                  <w:r>
                    <w:rPr>
                      <w:rFonts w:eastAsia="宋体"/>
                      <w:b/>
                      <w:color w:val="auto"/>
                    </w:rPr>
                    <w:t>/h</w:t>
                  </w:r>
                </w:p>
              </w:tc>
              <w:tc>
                <w:tcPr>
                  <w:tcW w:w="1096" w:type="dxa"/>
                  <w:vMerge w:val="restart"/>
                  <w:vAlign w:val="center"/>
                </w:tcPr>
                <w:p w14:paraId="5666B2D9">
                  <w:pPr>
                    <w:pStyle w:val="122"/>
                    <w:spacing w:line="240" w:lineRule="auto"/>
                    <w:rPr>
                      <w:rFonts w:hAnsi="宋体" w:eastAsia="宋体"/>
                      <w:b/>
                      <w:color w:val="auto"/>
                    </w:rPr>
                  </w:pPr>
                  <w:r>
                    <w:rPr>
                      <w:rFonts w:hAnsi="宋体" w:eastAsia="宋体"/>
                      <w:b/>
                      <w:color w:val="auto"/>
                    </w:rPr>
                    <w:t>排放</w:t>
                  </w:r>
                </w:p>
                <w:p w14:paraId="5168C185">
                  <w:pPr>
                    <w:pStyle w:val="122"/>
                    <w:spacing w:line="240" w:lineRule="auto"/>
                    <w:rPr>
                      <w:rFonts w:eastAsia="宋体"/>
                      <w:b/>
                      <w:color w:val="auto"/>
                    </w:rPr>
                  </w:pPr>
                  <w:r>
                    <w:rPr>
                      <w:rFonts w:hAnsi="宋体" w:eastAsia="宋体"/>
                      <w:b/>
                      <w:color w:val="auto"/>
                    </w:rPr>
                    <w:t>工况</w:t>
                  </w:r>
                </w:p>
              </w:tc>
              <w:tc>
                <w:tcPr>
                  <w:tcW w:w="2334" w:type="dxa"/>
                  <w:gridSpan w:val="3"/>
                  <w:vAlign w:val="center"/>
                </w:tcPr>
                <w:p w14:paraId="7F08DA68">
                  <w:pPr>
                    <w:pStyle w:val="122"/>
                    <w:spacing w:line="240" w:lineRule="auto"/>
                    <w:rPr>
                      <w:rFonts w:eastAsia="宋体"/>
                      <w:b/>
                      <w:color w:val="auto"/>
                    </w:rPr>
                  </w:pPr>
                  <w:r>
                    <w:rPr>
                      <w:rFonts w:hAnsi="宋体" w:eastAsia="宋体"/>
                      <w:b/>
                      <w:color w:val="auto"/>
                    </w:rPr>
                    <w:t>污染物排放速率</w:t>
                  </w:r>
                  <w:r>
                    <w:rPr>
                      <w:rFonts w:eastAsia="宋体"/>
                      <w:b/>
                      <w:color w:val="auto"/>
                    </w:rPr>
                    <w:t>/(kg/h)</w:t>
                  </w:r>
                </w:p>
              </w:tc>
            </w:tr>
            <w:tr w14:paraId="6A98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21" w:type="dxa"/>
                  <w:vMerge w:val="continue"/>
                  <w:vAlign w:val="center"/>
                </w:tcPr>
                <w:p w14:paraId="0F413E5F">
                  <w:pPr>
                    <w:pStyle w:val="122"/>
                    <w:spacing w:line="240" w:lineRule="auto"/>
                    <w:rPr>
                      <w:rFonts w:eastAsia="宋体"/>
                      <w:b/>
                      <w:color w:val="auto"/>
                    </w:rPr>
                  </w:pPr>
                </w:p>
              </w:tc>
              <w:tc>
                <w:tcPr>
                  <w:tcW w:w="1029" w:type="dxa"/>
                  <w:vMerge w:val="continue"/>
                  <w:vAlign w:val="center"/>
                </w:tcPr>
                <w:p w14:paraId="50B72088">
                  <w:pPr>
                    <w:pStyle w:val="122"/>
                    <w:spacing w:line="240" w:lineRule="auto"/>
                    <w:rPr>
                      <w:rFonts w:eastAsia="宋体"/>
                      <w:b/>
                      <w:color w:val="auto"/>
                    </w:rPr>
                  </w:pPr>
                </w:p>
              </w:tc>
              <w:tc>
                <w:tcPr>
                  <w:tcW w:w="1118" w:type="dxa"/>
                  <w:vAlign w:val="center"/>
                </w:tcPr>
                <w:p w14:paraId="01E6FFD3">
                  <w:pPr>
                    <w:pStyle w:val="122"/>
                    <w:spacing w:line="240" w:lineRule="auto"/>
                    <w:rPr>
                      <w:rFonts w:eastAsia="宋体"/>
                      <w:b/>
                      <w:color w:val="auto"/>
                    </w:rPr>
                  </w:pPr>
                  <w:r>
                    <w:rPr>
                      <w:rFonts w:eastAsia="宋体"/>
                      <w:b/>
                      <w:color w:val="auto"/>
                    </w:rPr>
                    <w:t>X</w:t>
                  </w:r>
                </w:p>
              </w:tc>
              <w:tc>
                <w:tcPr>
                  <w:tcW w:w="1132" w:type="dxa"/>
                  <w:vAlign w:val="center"/>
                </w:tcPr>
                <w:p w14:paraId="04AE9257">
                  <w:pPr>
                    <w:pStyle w:val="122"/>
                    <w:spacing w:line="240" w:lineRule="auto"/>
                    <w:rPr>
                      <w:rFonts w:eastAsia="宋体"/>
                      <w:b/>
                      <w:color w:val="auto"/>
                    </w:rPr>
                  </w:pPr>
                  <w:r>
                    <w:rPr>
                      <w:rFonts w:eastAsia="宋体"/>
                      <w:b/>
                      <w:color w:val="auto"/>
                    </w:rPr>
                    <w:t>Y</w:t>
                  </w:r>
                </w:p>
              </w:tc>
              <w:tc>
                <w:tcPr>
                  <w:tcW w:w="954" w:type="dxa"/>
                  <w:vMerge w:val="continue"/>
                  <w:vAlign w:val="center"/>
                </w:tcPr>
                <w:p w14:paraId="7F7735F4">
                  <w:pPr>
                    <w:pStyle w:val="122"/>
                    <w:spacing w:line="240" w:lineRule="auto"/>
                    <w:rPr>
                      <w:rFonts w:eastAsia="宋体"/>
                      <w:b/>
                      <w:color w:val="auto"/>
                    </w:rPr>
                  </w:pPr>
                </w:p>
              </w:tc>
              <w:tc>
                <w:tcPr>
                  <w:tcW w:w="791" w:type="dxa"/>
                  <w:vMerge w:val="continue"/>
                  <w:vAlign w:val="center"/>
                </w:tcPr>
                <w:p w14:paraId="3FF3CE04">
                  <w:pPr>
                    <w:pStyle w:val="122"/>
                    <w:spacing w:line="240" w:lineRule="auto"/>
                    <w:rPr>
                      <w:rFonts w:eastAsia="宋体"/>
                      <w:b/>
                      <w:color w:val="auto"/>
                    </w:rPr>
                  </w:pPr>
                </w:p>
              </w:tc>
              <w:tc>
                <w:tcPr>
                  <w:tcW w:w="846" w:type="dxa"/>
                  <w:vMerge w:val="continue"/>
                  <w:vAlign w:val="center"/>
                </w:tcPr>
                <w:p w14:paraId="601E7CFE">
                  <w:pPr>
                    <w:pStyle w:val="122"/>
                    <w:spacing w:line="240" w:lineRule="auto"/>
                    <w:rPr>
                      <w:rFonts w:eastAsia="宋体"/>
                      <w:b/>
                      <w:color w:val="auto"/>
                    </w:rPr>
                  </w:pPr>
                </w:p>
              </w:tc>
              <w:tc>
                <w:tcPr>
                  <w:tcW w:w="777" w:type="dxa"/>
                  <w:vMerge w:val="continue"/>
                  <w:vAlign w:val="center"/>
                </w:tcPr>
                <w:p w14:paraId="4E417DCB">
                  <w:pPr>
                    <w:pStyle w:val="122"/>
                    <w:spacing w:line="240" w:lineRule="auto"/>
                    <w:rPr>
                      <w:rFonts w:eastAsia="宋体"/>
                      <w:b/>
                      <w:color w:val="auto"/>
                    </w:rPr>
                  </w:pPr>
                </w:p>
              </w:tc>
              <w:tc>
                <w:tcPr>
                  <w:tcW w:w="1035" w:type="dxa"/>
                  <w:vMerge w:val="continue"/>
                  <w:vAlign w:val="center"/>
                </w:tcPr>
                <w:p w14:paraId="72E1C2BA">
                  <w:pPr>
                    <w:pStyle w:val="122"/>
                    <w:spacing w:line="240" w:lineRule="auto"/>
                    <w:rPr>
                      <w:rFonts w:eastAsia="宋体"/>
                      <w:b/>
                      <w:color w:val="auto"/>
                    </w:rPr>
                  </w:pPr>
                </w:p>
              </w:tc>
              <w:tc>
                <w:tcPr>
                  <w:tcW w:w="939" w:type="dxa"/>
                  <w:vMerge w:val="continue"/>
                  <w:vAlign w:val="center"/>
                </w:tcPr>
                <w:p w14:paraId="10656F56">
                  <w:pPr>
                    <w:pStyle w:val="122"/>
                    <w:spacing w:line="240" w:lineRule="auto"/>
                    <w:rPr>
                      <w:rFonts w:eastAsia="宋体"/>
                      <w:b/>
                      <w:color w:val="auto"/>
                    </w:rPr>
                  </w:pPr>
                </w:p>
              </w:tc>
              <w:tc>
                <w:tcPr>
                  <w:tcW w:w="1096" w:type="dxa"/>
                  <w:vMerge w:val="continue"/>
                  <w:vAlign w:val="center"/>
                </w:tcPr>
                <w:p w14:paraId="2D260E50">
                  <w:pPr>
                    <w:pStyle w:val="122"/>
                    <w:spacing w:line="240" w:lineRule="auto"/>
                    <w:rPr>
                      <w:rFonts w:eastAsia="宋体"/>
                      <w:b/>
                      <w:color w:val="auto"/>
                    </w:rPr>
                  </w:pPr>
                </w:p>
              </w:tc>
              <w:tc>
                <w:tcPr>
                  <w:tcW w:w="778" w:type="dxa"/>
                  <w:vAlign w:val="center"/>
                </w:tcPr>
                <w:p w14:paraId="29E60B8E">
                  <w:pPr>
                    <w:pStyle w:val="122"/>
                    <w:spacing w:line="240" w:lineRule="auto"/>
                    <w:rPr>
                      <w:rFonts w:eastAsia="宋体"/>
                      <w:b/>
                      <w:color w:val="auto"/>
                    </w:rPr>
                  </w:pPr>
                  <w:r>
                    <w:rPr>
                      <w:rFonts w:hAnsi="宋体" w:eastAsia="宋体"/>
                      <w:b/>
                      <w:color w:val="auto"/>
                    </w:rPr>
                    <w:t>颗粒物</w:t>
                  </w:r>
                </w:p>
              </w:tc>
              <w:tc>
                <w:tcPr>
                  <w:tcW w:w="778" w:type="dxa"/>
                  <w:vAlign w:val="center"/>
                </w:tcPr>
                <w:p w14:paraId="5D368045">
                  <w:pPr>
                    <w:pStyle w:val="122"/>
                    <w:spacing w:line="240" w:lineRule="auto"/>
                    <w:rPr>
                      <w:rFonts w:eastAsia="宋体"/>
                      <w:b/>
                      <w:color w:val="auto"/>
                    </w:rPr>
                  </w:pPr>
                  <w:r>
                    <w:rPr>
                      <w:rFonts w:hAnsi="宋体" w:eastAsia="宋体"/>
                      <w:b/>
                      <w:color w:val="auto"/>
                    </w:rPr>
                    <w:t>非甲烷总烃</w:t>
                  </w:r>
                </w:p>
              </w:tc>
              <w:tc>
                <w:tcPr>
                  <w:tcW w:w="778" w:type="dxa"/>
                  <w:vAlign w:val="center"/>
                </w:tcPr>
                <w:p w14:paraId="372B2913">
                  <w:pPr>
                    <w:pStyle w:val="122"/>
                    <w:spacing w:line="240" w:lineRule="auto"/>
                    <w:rPr>
                      <w:rFonts w:hint="eastAsia" w:hAnsi="宋体" w:eastAsia="宋体"/>
                      <w:b/>
                      <w:color w:val="auto"/>
                      <w:lang w:eastAsia="zh-CN"/>
                    </w:rPr>
                  </w:pPr>
                  <w:r>
                    <w:rPr>
                      <w:rFonts w:hint="eastAsia" w:hAnsi="宋体" w:eastAsia="宋体"/>
                      <w:b/>
                      <w:color w:val="auto"/>
                      <w:lang w:eastAsia="zh-CN"/>
                    </w:rPr>
                    <w:t>苯乙烯</w:t>
                  </w:r>
                </w:p>
              </w:tc>
            </w:tr>
            <w:tr w14:paraId="486E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21" w:type="dxa"/>
                  <w:vAlign w:val="center"/>
                </w:tcPr>
                <w:p w14:paraId="0E1AE3A3">
                  <w:pPr>
                    <w:pStyle w:val="122"/>
                    <w:spacing w:line="240" w:lineRule="auto"/>
                    <w:rPr>
                      <w:rFonts w:eastAsia="宋体"/>
                      <w:color w:val="auto"/>
                    </w:rPr>
                  </w:pPr>
                  <w:r>
                    <w:rPr>
                      <w:rFonts w:eastAsia="宋体"/>
                      <w:color w:val="auto"/>
                    </w:rPr>
                    <w:t>1</w:t>
                  </w:r>
                </w:p>
              </w:tc>
              <w:tc>
                <w:tcPr>
                  <w:tcW w:w="1029" w:type="dxa"/>
                  <w:vAlign w:val="center"/>
                </w:tcPr>
                <w:p w14:paraId="7FBAA632">
                  <w:pPr>
                    <w:pStyle w:val="122"/>
                    <w:spacing w:line="240" w:lineRule="auto"/>
                    <w:rPr>
                      <w:rFonts w:hAnsi="宋体" w:eastAsia="宋体"/>
                      <w:color w:val="auto"/>
                    </w:rPr>
                  </w:pPr>
                  <w:r>
                    <w:rPr>
                      <w:rFonts w:hAnsi="宋体" w:eastAsia="宋体"/>
                      <w:color w:val="auto"/>
                    </w:rPr>
                    <w:t>生产车间</w:t>
                  </w:r>
                </w:p>
                <w:p w14:paraId="03549033">
                  <w:pPr>
                    <w:pStyle w:val="122"/>
                    <w:spacing w:line="240" w:lineRule="auto"/>
                    <w:rPr>
                      <w:rFonts w:eastAsia="宋体"/>
                      <w:color w:val="auto"/>
                    </w:rPr>
                  </w:pPr>
                  <w:r>
                    <w:rPr>
                      <w:rFonts w:hint="eastAsia" w:hAnsi="宋体" w:eastAsia="宋体"/>
                      <w:color w:val="auto"/>
                      <w:lang w:val="en-US" w:eastAsia="zh-CN"/>
                    </w:rPr>
                    <w:t>1</w:t>
                  </w:r>
                  <w:r>
                    <w:rPr>
                      <w:rFonts w:hint="eastAsia" w:hAnsi="宋体" w:eastAsia="宋体"/>
                      <w:color w:val="auto"/>
                    </w:rPr>
                    <w:t>层</w:t>
                  </w:r>
                </w:p>
              </w:tc>
              <w:tc>
                <w:tcPr>
                  <w:tcW w:w="1118" w:type="dxa"/>
                  <w:vAlign w:val="center"/>
                </w:tcPr>
                <w:p w14:paraId="66EC4588">
                  <w:pPr>
                    <w:pStyle w:val="122"/>
                    <w:spacing w:line="240" w:lineRule="auto"/>
                    <w:rPr>
                      <w:rFonts w:hint="default" w:eastAsia="宋体"/>
                      <w:color w:val="auto"/>
                      <w:lang w:val="en-US" w:eastAsia="zh-CN"/>
                    </w:rPr>
                  </w:pPr>
                  <w:r>
                    <w:rPr>
                      <w:rFonts w:hint="eastAsia" w:eastAsia="宋体"/>
                      <w:color w:val="auto"/>
                      <w:lang w:val="en-US" w:eastAsia="zh-CN"/>
                    </w:rPr>
                    <w:t>753521.33</w:t>
                  </w:r>
                </w:p>
              </w:tc>
              <w:tc>
                <w:tcPr>
                  <w:tcW w:w="1132" w:type="dxa"/>
                  <w:vAlign w:val="center"/>
                </w:tcPr>
                <w:p w14:paraId="479DF355">
                  <w:pPr>
                    <w:pStyle w:val="122"/>
                    <w:spacing w:line="240" w:lineRule="auto"/>
                    <w:rPr>
                      <w:rFonts w:hint="default" w:eastAsia="宋体"/>
                      <w:color w:val="auto"/>
                      <w:lang w:val="en-US" w:eastAsia="zh-CN"/>
                    </w:rPr>
                  </w:pPr>
                  <w:r>
                    <w:rPr>
                      <w:rFonts w:hint="eastAsia" w:eastAsia="宋体"/>
                      <w:color w:val="auto"/>
                      <w:lang w:val="en-US" w:eastAsia="zh-CN"/>
                    </w:rPr>
                    <w:t>3384228.73</w:t>
                  </w:r>
                </w:p>
              </w:tc>
              <w:tc>
                <w:tcPr>
                  <w:tcW w:w="954" w:type="dxa"/>
                  <w:vAlign w:val="center"/>
                </w:tcPr>
                <w:p w14:paraId="78D4E23F">
                  <w:pPr>
                    <w:pStyle w:val="122"/>
                    <w:spacing w:line="240" w:lineRule="auto"/>
                    <w:rPr>
                      <w:rFonts w:hint="default" w:eastAsia="宋体"/>
                      <w:color w:val="auto"/>
                      <w:lang w:val="en-US" w:eastAsia="zh-CN"/>
                    </w:rPr>
                  </w:pPr>
                  <w:r>
                    <w:rPr>
                      <w:rFonts w:hint="eastAsia" w:eastAsia="宋体"/>
                      <w:color w:val="auto"/>
                      <w:lang w:val="en-US" w:eastAsia="zh-CN"/>
                    </w:rPr>
                    <w:t>52</w:t>
                  </w:r>
                </w:p>
              </w:tc>
              <w:tc>
                <w:tcPr>
                  <w:tcW w:w="791" w:type="dxa"/>
                  <w:vAlign w:val="center"/>
                </w:tcPr>
                <w:p w14:paraId="5E0DB92B">
                  <w:pPr>
                    <w:pStyle w:val="122"/>
                    <w:spacing w:line="240" w:lineRule="auto"/>
                    <w:rPr>
                      <w:rFonts w:eastAsia="宋体"/>
                      <w:color w:val="auto"/>
                    </w:rPr>
                  </w:pPr>
                  <w:r>
                    <w:rPr>
                      <w:rFonts w:hint="eastAsia" w:hAnsi="宋体"/>
                      <w:color w:val="auto"/>
                    </w:rPr>
                    <w:t>6</w:t>
                  </w:r>
                  <w:r>
                    <w:rPr>
                      <w:rFonts w:hint="eastAsia" w:hAnsi="宋体"/>
                      <w:color w:val="auto"/>
                      <w:lang w:val="en-US" w:eastAsia="zh-CN"/>
                    </w:rPr>
                    <w:t>0</w:t>
                  </w:r>
                  <w:r>
                    <w:rPr>
                      <w:rFonts w:hint="eastAsia" w:hAnsi="宋体"/>
                      <w:color w:val="auto"/>
                    </w:rPr>
                    <w:t>.0</w:t>
                  </w:r>
                </w:p>
              </w:tc>
              <w:tc>
                <w:tcPr>
                  <w:tcW w:w="846" w:type="dxa"/>
                  <w:vAlign w:val="center"/>
                </w:tcPr>
                <w:p w14:paraId="513B32AE">
                  <w:pPr>
                    <w:pStyle w:val="122"/>
                    <w:spacing w:line="240" w:lineRule="auto"/>
                    <w:rPr>
                      <w:rFonts w:eastAsia="宋体"/>
                      <w:color w:val="auto"/>
                    </w:rPr>
                  </w:pPr>
                  <w:r>
                    <w:rPr>
                      <w:rFonts w:hint="eastAsia" w:hAnsi="宋体"/>
                      <w:color w:val="auto"/>
                    </w:rPr>
                    <w:t>45.0</w:t>
                  </w:r>
                </w:p>
              </w:tc>
              <w:tc>
                <w:tcPr>
                  <w:tcW w:w="777" w:type="dxa"/>
                  <w:vAlign w:val="center"/>
                </w:tcPr>
                <w:p w14:paraId="00791E18">
                  <w:pPr>
                    <w:pStyle w:val="122"/>
                    <w:spacing w:line="240" w:lineRule="auto"/>
                    <w:rPr>
                      <w:rFonts w:eastAsia="宋体"/>
                      <w:color w:val="auto"/>
                    </w:rPr>
                  </w:pPr>
                  <w:r>
                    <w:rPr>
                      <w:rFonts w:hint="eastAsia" w:eastAsia="宋体"/>
                      <w:color w:val="auto"/>
                    </w:rPr>
                    <w:t>-45</w:t>
                  </w:r>
                </w:p>
              </w:tc>
              <w:tc>
                <w:tcPr>
                  <w:tcW w:w="1035" w:type="dxa"/>
                  <w:vAlign w:val="center"/>
                </w:tcPr>
                <w:p w14:paraId="4115471B">
                  <w:pPr>
                    <w:pStyle w:val="122"/>
                    <w:spacing w:line="240" w:lineRule="auto"/>
                    <w:rPr>
                      <w:rFonts w:hint="default" w:eastAsia="宋体"/>
                      <w:color w:val="auto"/>
                      <w:lang w:val="en-US" w:eastAsia="zh-CN"/>
                    </w:rPr>
                  </w:pPr>
                  <w:r>
                    <w:rPr>
                      <w:rFonts w:hint="eastAsia" w:eastAsia="宋体"/>
                      <w:color w:val="auto"/>
                      <w:lang w:val="en-US" w:eastAsia="zh-CN"/>
                    </w:rPr>
                    <w:t>20</w:t>
                  </w:r>
                </w:p>
              </w:tc>
              <w:tc>
                <w:tcPr>
                  <w:tcW w:w="939" w:type="dxa"/>
                  <w:vAlign w:val="center"/>
                </w:tcPr>
                <w:p w14:paraId="10C99EB3">
                  <w:pPr>
                    <w:pStyle w:val="122"/>
                    <w:spacing w:line="240" w:lineRule="auto"/>
                    <w:rPr>
                      <w:rFonts w:hint="default" w:eastAsia="宋体"/>
                      <w:color w:val="auto"/>
                      <w:lang w:val="en-US" w:eastAsia="zh-CN"/>
                    </w:rPr>
                  </w:pPr>
                  <w:r>
                    <w:rPr>
                      <w:rFonts w:hint="eastAsia" w:eastAsia="宋体"/>
                      <w:color w:val="auto"/>
                      <w:lang w:val="en-US" w:eastAsia="zh-CN"/>
                    </w:rPr>
                    <w:t>3600</w:t>
                  </w:r>
                </w:p>
              </w:tc>
              <w:tc>
                <w:tcPr>
                  <w:tcW w:w="1096" w:type="dxa"/>
                  <w:vAlign w:val="center"/>
                </w:tcPr>
                <w:p w14:paraId="1B09DC66">
                  <w:pPr>
                    <w:pStyle w:val="122"/>
                    <w:spacing w:line="240" w:lineRule="auto"/>
                    <w:rPr>
                      <w:rFonts w:eastAsia="宋体"/>
                      <w:color w:val="auto"/>
                    </w:rPr>
                  </w:pPr>
                  <w:r>
                    <w:rPr>
                      <w:rFonts w:hAnsi="宋体" w:eastAsia="宋体"/>
                      <w:color w:val="auto"/>
                    </w:rPr>
                    <w:t>正常</w:t>
                  </w:r>
                </w:p>
              </w:tc>
              <w:tc>
                <w:tcPr>
                  <w:tcW w:w="778" w:type="dxa"/>
                  <w:vAlign w:val="center"/>
                </w:tcPr>
                <w:p w14:paraId="5337A57D">
                  <w:pPr>
                    <w:pStyle w:val="122"/>
                    <w:spacing w:line="240" w:lineRule="auto"/>
                    <w:rPr>
                      <w:rFonts w:hint="default" w:eastAsia="宋体"/>
                      <w:color w:val="auto"/>
                      <w:lang w:val="en-US" w:eastAsia="zh-CN"/>
                    </w:rPr>
                  </w:pPr>
                  <w:r>
                    <w:rPr>
                      <w:rFonts w:hint="eastAsia" w:eastAsia="宋体"/>
                      <w:color w:val="auto"/>
                    </w:rPr>
                    <w:t>0.</w:t>
                  </w:r>
                  <w:r>
                    <w:rPr>
                      <w:rFonts w:hint="eastAsia" w:eastAsia="宋体"/>
                      <w:color w:val="auto"/>
                      <w:lang w:val="en-US" w:eastAsia="zh-CN"/>
                    </w:rPr>
                    <w:t>049</w:t>
                  </w:r>
                </w:p>
              </w:tc>
              <w:tc>
                <w:tcPr>
                  <w:tcW w:w="778" w:type="dxa"/>
                  <w:vAlign w:val="center"/>
                </w:tcPr>
                <w:p w14:paraId="35AF11FB">
                  <w:pPr>
                    <w:pStyle w:val="122"/>
                    <w:spacing w:line="240" w:lineRule="auto"/>
                    <w:rPr>
                      <w:rFonts w:hint="default" w:eastAsia="FangSong_GB2312"/>
                      <w:color w:val="auto"/>
                      <w:lang w:val="en-US" w:eastAsia="zh-CN"/>
                    </w:rPr>
                  </w:pPr>
                  <w:r>
                    <w:rPr>
                      <w:rFonts w:hint="eastAsia"/>
                      <w:color w:val="auto"/>
                      <w:lang w:val="en-US" w:eastAsia="zh-CN"/>
                    </w:rPr>
                    <w:t>0.003</w:t>
                  </w:r>
                </w:p>
              </w:tc>
              <w:tc>
                <w:tcPr>
                  <w:tcW w:w="778" w:type="dxa"/>
                  <w:vAlign w:val="center"/>
                </w:tcPr>
                <w:p w14:paraId="13928A51">
                  <w:pPr>
                    <w:pStyle w:val="122"/>
                    <w:spacing w:line="240" w:lineRule="auto"/>
                    <w:rPr>
                      <w:rFonts w:hint="default" w:eastAsia="FangSong_GB2312"/>
                      <w:color w:val="auto"/>
                      <w:lang w:val="en-US" w:eastAsia="zh-CN"/>
                    </w:rPr>
                  </w:pPr>
                  <w:r>
                    <w:rPr>
                      <w:rFonts w:hint="eastAsia"/>
                      <w:color w:val="auto"/>
                      <w:lang w:val="en-US" w:eastAsia="zh-CN"/>
                    </w:rPr>
                    <w:t>0.0001</w:t>
                  </w:r>
                </w:p>
              </w:tc>
            </w:tr>
          </w:tbl>
          <w:p w14:paraId="537E6155">
            <w:pPr>
              <w:pStyle w:val="3"/>
              <w:ind w:firstLine="562"/>
              <w:rPr>
                <w:b/>
                <w:color w:val="auto"/>
                <w:kern w:val="0"/>
                <w:sz w:val="28"/>
                <w:szCs w:val="28"/>
              </w:rPr>
            </w:pPr>
          </w:p>
        </w:tc>
      </w:tr>
    </w:tbl>
    <w:p w14:paraId="2CBA6AAC">
      <w:pPr>
        <w:pStyle w:val="3"/>
        <w:ind w:firstLine="562"/>
        <w:rPr>
          <w:b/>
          <w:color w:val="auto"/>
          <w:kern w:val="0"/>
          <w:sz w:val="28"/>
          <w:szCs w:val="28"/>
        </w:rPr>
        <w:sectPr>
          <w:pgSz w:w="16838" w:h="11905" w:orient="landscape"/>
          <w:pgMar w:top="1531" w:right="1701" w:bottom="1531" w:left="2126" w:header="851" w:footer="850" w:gutter="0"/>
          <w:pgBorders>
            <w:top w:val="none" w:sz="0" w:space="0"/>
            <w:left w:val="none" w:sz="0" w:space="0"/>
            <w:bottom w:val="none" w:sz="0" w:space="0"/>
            <w:right w:val="none" w:sz="0" w:space="0"/>
          </w:pgBorders>
          <w:cols w:space="0" w:num="1"/>
          <w:docGrid w:linePitch="312" w:charSpace="0"/>
        </w:sectPr>
      </w:pPr>
    </w:p>
    <w:tbl>
      <w:tblPr>
        <w:tblStyle w:val="37"/>
        <w:tblW w:w="92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9"/>
        <w:gridCol w:w="8940"/>
      </w:tblGrid>
      <w:tr w14:paraId="686EF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17" w:hRule="atLeast"/>
          <w:jc w:val="center"/>
        </w:trPr>
        <w:tc>
          <w:tcPr>
            <w:tcW w:w="299" w:type="dxa"/>
            <w:tcMar>
              <w:left w:w="28" w:type="dxa"/>
              <w:right w:w="28" w:type="dxa"/>
            </w:tcMar>
            <w:vAlign w:val="center"/>
          </w:tcPr>
          <w:p w14:paraId="2303F823">
            <w:pPr>
              <w:adjustRightInd w:val="0"/>
              <w:snapToGrid w:val="0"/>
              <w:jc w:val="center"/>
              <w:rPr>
                <w:bCs/>
                <w:color w:val="auto"/>
                <w:sz w:val="24"/>
              </w:rPr>
            </w:pPr>
            <w:r>
              <w:rPr>
                <w:rFonts w:hAnsi="宋体"/>
                <w:bCs/>
                <w:color w:val="auto"/>
                <w:sz w:val="24"/>
              </w:rPr>
              <w:t>运营</w:t>
            </w:r>
          </w:p>
          <w:p w14:paraId="7B912B4F">
            <w:pPr>
              <w:adjustRightInd w:val="0"/>
              <w:snapToGrid w:val="0"/>
              <w:jc w:val="center"/>
              <w:rPr>
                <w:bCs/>
                <w:color w:val="auto"/>
                <w:sz w:val="24"/>
              </w:rPr>
            </w:pPr>
            <w:r>
              <w:rPr>
                <w:rFonts w:hAnsi="宋体"/>
                <w:bCs/>
                <w:color w:val="auto"/>
                <w:sz w:val="24"/>
              </w:rPr>
              <w:t>期环</w:t>
            </w:r>
          </w:p>
          <w:p w14:paraId="4D56BA2A">
            <w:pPr>
              <w:adjustRightInd w:val="0"/>
              <w:snapToGrid w:val="0"/>
              <w:jc w:val="center"/>
              <w:rPr>
                <w:bCs/>
                <w:color w:val="auto"/>
                <w:sz w:val="24"/>
              </w:rPr>
            </w:pPr>
            <w:r>
              <w:rPr>
                <w:rFonts w:hAnsi="宋体"/>
                <w:bCs/>
                <w:color w:val="auto"/>
                <w:sz w:val="24"/>
              </w:rPr>
              <w:t>境影</w:t>
            </w:r>
          </w:p>
          <w:p w14:paraId="16F5EBCA">
            <w:pPr>
              <w:adjustRightInd w:val="0"/>
              <w:snapToGrid w:val="0"/>
              <w:jc w:val="center"/>
              <w:rPr>
                <w:bCs/>
                <w:color w:val="auto"/>
                <w:sz w:val="24"/>
              </w:rPr>
            </w:pPr>
            <w:r>
              <w:rPr>
                <w:rFonts w:hAnsi="宋体"/>
                <w:bCs/>
                <w:color w:val="auto"/>
                <w:sz w:val="24"/>
              </w:rPr>
              <w:t>响和</w:t>
            </w:r>
          </w:p>
          <w:p w14:paraId="4BBC89B3">
            <w:pPr>
              <w:adjustRightInd w:val="0"/>
              <w:snapToGrid w:val="0"/>
              <w:jc w:val="center"/>
              <w:rPr>
                <w:bCs/>
                <w:color w:val="auto"/>
                <w:sz w:val="24"/>
              </w:rPr>
            </w:pPr>
            <w:r>
              <w:rPr>
                <w:rFonts w:hAnsi="宋体"/>
                <w:bCs/>
                <w:color w:val="auto"/>
                <w:sz w:val="24"/>
              </w:rPr>
              <w:t>保护</w:t>
            </w:r>
          </w:p>
          <w:p w14:paraId="495CE352">
            <w:pPr>
              <w:adjustRightInd w:val="0"/>
              <w:snapToGrid w:val="0"/>
              <w:jc w:val="center"/>
              <w:rPr>
                <w:bCs/>
                <w:color w:val="auto"/>
                <w:sz w:val="24"/>
              </w:rPr>
            </w:pPr>
            <w:r>
              <w:rPr>
                <w:rFonts w:hAnsi="宋体"/>
                <w:bCs/>
                <w:color w:val="auto"/>
                <w:sz w:val="24"/>
              </w:rPr>
              <w:t>措施</w:t>
            </w:r>
          </w:p>
        </w:tc>
        <w:tc>
          <w:tcPr>
            <w:tcW w:w="8940" w:type="dxa"/>
          </w:tcPr>
          <w:p w14:paraId="29BEB6CB">
            <w:pPr>
              <w:pStyle w:val="108"/>
              <w:spacing w:line="400" w:lineRule="exact"/>
              <w:ind w:firstLine="0" w:firstLineChars="0"/>
              <w:rPr>
                <w:rFonts w:ascii="宋体" w:hAnsi="宋体" w:eastAsia="宋体"/>
                <w:b/>
                <w:bCs/>
                <w:color w:val="auto"/>
                <w:spacing w:val="-10"/>
                <w:szCs w:val="24"/>
              </w:rPr>
            </w:pPr>
            <w:r>
              <w:rPr>
                <w:rFonts w:hint="eastAsia" w:ascii="宋体" w:hAnsi="宋体" w:eastAsia="宋体"/>
                <w:b/>
                <w:color w:val="auto"/>
              </w:rPr>
              <w:t>（</w:t>
            </w:r>
            <w:r>
              <w:rPr>
                <w:rFonts w:hint="eastAsia" w:eastAsia="宋体"/>
                <w:b/>
                <w:color w:val="auto"/>
              </w:rPr>
              <w:t>2</w:t>
            </w:r>
            <w:r>
              <w:rPr>
                <w:rFonts w:hint="eastAsia" w:ascii="宋体" w:hAnsi="宋体" w:eastAsia="宋体"/>
                <w:b/>
                <w:color w:val="auto"/>
              </w:rPr>
              <w:t>）</w:t>
            </w:r>
            <w:r>
              <w:rPr>
                <w:rFonts w:ascii="宋体" w:hAnsi="宋体" w:eastAsia="宋体"/>
                <w:b/>
                <w:bCs/>
                <w:color w:val="auto"/>
                <w:spacing w:val="-10"/>
                <w:szCs w:val="24"/>
              </w:rPr>
              <w:t>废气主要产污环节、污染物种类、排放形式及污染防治措施</w:t>
            </w:r>
          </w:p>
          <w:p w14:paraId="1A644371">
            <w:pPr>
              <w:pStyle w:val="108"/>
              <w:spacing w:line="400" w:lineRule="exact"/>
              <w:ind w:firstLine="480"/>
              <w:rPr>
                <w:rFonts w:eastAsia="宋体"/>
                <w:bCs/>
                <w:color w:val="auto"/>
                <w:spacing w:val="-10"/>
                <w:szCs w:val="24"/>
              </w:rPr>
            </w:pPr>
            <w:r>
              <w:rPr>
                <w:rFonts w:eastAsia="宋体"/>
                <w:color w:val="auto"/>
              </w:rPr>
              <w:t xml:space="preserve">结合《排污许可证申请与核发技术规范 </w:t>
            </w:r>
            <w:r>
              <w:rPr>
                <w:rFonts w:hint="eastAsia" w:eastAsia="宋体"/>
                <w:color w:val="auto"/>
              </w:rPr>
              <w:t>总则</w:t>
            </w:r>
            <w:r>
              <w:rPr>
                <w:rFonts w:eastAsia="宋体"/>
                <w:color w:val="auto"/>
              </w:rPr>
              <w:t>》（HJ</w:t>
            </w:r>
            <w:r>
              <w:rPr>
                <w:rFonts w:hint="eastAsia" w:eastAsia="宋体"/>
                <w:color w:val="auto"/>
              </w:rPr>
              <w:t>942</w:t>
            </w:r>
            <w:r>
              <w:rPr>
                <w:rFonts w:eastAsia="宋体"/>
                <w:color w:val="auto"/>
              </w:rPr>
              <w:t>-201</w:t>
            </w:r>
            <w:r>
              <w:rPr>
                <w:rFonts w:hint="eastAsia" w:eastAsia="宋体"/>
                <w:color w:val="auto"/>
              </w:rPr>
              <w:t>8</w:t>
            </w:r>
            <w:r>
              <w:rPr>
                <w:rFonts w:eastAsia="宋体"/>
                <w:color w:val="auto"/>
              </w:rPr>
              <w:t>），本项目废气主要</w:t>
            </w:r>
            <w:r>
              <w:rPr>
                <w:rFonts w:eastAsia="宋体"/>
                <w:bCs/>
                <w:color w:val="auto"/>
                <w:spacing w:val="-10"/>
                <w:szCs w:val="24"/>
              </w:rPr>
              <w:t>产污环节、污染物种类、排放形式及污染防治措施一览见表4-</w:t>
            </w:r>
            <w:r>
              <w:rPr>
                <w:rFonts w:hint="eastAsia" w:eastAsia="宋体"/>
                <w:bCs/>
                <w:color w:val="auto"/>
                <w:spacing w:val="-10"/>
                <w:szCs w:val="24"/>
                <w:lang w:val="en-US" w:eastAsia="zh-CN"/>
              </w:rPr>
              <w:t>8</w:t>
            </w:r>
            <w:r>
              <w:rPr>
                <w:rFonts w:eastAsia="宋体"/>
                <w:bCs/>
                <w:color w:val="auto"/>
                <w:spacing w:val="-10"/>
                <w:szCs w:val="24"/>
              </w:rPr>
              <w:t>。</w:t>
            </w:r>
          </w:p>
          <w:p w14:paraId="569AC0B7">
            <w:pPr>
              <w:pStyle w:val="118"/>
              <w:spacing w:line="400" w:lineRule="exact"/>
              <w:ind w:firstLine="0" w:firstLineChars="0"/>
              <w:jc w:val="center"/>
              <w:rPr>
                <w:rFonts w:eastAsia="宋体"/>
                <w:b/>
                <w:color w:val="auto"/>
                <w:sz w:val="21"/>
                <w:szCs w:val="22"/>
              </w:rPr>
            </w:pPr>
            <w:r>
              <w:rPr>
                <w:rFonts w:hAnsi="宋体" w:eastAsia="宋体"/>
                <w:b/>
                <w:color w:val="auto"/>
                <w:sz w:val="21"/>
                <w:szCs w:val="22"/>
              </w:rPr>
              <w:t>表</w:t>
            </w:r>
            <w:r>
              <w:rPr>
                <w:rFonts w:eastAsia="宋体"/>
                <w:b/>
                <w:color w:val="auto"/>
                <w:sz w:val="21"/>
                <w:szCs w:val="22"/>
              </w:rPr>
              <w:t>4-</w:t>
            </w:r>
            <w:r>
              <w:rPr>
                <w:rFonts w:hint="eastAsia" w:eastAsia="宋体"/>
                <w:b/>
                <w:color w:val="auto"/>
                <w:sz w:val="21"/>
                <w:szCs w:val="22"/>
                <w:lang w:val="en-US" w:eastAsia="zh-CN"/>
              </w:rPr>
              <w:t>8</w:t>
            </w:r>
            <w:r>
              <w:rPr>
                <w:rFonts w:eastAsia="宋体"/>
                <w:b/>
                <w:color w:val="auto"/>
                <w:sz w:val="21"/>
                <w:szCs w:val="22"/>
              </w:rPr>
              <w:t xml:space="preserve">  </w:t>
            </w:r>
            <w:r>
              <w:rPr>
                <w:rFonts w:hAnsi="宋体" w:eastAsia="宋体"/>
                <w:b/>
                <w:color w:val="auto"/>
                <w:sz w:val="21"/>
                <w:szCs w:val="22"/>
              </w:rPr>
              <w:t>废气主要产污环节、污染物种类、排放形式及污染防治措施一览表</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6"/>
              <w:gridCol w:w="1020"/>
              <w:gridCol w:w="988"/>
              <w:gridCol w:w="1489"/>
              <w:gridCol w:w="1076"/>
              <w:gridCol w:w="1759"/>
              <w:gridCol w:w="559"/>
              <w:gridCol w:w="1000"/>
            </w:tblGrid>
            <w:tr w14:paraId="68AA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509" w:type="pct"/>
                  <w:vMerge w:val="restart"/>
                  <w:vAlign w:val="center"/>
                </w:tcPr>
                <w:p w14:paraId="0226F1B7">
                  <w:pPr>
                    <w:pStyle w:val="122"/>
                    <w:snapToGrid w:val="0"/>
                    <w:spacing w:line="240" w:lineRule="auto"/>
                    <w:rPr>
                      <w:rFonts w:eastAsia="宋体"/>
                      <w:b/>
                      <w:color w:val="auto"/>
                    </w:rPr>
                  </w:pPr>
                  <w:r>
                    <w:rPr>
                      <w:rFonts w:hAnsi="宋体" w:eastAsia="宋体"/>
                      <w:b/>
                      <w:color w:val="auto"/>
                    </w:rPr>
                    <w:t>生产单元</w:t>
                  </w:r>
                </w:p>
              </w:tc>
              <w:tc>
                <w:tcPr>
                  <w:tcW w:w="580" w:type="pct"/>
                  <w:vMerge w:val="restart"/>
                  <w:vAlign w:val="center"/>
                </w:tcPr>
                <w:p w14:paraId="614BE65F">
                  <w:pPr>
                    <w:pStyle w:val="122"/>
                    <w:snapToGrid w:val="0"/>
                    <w:spacing w:line="240" w:lineRule="auto"/>
                    <w:rPr>
                      <w:rFonts w:eastAsia="宋体"/>
                      <w:b/>
                      <w:color w:val="auto"/>
                    </w:rPr>
                  </w:pPr>
                  <w:r>
                    <w:rPr>
                      <w:rFonts w:hAnsi="宋体" w:eastAsia="宋体"/>
                      <w:b/>
                      <w:color w:val="auto"/>
                    </w:rPr>
                    <w:t>生产设施</w:t>
                  </w:r>
                </w:p>
              </w:tc>
              <w:tc>
                <w:tcPr>
                  <w:tcW w:w="562" w:type="pct"/>
                  <w:vMerge w:val="restart"/>
                  <w:vAlign w:val="center"/>
                </w:tcPr>
                <w:p w14:paraId="40704264">
                  <w:pPr>
                    <w:pStyle w:val="122"/>
                    <w:snapToGrid w:val="0"/>
                    <w:spacing w:line="240" w:lineRule="auto"/>
                    <w:rPr>
                      <w:rFonts w:eastAsia="宋体"/>
                      <w:b/>
                      <w:color w:val="auto"/>
                    </w:rPr>
                  </w:pPr>
                  <w:r>
                    <w:rPr>
                      <w:rFonts w:hAnsi="宋体" w:eastAsia="宋体"/>
                      <w:b/>
                      <w:color w:val="auto"/>
                    </w:rPr>
                    <w:t>废气产污环节</w:t>
                  </w:r>
                </w:p>
              </w:tc>
              <w:tc>
                <w:tcPr>
                  <w:tcW w:w="846" w:type="pct"/>
                  <w:vMerge w:val="restart"/>
                  <w:vAlign w:val="center"/>
                </w:tcPr>
                <w:p w14:paraId="1E95D4CF">
                  <w:pPr>
                    <w:pStyle w:val="122"/>
                    <w:snapToGrid w:val="0"/>
                    <w:spacing w:line="240" w:lineRule="auto"/>
                    <w:rPr>
                      <w:rFonts w:eastAsia="宋体"/>
                      <w:b/>
                      <w:color w:val="auto"/>
                    </w:rPr>
                  </w:pPr>
                  <w:r>
                    <w:rPr>
                      <w:rFonts w:hAnsi="宋体" w:eastAsia="宋体"/>
                      <w:b/>
                      <w:color w:val="auto"/>
                    </w:rPr>
                    <w:t>污染物种类</w:t>
                  </w:r>
                </w:p>
              </w:tc>
              <w:tc>
                <w:tcPr>
                  <w:tcW w:w="612" w:type="pct"/>
                  <w:vMerge w:val="restart"/>
                  <w:vAlign w:val="center"/>
                </w:tcPr>
                <w:p w14:paraId="17226476">
                  <w:pPr>
                    <w:pStyle w:val="122"/>
                    <w:snapToGrid w:val="0"/>
                    <w:spacing w:line="240" w:lineRule="auto"/>
                    <w:rPr>
                      <w:rFonts w:eastAsia="宋体"/>
                      <w:b/>
                      <w:color w:val="auto"/>
                    </w:rPr>
                  </w:pPr>
                  <w:r>
                    <w:rPr>
                      <w:rFonts w:hAnsi="宋体" w:eastAsia="宋体"/>
                      <w:b/>
                      <w:color w:val="auto"/>
                    </w:rPr>
                    <w:t>排放形式</w:t>
                  </w:r>
                </w:p>
              </w:tc>
              <w:tc>
                <w:tcPr>
                  <w:tcW w:w="1318" w:type="pct"/>
                  <w:gridSpan w:val="2"/>
                  <w:vAlign w:val="center"/>
                </w:tcPr>
                <w:p w14:paraId="64A568E7">
                  <w:pPr>
                    <w:pStyle w:val="122"/>
                    <w:snapToGrid w:val="0"/>
                    <w:spacing w:line="240" w:lineRule="auto"/>
                    <w:rPr>
                      <w:rFonts w:eastAsia="宋体"/>
                      <w:b/>
                      <w:color w:val="auto"/>
                    </w:rPr>
                  </w:pPr>
                  <w:r>
                    <w:rPr>
                      <w:rFonts w:hAnsi="宋体" w:eastAsia="宋体"/>
                      <w:b/>
                      <w:color w:val="auto"/>
                    </w:rPr>
                    <w:t>污染防治设施</w:t>
                  </w:r>
                </w:p>
              </w:tc>
              <w:tc>
                <w:tcPr>
                  <w:tcW w:w="569" w:type="pct"/>
                  <w:vMerge w:val="restart"/>
                  <w:vAlign w:val="center"/>
                </w:tcPr>
                <w:p w14:paraId="4AF4F92F">
                  <w:pPr>
                    <w:pStyle w:val="122"/>
                    <w:snapToGrid w:val="0"/>
                    <w:spacing w:line="240" w:lineRule="auto"/>
                    <w:rPr>
                      <w:rFonts w:eastAsia="宋体"/>
                      <w:b/>
                      <w:color w:val="auto"/>
                    </w:rPr>
                  </w:pPr>
                  <w:r>
                    <w:rPr>
                      <w:rFonts w:hAnsi="宋体" w:eastAsia="宋体"/>
                      <w:b/>
                      <w:color w:val="auto"/>
                    </w:rPr>
                    <w:t>排放口类型</w:t>
                  </w:r>
                </w:p>
              </w:tc>
            </w:tr>
            <w:tr w14:paraId="7C0E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509" w:type="pct"/>
                  <w:vMerge w:val="continue"/>
                  <w:vAlign w:val="center"/>
                </w:tcPr>
                <w:p w14:paraId="32BF9CAC">
                  <w:pPr>
                    <w:pStyle w:val="122"/>
                    <w:snapToGrid w:val="0"/>
                    <w:spacing w:line="240" w:lineRule="auto"/>
                    <w:rPr>
                      <w:rFonts w:eastAsia="宋体"/>
                      <w:b/>
                      <w:color w:val="auto"/>
                    </w:rPr>
                  </w:pPr>
                </w:p>
              </w:tc>
              <w:tc>
                <w:tcPr>
                  <w:tcW w:w="580" w:type="pct"/>
                  <w:vMerge w:val="continue"/>
                  <w:vAlign w:val="center"/>
                </w:tcPr>
                <w:p w14:paraId="2B3B118F">
                  <w:pPr>
                    <w:pStyle w:val="122"/>
                    <w:snapToGrid w:val="0"/>
                    <w:spacing w:line="240" w:lineRule="auto"/>
                    <w:rPr>
                      <w:rFonts w:eastAsia="宋体"/>
                      <w:b/>
                      <w:color w:val="auto"/>
                    </w:rPr>
                  </w:pPr>
                </w:p>
              </w:tc>
              <w:tc>
                <w:tcPr>
                  <w:tcW w:w="562" w:type="pct"/>
                  <w:vMerge w:val="continue"/>
                  <w:vAlign w:val="center"/>
                </w:tcPr>
                <w:p w14:paraId="0BBC6CCA">
                  <w:pPr>
                    <w:pStyle w:val="122"/>
                    <w:snapToGrid w:val="0"/>
                    <w:spacing w:line="240" w:lineRule="auto"/>
                    <w:rPr>
                      <w:rFonts w:eastAsia="宋体"/>
                      <w:b/>
                      <w:color w:val="auto"/>
                    </w:rPr>
                  </w:pPr>
                </w:p>
              </w:tc>
              <w:tc>
                <w:tcPr>
                  <w:tcW w:w="846" w:type="pct"/>
                  <w:vMerge w:val="continue"/>
                  <w:vAlign w:val="center"/>
                </w:tcPr>
                <w:p w14:paraId="5C6DAA63">
                  <w:pPr>
                    <w:pStyle w:val="122"/>
                    <w:snapToGrid w:val="0"/>
                    <w:spacing w:line="240" w:lineRule="auto"/>
                    <w:rPr>
                      <w:rFonts w:eastAsia="宋体"/>
                      <w:b/>
                      <w:color w:val="auto"/>
                    </w:rPr>
                  </w:pPr>
                </w:p>
              </w:tc>
              <w:tc>
                <w:tcPr>
                  <w:tcW w:w="612" w:type="pct"/>
                  <w:vMerge w:val="continue"/>
                  <w:vAlign w:val="center"/>
                </w:tcPr>
                <w:p w14:paraId="1760C46C">
                  <w:pPr>
                    <w:pStyle w:val="122"/>
                    <w:snapToGrid w:val="0"/>
                    <w:spacing w:line="240" w:lineRule="auto"/>
                    <w:rPr>
                      <w:rFonts w:eastAsia="宋体"/>
                      <w:b/>
                      <w:color w:val="auto"/>
                    </w:rPr>
                  </w:pPr>
                </w:p>
              </w:tc>
              <w:tc>
                <w:tcPr>
                  <w:tcW w:w="1000" w:type="pct"/>
                  <w:vAlign w:val="center"/>
                </w:tcPr>
                <w:p w14:paraId="70D19605">
                  <w:pPr>
                    <w:pStyle w:val="122"/>
                    <w:snapToGrid w:val="0"/>
                    <w:spacing w:line="240" w:lineRule="auto"/>
                    <w:rPr>
                      <w:rFonts w:hAnsi="宋体" w:eastAsia="宋体"/>
                      <w:b/>
                      <w:color w:val="auto"/>
                    </w:rPr>
                  </w:pPr>
                  <w:r>
                    <w:rPr>
                      <w:rFonts w:hAnsi="宋体" w:eastAsia="宋体"/>
                      <w:b/>
                      <w:color w:val="auto"/>
                    </w:rPr>
                    <w:t>污染防治设施</w:t>
                  </w:r>
                </w:p>
                <w:p w14:paraId="0CFDD812">
                  <w:pPr>
                    <w:pStyle w:val="122"/>
                    <w:snapToGrid w:val="0"/>
                    <w:spacing w:line="240" w:lineRule="auto"/>
                    <w:rPr>
                      <w:rFonts w:eastAsia="宋体"/>
                      <w:b/>
                      <w:color w:val="auto"/>
                    </w:rPr>
                  </w:pPr>
                  <w:r>
                    <w:rPr>
                      <w:rFonts w:hAnsi="宋体" w:eastAsia="宋体"/>
                      <w:b/>
                      <w:color w:val="auto"/>
                    </w:rPr>
                    <w:t>名称及工艺</w:t>
                  </w:r>
                </w:p>
              </w:tc>
              <w:tc>
                <w:tcPr>
                  <w:tcW w:w="318" w:type="pct"/>
                  <w:vAlign w:val="center"/>
                </w:tcPr>
                <w:p w14:paraId="1EF71DFC">
                  <w:pPr>
                    <w:pStyle w:val="122"/>
                    <w:snapToGrid w:val="0"/>
                    <w:spacing w:line="240" w:lineRule="auto"/>
                    <w:rPr>
                      <w:rFonts w:eastAsia="宋体"/>
                      <w:b/>
                      <w:color w:val="auto"/>
                    </w:rPr>
                  </w:pPr>
                  <w:r>
                    <w:rPr>
                      <w:rFonts w:hAnsi="宋体" w:eastAsia="宋体"/>
                      <w:b/>
                      <w:color w:val="auto"/>
                    </w:rPr>
                    <w:t>是否可行技术</w:t>
                  </w:r>
                </w:p>
              </w:tc>
              <w:tc>
                <w:tcPr>
                  <w:tcW w:w="569" w:type="pct"/>
                  <w:vMerge w:val="continue"/>
                  <w:vAlign w:val="center"/>
                </w:tcPr>
                <w:p w14:paraId="38BBC081">
                  <w:pPr>
                    <w:pStyle w:val="122"/>
                    <w:snapToGrid w:val="0"/>
                    <w:spacing w:line="240" w:lineRule="auto"/>
                    <w:rPr>
                      <w:rFonts w:eastAsia="宋体"/>
                      <w:color w:val="auto"/>
                    </w:rPr>
                  </w:pPr>
                </w:p>
              </w:tc>
            </w:tr>
            <w:tr w14:paraId="7B06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509" w:type="pct"/>
                  <w:vAlign w:val="center"/>
                </w:tcPr>
                <w:p w14:paraId="29B1BE5F">
                  <w:pPr>
                    <w:pStyle w:val="2"/>
                    <w:snapToGrid w:val="0"/>
                    <w:ind w:firstLine="0" w:firstLineChars="0"/>
                    <w:jc w:val="center"/>
                    <w:rPr>
                      <w:rFonts w:hint="eastAsia" w:hAnsi="宋体" w:eastAsia="宋体"/>
                      <w:color w:val="auto"/>
                      <w:lang w:eastAsia="zh-CN"/>
                    </w:rPr>
                  </w:pPr>
                  <w:r>
                    <w:rPr>
                      <w:rFonts w:hint="eastAsia"/>
                      <w:color w:val="auto"/>
                      <w:szCs w:val="21"/>
                      <w:lang w:eastAsia="zh-CN"/>
                    </w:rPr>
                    <w:t>注塑</w:t>
                  </w:r>
                </w:p>
              </w:tc>
              <w:tc>
                <w:tcPr>
                  <w:tcW w:w="580" w:type="pct"/>
                  <w:vAlign w:val="center"/>
                </w:tcPr>
                <w:p w14:paraId="527A4BC7">
                  <w:pPr>
                    <w:pStyle w:val="2"/>
                    <w:snapToGrid w:val="0"/>
                    <w:ind w:firstLine="0" w:firstLineChars="0"/>
                    <w:jc w:val="center"/>
                    <w:rPr>
                      <w:rFonts w:hint="eastAsia" w:eastAsia="宋体"/>
                      <w:color w:val="auto"/>
                      <w:lang w:eastAsia="zh-CN"/>
                    </w:rPr>
                  </w:pPr>
                  <w:r>
                    <w:rPr>
                      <w:rFonts w:hint="eastAsia"/>
                      <w:color w:val="auto"/>
                      <w:szCs w:val="21"/>
                      <w:lang w:eastAsia="zh-CN"/>
                    </w:rPr>
                    <w:t>注塑机</w:t>
                  </w:r>
                </w:p>
              </w:tc>
              <w:tc>
                <w:tcPr>
                  <w:tcW w:w="562" w:type="pct"/>
                  <w:vAlign w:val="center"/>
                </w:tcPr>
                <w:p w14:paraId="5512C790">
                  <w:pPr>
                    <w:pStyle w:val="2"/>
                    <w:snapToGrid w:val="0"/>
                    <w:ind w:firstLine="0" w:firstLineChars="0"/>
                    <w:jc w:val="center"/>
                    <w:rPr>
                      <w:rFonts w:hAnsi="宋体"/>
                      <w:color w:val="auto"/>
                    </w:rPr>
                  </w:pPr>
                  <w:r>
                    <w:rPr>
                      <w:rFonts w:hint="eastAsia"/>
                      <w:color w:val="auto"/>
                      <w:szCs w:val="21"/>
                      <w:lang w:eastAsia="zh-CN"/>
                    </w:rPr>
                    <w:t>注塑</w:t>
                  </w:r>
                  <w:r>
                    <w:rPr>
                      <w:rFonts w:hint="eastAsia"/>
                      <w:color w:val="auto"/>
                      <w:szCs w:val="21"/>
                    </w:rPr>
                    <w:t>废气</w:t>
                  </w:r>
                </w:p>
              </w:tc>
              <w:tc>
                <w:tcPr>
                  <w:tcW w:w="846" w:type="pct"/>
                  <w:vAlign w:val="center"/>
                </w:tcPr>
                <w:p w14:paraId="2A6462B7">
                  <w:pPr>
                    <w:pStyle w:val="122"/>
                    <w:snapToGrid w:val="0"/>
                    <w:spacing w:line="240" w:lineRule="auto"/>
                    <w:rPr>
                      <w:rFonts w:hint="eastAsia" w:hAnsi="宋体" w:eastAsia="宋体"/>
                      <w:color w:val="auto"/>
                      <w:lang w:eastAsia="zh-CN"/>
                    </w:rPr>
                  </w:pPr>
                  <w:r>
                    <w:rPr>
                      <w:rFonts w:hint="eastAsia" w:hAnsi="宋体" w:eastAsia="宋体"/>
                      <w:color w:val="auto"/>
                    </w:rPr>
                    <w:t>非甲烷总烃</w:t>
                  </w:r>
                  <w:r>
                    <w:rPr>
                      <w:rFonts w:hint="eastAsia" w:hAnsi="宋体" w:eastAsia="宋体"/>
                      <w:color w:val="auto"/>
                      <w:lang w:eastAsia="zh-CN"/>
                    </w:rPr>
                    <w:t>、苯乙烯</w:t>
                  </w:r>
                </w:p>
              </w:tc>
              <w:tc>
                <w:tcPr>
                  <w:tcW w:w="612" w:type="pct"/>
                  <w:vAlign w:val="center"/>
                </w:tcPr>
                <w:p w14:paraId="31EF7942">
                  <w:pPr>
                    <w:pStyle w:val="122"/>
                    <w:snapToGrid w:val="0"/>
                    <w:spacing w:line="240" w:lineRule="auto"/>
                    <w:rPr>
                      <w:rFonts w:hAnsi="宋体" w:eastAsia="宋体"/>
                      <w:color w:val="auto"/>
                    </w:rPr>
                  </w:pPr>
                  <w:r>
                    <w:rPr>
                      <w:rFonts w:hint="eastAsia" w:hAnsi="宋体" w:eastAsia="宋体"/>
                      <w:color w:val="auto"/>
                    </w:rPr>
                    <w:t>有组织、无组织</w:t>
                  </w:r>
                </w:p>
              </w:tc>
              <w:tc>
                <w:tcPr>
                  <w:tcW w:w="1000" w:type="pct"/>
                  <w:vAlign w:val="center"/>
                </w:tcPr>
                <w:p w14:paraId="5A1B294E">
                  <w:pPr>
                    <w:pStyle w:val="122"/>
                    <w:snapToGrid w:val="0"/>
                    <w:spacing w:line="240" w:lineRule="auto"/>
                    <w:rPr>
                      <w:rFonts w:hAnsi="宋体" w:eastAsia="宋体"/>
                      <w:color w:val="auto"/>
                    </w:rPr>
                  </w:pPr>
                  <w:r>
                    <w:rPr>
                      <w:rFonts w:hint="eastAsia" w:hAnsi="宋体" w:eastAsia="宋体"/>
                      <w:color w:val="auto"/>
                    </w:rPr>
                    <w:t>活性炭装置</w:t>
                  </w:r>
                </w:p>
              </w:tc>
              <w:tc>
                <w:tcPr>
                  <w:tcW w:w="318" w:type="pct"/>
                  <w:vAlign w:val="center"/>
                </w:tcPr>
                <w:p w14:paraId="400A8010">
                  <w:pPr>
                    <w:pStyle w:val="122"/>
                    <w:snapToGrid w:val="0"/>
                    <w:spacing w:line="240" w:lineRule="auto"/>
                    <w:rPr>
                      <w:rFonts w:hAnsi="宋体" w:eastAsia="宋体"/>
                      <w:color w:val="auto"/>
                    </w:rPr>
                  </w:pPr>
                  <w:r>
                    <w:rPr>
                      <w:rFonts w:hAnsi="宋体" w:eastAsia="宋体"/>
                      <w:color w:val="auto"/>
                    </w:rPr>
                    <w:t>是</w:t>
                  </w:r>
                </w:p>
              </w:tc>
              <w:tc>
                <w:tcPr>
                  <w:tcW w:w="569" w:type="pct"/>
                  <w:vAlign w:val="center"/>
                </w:tcPr>
                <w:p w14:paraId="2670CEE6">
                  <w:pPr>
                    <w:pStyle w:val="122"/>
                    <w:snapToGrid w:val="0"/>
                    <w:spacing w:line="240" w:lineRule="auto"/>
                    <w:rPr>
                      <w:rFonts w:hAnsi="宋体" w:eastAsia="宋体"/>
                      <w:color w:val="auto"/>
                    </w:rPr>
                  </w:pPr>
                  <w:r>
                    <w:rPr>
                      <w:rFonts w:hAnsi="宋体" w:eastAsia="宋体"/>
                      <w:color w:val="auto"/>
                    </w:rPr>
                    <w:t>一般排放口</w:t>
                  </w:r>
                </w:p>
              </w:tc>
            </w:tr>
            <w:tr w14:paraId="5CFB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509" w:type="pct"/>
                  <w:vAlign w:val="center"/>
                </w:tcPr>
                <w:p w14:paraId="53EFC0BE">
                  <w:pPr>
                    <w:pStyle w:val="2"/>
                    <w:snapToGrid w:val="0"/>
                    <w:ind w:firstLine="0" w:firstLineChars="0"/>
                    <w:jc w:val="center"/>
                    <w:rPr>
                      <w:rFonts w:hint="eastAsia" w:hAnsi="宋体" w:eastAsia="宋体"/>
                      <w:color w:val="auto"/>
                      <w:lang w:eastAsia="zh-CN"/>
                    </w:rPr>
                  </w:pPr>
                  <w:r>
                    <w:rPr>
                      <w:rFonts w:hint="eastAsia" w:hAnsi="宋体"/>
                      <w:color w:val="auto"/>
                      <w:lang w:eastAsia="zh-CN"/>
                    </w:rPr>
                    <w:t>焊机</w:t>
                  </w:r>
                </w:p>
              </w:tc>
              <w:tc>
                <w:tcPr>
                  <w:tcW w:w="580" w:type="pct"/>
                  <w:vAlign w:val="center"/>
                </w:tcPr>
                <w:p w14:paraId="6A48F80C">
                  <w:pPr>
                    <w:pStyle w:val="2"/>
                    <w:snapToGrid w:val="0"/>
                    <w:ind w:firstLine="0" w:firstLineChars="0"/>
                    <w:jc w:val="center"/>
                    <w:rPr>
                      <w:rFonts w:hint="eastAsia" w:eastAsia="宋体"/>
                      <w:color w:val="auto"/>
                      <w:lang w:eastAsia="zh-CN"/>
                    </w:rPr>
                  </w:pPr>
                  <w:r>
                    <w:rPr>
                      <w:rFonts w:hint="eastAsia"/>
                      <w:color w:val="auto"/>
                      <w:szCs w:val="21"/>
                      <w:lang w:eastAsia="zh-CN"/>
                    </w:rPr>
                    <w:t>焊机</w:t>
                  </w:r>
                </w:p>
              </w:tc>
              <w:tc>
                <w:tcPr>
                  <w:tcW w:w="562" w:type="pct"/>
                  <w:vAlign w:val="center"/>
                </w:tcPr>
                <w:p w14:paraId="7E54586E">
                  <w:pPr>
                    <w:pStyle w:val="2"/>
                    <w:snapToGrid w:val="0"/>
                    <w:ind w:firstLine="0" w:firstLineChars="0"/>
                    <w:jc w:val="center"/>
                    <w:rPr>
                      <w:rFonts w:hint="eastAsia" w:hAnsi="宋体" w:eastAsia="宋体"/>
                      <w:color w:val="auto"/>
                      <w:lang w:eastAsia="zh-CN"/>
                    </w:rPr>
                  </w:pPr>
                  <w:r>
                    <w:rPr>
                      <w:rFonts w:hint="eastAsia"/>
                      <w:color w:val="auto"/>
                      <w:szCs w:val="21"/>
                      <w:lang w:eastAsia="zh-CN"/>
                    </w:rPr>
                    <w:t>焊接废气</w:t>
                  </w:r>
                </w:p>
              </w:tc>
              <w:tc>
                <w:tcPr>
                  <w:tcW w:w="846" w:type="pct"/>
                  <w:vAlign w:val="center"/>
                </w:tcPr>
                <w:p w14:paraId="7DE5D2E3">
                  <w:pPr>
                    <w:pStyle w:val="122"/>
                    <w:snapToGrid w:val="0"/>
                    <w:spacing w:line="240" w:lineRule="auto"/>
                    <w:rPr>
                      <w:rFonts w:hAnsi="宋体" w:eastAsia="宋体"/>
                      <w:color w:val="auto"/>
                    </w:rPr>
                  </w:pPr>
                  <w:r>
                    <w:rPr>
                      <w:rFonts w:hint="eastAsia" w:hAnsi="宋体" w:eastAsia="宋体"/>
                      <w:color w:val="auto"/>
                    </w:rPr>
                    <w:t>颗粒物</w:t>
                  </w:r>
                </w:p>
              </w:tc>
              <w:tc>
                <w:tcPr>
                  <w:tcW w:w="612" w:type="pct"/>
                  <w:vAlign w:val="center"/>
                </w:tcPr>
                <w:p w14:paraId="0690C432">
                  <w:pPr>
                    <w:pStyle w:val="122"/>
                    <w:snapToGrid w:val="0"/>
                    <w:spacing w:line="240" w:lineRule="auto"/>
                    <w:rPr>
                      <w:rFonts w:hAnsi="宋体" w:eastAsia="宋体"/>
                      <w:color w:val="auto"/>
                    </w:rPr>
                  </w:pPr>
                  <w:r>
                    <w:rPr>
                      <w:rFonts w:hint="eastAsia" w:hAnsi="宋体" w:eastAsia="宋体"/>
                      <w:color w:val="auto"/>
                    </w:rPr>
                    <w:t>无组织</w:t>
                  </w:r>
                </w:p>
              </w:tc>
              <w:tc>
                <w:tcPr>
                  <w:tcW w:w="1000" w:type="pct"/>
                  <w:vAlign w:val="center"/>
                </w:tcPr>
                <w:p w14:paraId="0B853B57">
                  <w:pPr>
                    <w:pStyle w:val="122"/>
                    <w:snapToGrid w:val="0"/>
                    <w:spacing w:line="240" w:lineRule="auto"/>
                    <w:rPr>
                      <w:rFonts w:hAnsi="宋体" w:eastAsia="宋体"/>
                      <w:color w:val="auto"/>
                    </w:rPr>
                  </w:pPr>
                  <w:r>
                    <w:rPr>
                      <w:rFonts w:hint="eastAsia" w:hAnsi="宋体" w:eastAsia="宋体"/>
                      <w:color w:val="auto"/>
                      <w:lang w:eastAsia="zh-CN"/>
                    </w:rPr>
                    <w:t>焊烟净化器</w:t>
                  </w:r>
                </w:p>
              </w:tc>
              <w:tc>
                <w:tcPr>
                  <w:tcW w:w="318" w:type="pct"/>
                  <w:vAlign w:val="center"/>
                </w:tcPr>
                <w:p w14:paraId="2AD8408B">
                  <w:pPr>
                    <w:pStyle w:val="122"/>
                    <w:snapToGrid w:val="0"/>
                    <w:spacing w:line="240" w:lineRule="auto"/>
                    <w:rPr>
                      <w:rFonts w:hAnsi="宋体" w:eastAsia="宋体"/>
                      <w:color w:val="auto"/>
                    </w:rPr>
                  </w:pPr>
                  <w:r>
                    <w:rPr>
                      <w:rFonts w:hAnsi="宋体" w:eastAsia="宋体"/>
                      <w:color w:val="auto"/>
                    </w:rPr>
                    <w:t>是</w:t>
                  </w:r>
                </w:p>
              </w:tc>
              <w:tc>
                <w:tcPr>
                  <w:tcW w:w="569" w:type="pct"/>
                  <w:vAlign w:val="center"/>
                </w:tcPr>
                <w:p w14:paraId="42EB3318">
                  <w:pPr>
                    <w:pStyle w:val="122"/>
                    <w:snapToGrid w:val="0"/>
                    <w:spacing w:line="240" w:lineRule="auto"/>
                    <w:rPr>
                      <w:rFonts w:hint="eastAsia" w:hAnsi="宋体" w:eastAsia="宋体"/>
                      <w:color w:val="auto"/>
                      <w:lang w:eastAsia="zh-CN"/>
                    </w:rPr>
                  </w:pPr>
                  <w:r>
                    <w:rPr>
                      <w:rFonts w:hint="eastAsia" w:hAnsi="宋体" w:eastAsia="宋体"/>
                      <w:color w:val="auto"/>
                      <w:lang w:val="en-US" w:eastAsia="zh-CN"/>
                    </w:rPr>
                    <w:t>/</w:t>
                  </w:r>
                </w:p>
              </w:tc>
            </w:tr>
            <w:tr w14:paraId="6F5D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896" w:type="dxa"/>
                  <w:vAlign w:val="center"/>
                </w:tcPr>
                <w:p w14:paraId="795FBB20">
                  <w:pPr>
                    <w:pStyle w:val="2"/>
                    <w:snapToGrid w:val="0"/>
                    <w:ind w:firstLine="0" w:firstLineChars="0"/>
                    <w:jc w:val="center"/>
                    <w:rPr>
                      <w:rFonts w:hint="eastAsia" w:hAnsi="宋体"/>
                      <w:color w:val="auto"/>
                      <w:lang w:eastAsia="zh-CN"/>
                    </w:rPr>
                  </w:pPr>
                  <w:r>
                    <w:rPr>
                      <w:rFonts w:hint="eastAsia"/>
                      <w:color w:val="auto"/>
                      <w:szCs w:val="21"/>
                      <w:lang w:val="en-US" w:eastAsia="zh-CN"/>
                    </w:rPr>
                    <w:t>切割、钻孔</w:t>
                  </w:r>
                </w:p>
              </w:tc>
              <w:tc>
                <w:tcPr>
                  <w:tcW w:w="1020" w:type="dxa"/>
                  <w:vAlign w:val="center"/>
                </w:tcPr>
                <w:p w14:paraId="1F7D6CD4">
                  <w:pPr>
                    <w:pStyle w:val="2"/>
                    <w:snapToGrid w:val="0"/>
                    <w:ind w:firstLine="0" w:firstLineChars="0"/>
                    <w:jc w:val="center"/>
                    <w:rPr>
                      <w:rFonts w:hint="eastAsia"/>
                      <w:color w:val="auto"/>
                      <w:szCs w:val="21"/>
                      <w:lang w:eastAsia="zh-CN"/>
                    </w:rPr>
                  </w:pPr>
                  <w:r>
                    <w:rPr>
                      <w:rFonts w:hint="eastAsia" w:ascii="Times New Roman" w:hAnsi="Times New Roman" w:cs="Times New Roman"/>
                      <w:color w:val="auto"/>
                      <w:lang w:eastAsia="zh-CN"/>
                    </w:rPr>
                    <w:t>切割机、钻床</w:t>
                  </w:r>
                </w:p>
              </w:tc>
              <w:tc>
                <w:tcPr>
                  <w:tcW w:w="988" w:type="dxa"/>
                  <w:vAlign w:val="center"/>
                </w:tcPr>
                <w:p w14:paraId="7FA942DA">
                  <w:pPr>
                    <w:pStyle w:val="2"/>
                    <w:snapToGrid w:val="0"/>
                    <w:ind w:firstLine="0" w:firstLineChars="0"/>
                    <w:jc w:val="center"/>
                    <w:rPr>
                      <w:rFonts w:hint="eastAsia"/>
                      <w:color w:val="auto"/>
                      <w:szCs w:val="21"/>
                      <w:lang w:eastAsia="zh-CN"/>
                    </w:rPr>
                  </w:pPr>
                  <w:r>
                    <w:rPr>
                      <w:rFonts w:hint="eastAsia"/>
                      <w:color w:val="auto"/>
                      <w:szCs w:val="21"/>
                      <w:lang w:val="en-US" w:eastAsia="zh-CN"/>
                    </w:rPr>
                    <w:t>金属</w:t>
                  </w:r>
                  <w:r>
                    <w:rPr>
                      <w:rFonts w:hint="eastAsia"/>
                      <w:color w:val="auto"/>
                      <w:szCs w:val="21"/>
                    </w:rPr>
                    <w:t>粉尘</w:t>
                  </w:r>
                </w:p>
              </w:tc>
              <w:tc>
                <w:tcPr>
                  <w:tcW w:w="1489" w:type="dxa"/>
                  <w:vAlign w:val="center"/>
                </w:tcPr>
                <w:p w14:paraId="73D62D27">
                  <w:pPr>
                    <w:pStyle w:val="122"/>
                    <w:snapToGrid w:val="0"/>
                    <w:spacing w:line="240" w:lineRule="auto"/>
                    <w:rPr>
                      <w:rFonts w:hint="eastAsia" w:hAnsi="宋体" w:eastAsia="宋体"/>
                      <w:color w:val="auto"/>
                    </w:rPr>
                  </w:pPr>
                  <w:r>
                    <w:rPr>
                      <w:rFonts w:hint="eastAsia" w:hAnsi="宋体" w:eastAsia="宋体"/>
                      <w:color w:val="auto"/>
                    </w:rPr>
                    <w:t>颗粒物</w:t>
                  </w:r>
                </w:p>
              </w:tc>
              <w:tc>
                <w:tcPr>
                  <w:tcW w:w="1076" w:type="dxa"/>
                  <w:vAlign w:val="center"/>
                </w:tcPr>
                <w:p w14:paraId="3A231FC7">
                  <w:pPr>
                    <w:pStyle w:val="122"/>
                    <w:snapToGrid w:val="0"/>
                    <w:spacing w:line="240" w:lineRule="auto"/>
                    <w:rPr>
                      <w:rFonts w:hint="eastAsia" w:hAnsi="宋体" w:eastAsia="宋体"/>
                      <w:color w:val="auto"/>
                    </w:rPr>
                  </w:pPr>
                  <w:r>
                    <w:rPr>
                      <w:rFonts w:hint="eastAsia" w:hAnsi="宋体" w:eastAsia="宋体"/>
                      <w:color w:val="auto"/>
                      <w:lang w:val="en-US" w:eastAsia="zh-CN"/>
                    </w:rPr>
                    <w:t>无组织</w:t>
                  </w:r>
                </w:p>
              </w:tc>
              <w:tc>
                <w:tcPr>
                  <w:tcW w:w="1759" w:type="dxa"/>
                  <w:vAlign w:val="center"/>
                </w:tcPr>
                <w:p w14:paraId="4422E6CA">
                  <w:pPr>
                    <w:pStyle w:val="122"/>
                    <w:snapToGrid w:val="0"/>
                    <w:spacing w:line="240" w:lineRule="auto"/>
                    <w:rPr>
                      <w:rFonts w:hint="eastAsia" w:hAnsi="宋体" w:eastAsia="宋体"/>
                      <w:color w:val="auto"/>
                      <w:lang w:eastAsia="zh-CN"/>
                    </w:rPr>
                  </w:pPr>
                  <w:r>
                    <w:rPr>
                      <w:rFonts w:hint="eastAsia" w:hAnsi="宋体" w:eastAsia="宋体"/>
                      <w:color w:val="auto"/>
                      <w:lang w:val="en-US" w:eastAsia="zh-CN"/>
                    </w:rPr>
                    <w:t>布袋除尘器</w:t>
                  </w:r>
                </w:p>
              </w:tc>
              <w:tc>
                <w:tcPr>
                  <w:tcW w:w="559" w:type="dxa"/>
                  <w:vAlign w:val="center"/>
                </w:tcPr>
                <w:p w14:paraId="437B37E6">
                  <w:pPr>
                    <w:pStyle w:val="122"/>
                    <w:snapToGrid w:val="0"/>
                    <w:spacing w:line="240" w:lineRule="auto"/>
                    <w:rPr>
                      <w:rFonts w:hAnsi="宋体" w:eastAsia="宋体"/>
                      <w:color w:val="auto"/>
                    </w:rPr>
                  </w:pPr>
                  <w:r>
                    <w:rPr>
                      <w:rFonts w:hAnsi="宋体" w:eastAsia="宋体"/>
                      <w:color w:val="auto"/>
                    </w:rPr>
                    <w:t>是</w:t>
                  </w:r>
                </w:p>
              </w:tc>
              <w:tc>
                <w:tcPr>
                  <w:tcW w:w="1000" w:type="dxa"/>
                  <w:vAlign w:val="center"/>
                </w:tcPr>
                <w:p w14:paraId="7B4AF35A">
                  <w:pPr>
                    <w:pStyle w:val="122"/>
                    <w:snapToGrid w:val="0"/>
                    <w:spacing w:line="240" w:lineRule="auto"/>
                    <w:rPr>
                      <w:rFonts w:hint="eastAsia" w:hAnsi="宋体" w:eastAsia="宋体"/>
                      <w:color w:val="auto"/>
                      <w:lang w:val="en-US" w:eastAsia="zh-CN"/>
                    </w:rPr>
                  </w:pPr>
                  <w:r>
                    <w:rPr>
                      <w:rFonts w:hint="eastAsia" w:hAnsi="宋体" w:eastAsia="宋体"/>
                      <w:color w:val="auto"/>
                      <w:lang w:val="en-US" w:eastAsia="zh-CN"/>
                    </w:rPr>
                    <w:t>/</w:t>
                  </w:r>
                </w:p>
              </w:tc>
            </w:tr>
          </w:tbl>
          <w:p w14:paraId="3A37E49D">
            <w:pPr>
              <w:pStyle w:val="118"/>
              <w:ind w:firstLineChars="0"/>
              <w:jc w:val="left"/>
              <w:rPr>
                <w:rFonts w:hint="eastAsia" w:eastAsia="宋体"/>
                <w:color w:val="auto"/>
                <w:kern w:val="2"/>
                <w:szCs w:val="24"/>
              </w:rPr>
            </w:pPr>
            <w:r>
              <w:rPr>
                <w:rFonts w:hint="eastAsia" w:eastAsia="宋体"/>
                <w:color w:val="auto"/>
                <w:kern w:val="2"/>
                <w:szCs w:val="24"/>
              </w:rPr>
              <w:t>本项目可行技术分析按照《排污许可证申请与核发技术规范 总则》（HJ942-2018）和</w:t>
            </w:r>
            <w:r>
              <w:rPr>
                <w:rFonts w:hint="eastAsia" w:eastAsia="宋体"/>
                <w:color w:val="auto"/>
              </w:rPr>
              <w:t xml:space="preserve">《排污许可证申请与核发技术规范 </w:t>
            </w:r>
            <w:r>
              <w:rPr>
                <w:rFonts w:hint="eastAsia" w:eastAsia="宋体"/>
                <w:color w:val="auto"/>
                <w:lang w:eastAsia="zh-CN"/>
              </w:rPr>
              <w:t>橡胶与塑料制品</w:t>
            </w:r>
            <w:r>
              <w:rPr>
                <w:rFonts w:hint="eastAsia" w:eastAsia="宋体"/>
                <w:color w:val="auto"/>
              </w:rPr>
              <w:t>》（HJ1027-20</w:t>
            </w:r>
            <w:r>
              <w:rPr>
                <w:rFonts w:hint="eastAsia" w:eastAsia="宋体"/>
                <w:color w:val="auto"/>
                <w:lang w:val="en-US" w:eastAsia="zh-CN"/>
              </w:rPr>
              <w:t>21</w:t>
            </w:r>
            <w:r>
              <w:rPr>
                <w:rFonts w:hint="eastAsia" w:eastAsia="宋体"/>
                <w:color w:val="auto"/>
              </w:rPr>
              <w:t>）</w:t>
            </w:r>
            <w:r>
              <w:rPr>
                <w:rFonts w:hint="eastAsia" w:eastAsia="宋体"/>
                <w:color w:val="auto"/>
                <w:kern w:val="2"/>
                <w:szCs w:val="24"/>
              </w:rPr>
              <w:t>等，本项目选用的</w:t>
            </w:r>
            <w:r>
              <w:rPr>
                <w:rFonts w:hint="eastAsia" w:eastAsia="宋体"/>
                <w:color w:val="auto"/>
                <w:kern w:val="2"/>
                <w:szCs w:val="24"/>
                <w:lang w:eastAsia="zh-CN"/>
              </w:rPr>
              <w:t>布袋</w:t>
            </w:r>
            <w:r>
              <w:rPr>
                <w:rFonts w:hint="eastAsia" w:eastAsia="宋体"/>
                <w:color w:val="auto"/>
                <w:kern w:val="2"/>
                <w:szCs w:val="24"/>
              </w:rPr>
              <w:t>除尘器属于规范中规定的除尘设施（袋式除尘器、电除尘器、电袋复合除尘器、其他）中的</w:t>
            </w:r>
            <w:r>
              <w:rPr>
                <w:rFonts w:hint="eastAsia" w:eastAsia="宋体"/>
                <w:color w:val="auto"/>
                <w:kern w:val="2"/>
                <w:szCs w:val="24"/>
                <w:lang w:eastAsia="zh-CN"/>
              </w:rPr>
              <w:t>袋式</w:t>
            </w:r>
            <w:r>
              <w:rPr>
                <w:rFonts w:hint="eastAsia" w:eastAsia="宋体"/>
                <w:color w:val="auto"/>
                <w:kern w:val="2"/>
                <w:szCs w:val="24"/>
              </w:rPr>
              <w:t>除尘器，本项目选用的活性炭装置属于规范中规定的有机废气收集治理设施（焚烧、吸附、催化分解、其他）中的吸附设施，因此本项目废气处理采用的技术均为可行技术。</w:t>
            </w:r>
          </w:p>
          <w:p w14:paraId="1D95C260">
            <w:pPr>
              <w:pStyle w:val="96"/>
              <w:ind w:firstLine="480"/>
              <w:textAlignment w:val="center"/>
              <w:rPr>
                <w:rFonts w:eastAsia="宋体"/>
                <w:color w:val="auto"/>
              </w:rPr>
            </w:pPr>
            <w:r>
              <w:rPr>
                <w:rFonts w:hint="eastAsia" w:eastAsia="宋体"/>
                <w:color w:val="auto"/>
              </w:rPr>
              <w:t>本项目收集率和处理效率可行性分析：</w:t>
            </w:r>
          </w:p>
          <w:p w14:paraId="0BE65CD0">
            <w:pPr>
              <w:pStyle w:val="96"/>
              <w:ind w:firstLine="480"/>
              <w:textAlignment w:val="center"/>
              <w:rPr>
                <w:rFonts w:eastAsia="宋体"/>
                <w:color w:val="auto"/>
              </w:rPr>
            </w:pPr>
            <w:r>
              <w:rPr>
                <w:rFonts w:hint="eastAsia" w:eastAsia="宋体"/>
                <w:color w:val="auto"/>
              </w:rPr>
              <w:t>本项目企业采用微负压整体换风形式，以车间密闭式集气方式进行废气收集，根据《浙江省重点行业 VOCs 污染排放源排放量计算方法（1.1版）》表1-1 VOC</w:t>
            </w:r>
            <w:r>
              <w:rPr>
                <w:rFonts w:hint="eastAsia" w:eastAsia="宋体"/>
                <w:color w:val="auto"/>
                <w:vertAlign w:val="subscript"/>
              </w:rPr>
              <w:t>S</w:t>
            </w:r>
            <w:r>
              <w:rPr>
                <w:rFonts w:hint="eastAsia" w:eastAsia="宋体"/>
                <w:color w:val="auto"/>
              </w:rPr>
              <w:t>认定收集效率表，本项目企业的收集方式可达到95%。</w:t>
            </w:r>
          </w:p>
          <w:p w14:paraId="1C5F2FDF">
            <w:pPr>
              <w:pStyle w:val="96"/>
              <w:ind w:firstLine="480"/>
              <w:textAlignment w:val="center"/>
              <w:rPr>
                <w:rFonts w:hint="eastAsia" w:eastAsia="宋体"/>
                <w:color w:val="auto"/>
                <w:kern w:val="2"/>
                <w:szCs w:val="24"/>
              </w:rPr>
            </w:pPr>
            <w:r>
              <w:rPr>
                <w:rFonts w:hint="eastAsia" w:eastAsia="宋体"/>
                <w:color w:val="auto"/>
              </w:rPr>
              <w:t>本项目采用两级活性炭处理工艺，要求填装颗粒状活性炭，同时碘值在800以上，单级活性炭装置VOC</w:t>
            </w:r>
            <w:r>
              <w:rPr>
                <w:rFonts w:hint="eastAsia" w:eastAsia="宋体"/>
                <w:color w:val="auto"/>
                <w:vertAlign w:val="subscript"/>
              </w:rPr>
              <w:t>S</w:t>
            </w:r>
            <w:r>
              <w:rPr>
                <w:rFonts w:hint="eastAsia" w:eastAsia="宋体"/>
                <w:color w:val="auto"/>
              </w:rPr>
              <w:t>去除率可达到60%以上，则二级活性炭装置VOC</w:t>
            </w:r>
            <w:r>
              <w:rPr>
                <w:rFonts w:hint="eastAsia" w:eastAsia="宋体"/>
                <w:color w:val="auto"/>
                <w:vertAlign w:val="subscript"/>
              </w:rPr>
              <w:t>S</w:t>
            </w:r>
            <w:r>
              <w:rPr>
                <w:rFonts w:hint="eastAsia" w:eastAsia="宋体"/>
                <w:color w:val="auto"/>
              </w:rPr>
              <w:t>去除率可达到80%以上。</w:t>
            </w:r>
          </w:p>
          <w:p w14:paraId="3B84F700">
            <w:pPr>
              <w:pStyle w:val="96"/>
              <w:ind w:firstLine="482"/>
              <w:textAlignment w:val="center"/>
              <w:rPr>
                <w:rFonts w:eastAsia="宋体"/>
                <w:b/>
                <w:color w:val="auto"/>
              </w:rPr>
            </w:pPr>
            <w:r>
              <w:rPr>
                <w:rFonts w:hint="eastAsia" w:eastAsia="宋体"/>
                <w:b/>
                <w:color w:val="auto"/>
              </w:rPr>
              <w:t>（3）非正常排放</w:t>
            </w:r>
          </w:p>
          <w:p w14:paraId="7E7D6882">
            <w:pPr>
              <w:spacing w:line="440" w:lineRule="exact"/>
              <w:ind w:firstLine="480" w:firstLineChars="200"/>
              <w:rPr>
                <w:bCs/>
                <w:color w:val="auto"/>
                <w:sz w:val="24"/>
              </w:rPr>
            </w:pPr>
            <w:r>
              <w:rPr>
                <w:rFonts w:hAnsi="Arial"/>
                <w:bCs/>
                <w:color w:val="auto"/>
                <w:sz w:val="24"/>
              </w:rPr>
              <w:t>非正常排放是指非正常工况下污染物排放，如设备检修、污染物排放控制措施达不到应有效率、工艺设备运转异常等情况下的排放。本项目生产系统运行时，在废气处理设施失效的情况下会造成废气非正常排放，本次评价考虑</w:t>
            </w:r>
            <w:r>
              <w:rPr>
                <w:rFonts w:hint="eastAsia" w:hAnsi="Arial"/>
                <w:bCs/>
                <w:color w:val="auto"/>
                <w:sz w:val="24"/>
              </w:rPr>
              <w:t>废气</w:t>
            </w:r>
            <w:r>
              <w:rPr>
                <w:rFonts w:hAnsi="Arial"/>
                <w:bCs/>
                <w:color w:val="auto"/>
                <w:sz w:val="24"/>
              </w:rPr>
              <w:t>装置去除效率降</w:t>
            </w:r>
            <w:r>
              <w:rPr>
                <w:rFonts w:hint="eastAsia" w:hAnsi="Arial"/>
                <w:bCs/>
                <w:color w:val="auto"/>
                <w:sz w:val="24"/>
              </w:rPr>
              <w:t>至</w:t>
            </w:r>
            <w:r>
              <w:rPr>
                <w:bCs/>
                <w:color w:val="auto"/>
                <w:sz w:val="24"/>
              </w:rPr>
              <w:t>30%</w:t>
            </w:r>
            <w:r>
              <w:rPr>
                <w:rFonts w:hAnsi="Arial"/>
                <w:bCs/>
                <w:color w:val="auto"/>
                <w:sz w:val="24"/>
              </w:rPr>
              <w:t>。</w:t>
            </w:r>
            <w:r>
              <w:rPr>
                <w:rFonts w:hint="eastAsia" w:hAnsi="Arial"/>
                <w:bCs/>
                <w:color w:val="auto"/>
                <w:sz w:val="24"/>
              </w:rPr>
              <w:t>本项目</w:t>
            </w:r>
            <w:r>
              <w:rPr>
                <w:rFonts w:hAnsi="Arial"/>
                <w:bCs/>
                <w:color w:val="auto"/>
                <w:sz w:val="24"/>
              </w:rPr>
              <w:t>非正常排放</w:t>
            </w:r>
            <w:r>
              <w:rPr>
                <w:rFonts w:hint="eastAsia" w:hAnsi="Arial"/>
                <w:bCs/>
                <w:color w:val="auto"/>
                <w:sz w:val="24"/>
              </w:rPr>
              <w:t>源强</w:t>
            </w:r>
            <w:r>
              <w:rPr>
                <w:rFonts w:hAnsi="Arial"/>
                <w:bCs/>
                <w:color w:val="auto"/>
                <w:sz w:val="24"/>
              </w:rPr>
              <w:t>及处理措施详见表</w:t>
            </w:r>
            <w:r>
              <w:rPr>
                <w:rFonts w:hint="eastAsia"/>
                <w:bCs/>
                <w:color w:val="auto"/>
                <w:sz w:val="24"/>
              </w:rPr>
              <w:t>4</w:t>
            </w:r>
            <w:r>
              <w:rPr>
                <w:bCs/>
                <w:color w:val="auto"/>
                <w:sz w:val="24"/>
              </w:rPr>
              <w:t>-</w:t>
            </w:r>
            <w:r>
              <w:rPr>
                <w:rFonts w:hint="eastAsia"/>
                <w:bCs/>
                <w:color w:val="auto"/>
                <w:sz w:val="24"/>
                <w:lang w:val="en-US" w:eastAsia="zh-CN"/>
              </w:rPr>
              <w:t>9</w:t>
            </w:r>
            <w:r>
              <w:rPr>
                <w:rFonts w:hAnsi="Arial"/>
                <w:bCs/>
                <w:color w:val="auto"/>
                <w:sz w:val="24"/>
              </w:rPr>
              <w:t>。</w:t>
            </w:r>
          </w:p>
          <w:p w14:paraId="6A7D182A">
            <w:pPr>
              <w:spacing w:line="420" w:lineRule="exact"/>
              <w:jc w:val="center"/>
              <w:rPr>
                <w:rFonts w:hAnsi="Arial"/>
                <w:b/>
                <w:color w:val="auto"/>
                <w:szCs w:val="21"/>
              </w:rPr>
            </w:pPr>
          </w:p>
          <w:p w14:paraId="20074857">
            <w:pPr>
              <w:spacing w:line="420" w:lineRule="exact"/>
              <w:jc w:val="center"/>
              <w:rPr>
                <w:rFonts w:hAnsi="Arial"/>
                <w:b/>
                <w:color w:val="auto"/>
                <w:szCs w:val="21"/>
              </w:rPr>
            </w:pPr>
            <w:r>
              <w:rPr>
                <w:rFonts w:hAnsi="Arial"/>
                <w:b/>
                <w:color w:val="auto"/>
                <w:szCs w:val="21"/>
              </w:rPr>
              <w:t>表</w:t>
            </w:r>
            <w:r>
              <w:rPr>
                <w:rFonts w:hint="eastAsia"/>
                <w:b/>
                <w:color w:val="auto"/>
                <w:szCs w:val="21"/>
              </w:rPr>
              <w:t>4</w:t>
            </w:r>
            <w:r>
              <w:rPr>
                <w:b/>
                <w:color w:val="auto"/>
                <w:szCs w:val="21"/>
              </w:rPr>
              <w:t>-</w:t>
            </w:r>
            <w:r>
              <w:rPr>
                <w:rFonts w:hint="eastAsia"/>
                <w:b/>
                <w:color w:val="auto"/>
                <w:szCs w:val="21"/>
                <w:lang w:val="en-US" w:eastAsia="zh-CN"/>
              </w:rPr>
              <w:t>9</w:t>
            </w:r>
            <w:r>
              <w:rPr>
                <w:rFonts w:hint="eastAsia"/>
                <w:b/>
                <w:color w:val="auto"/>
                <w:szCs w:val="21"/>
              </w:rPr>
              <w:t xml:space="preserve"> </w:t>
            </w:r>
            <w:r>
              <w:rPr>
                <w:rFonts w:hAnsi="Arial"/>
                <w:b/>
                <w:color w:val="auto"/>
                <w:szCs w:val="21"/>
              </w:rPr>
              <w:t>本项目非正常排放污染源强及处理措施</w:t>
            </w:r>
          </w:p>
          <w:tbl>
            <w:tblPr>
              <w:tblStyle w:val="37"/>
              <w:tblW w:w="8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0"/>
              <w:gridCol w:w="1007"/>
              <w:gridCol w:w="1082"/>
              <w:gridCol w:w="1136"/>
              <w:gridCol w:w="1060"/>
              <w:gridCol w:w="868"/>
              <w:gridCol w:w="1082"/>
              <w:gridCol w:w="1002"/>
            </w:tblGrid>
            <w:tr w14:paraId="43E97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50" w:type="dxa"/>
                  <w:vAlign w:val="center"/>
                </w:tcPr>
                <w:p w14:paraId="33E18833">
                  <w:pPr>
                    <w:jc w:val="center"/>
                    <w:rPr>
                      <w:b/>
                      <w:color w:val="auto"/>
                      <w:szCs w:val="21"/>
                    </w:rPr>
                  </w:pPr>
                  <w:r>
                    <w:rPr>
                      <w:b/>
                      <w:color w:val="auto"/>
                      <w:szCs w:val="21"/>
                    </w:rPr>
                    <w:t>工况</w:t>
                  </w:r>
                </w:p>
              </w:tc>
              <w:tc>
                <w:tcPr>
                  <w:tcW w:w="1007" w:type="dxa"/>
                  <w:tcBorders>
                    <w:right w:val="single" w:color="auto" w:sz="4" w:space="0"/>
                  </w:tcBorders>
                  <w:vAlign w:val="center"/>
                </w:tcPr>
                <w:p w14:paraId="5F38AFC2">
                  <w:pPr>
                    <w:jc w:val="center"/>
                    <w:rPr>
                      <w:b/>
                      <w:color w:val="auto"/>
                      <w:szCs w:val="21"/>
                    </w:rPr>
                  </w:pPr>
                  <w:r>
                    <w:rPr>
                      <w:b/>
                      <w:color w:val="auto"/>
                      <w:szCs w:val="21"/>
                    </w:rPr>
                    <w:t>主要</w:t>
                  </w:r>
                </w:p>
                <w:p w14:paraId="344040D2">
                  <w:pPr>
                    <w:jc w:val="center"/>
                    <w:rPr>
                      <w:b/>
                      <w:color w:val="auto"/>
                      <w:szCs w:val="21"/>
                    </w:rPr>
                  </w:pPr>
                  <w:r>
                    <w:rPr>
                      <w:b/>
                      <w:color w:val="auto"/>
                      <w:szCs w:val="21"/>
                    </w:rPr>
                    <w:t>污染物</w:t>
                  </w:r>
                </w:p>
              </w:tc>
              <w:tc>
                <w:tcPr>
                  <w:tcW w:w="1082" w:type="dxa"/>
                  <w:tcBorders>
                    <w:right w:val="single" w:color="auto" w:sz="4" w:space="0"/>
                  </w:tcBorders>
                  <w:vAlign w:val="center"/>
                </w:tcPr>
                <w:p w14:paraId="225ECE90">
                  <w:pPr>
                    <w:widowControl/>
                    <w:jc w:val="center"/>
                    <w:rPr>
                      <w:b/>
                      <w:color w:val="auto"/>
                      <w:szCs w:val="20"/>
                    </w:rPr>
                  </w:pPr>
                  <w:r>
                    <w:rPr>
                      <w:b/>
                      <w:color w:val="auto"/>
                      <w:szCs w:val="21"/>
                    </w:rPr>
                    <w:t>设备风量</w:t>
                  </w:r>
                  <w:r>
                    <w:rPr>
                      <w:rFonts w:hint="eastAsia"/>
                      <w:b/>
                      <w:color w:val="auto"/>
                      <w:szCs w:val="21"/>
                    </w:rPr>
                    <w:t>（</w:t>
                  </w:r>
                  <w:r>
                    <w:rPr>
                      <w:b/>
                      <w:color w:val="auto"/>
                      <w:szCs w:val="21"/>
                    </w:rPr>
                    <w:t>m</w:t>
                  </w:r>
                  <w:r>
                    <w:rPr>
                      <w:b/>
                      <w:color w:val="auto"/>
                      <w:szCs w:val="21"/>
                      <w:vertAlign w:val="superscript"/>
                    </w:rPr>
                    <w:t>3</w:t>
                  </w:r>
                  <w:r>
                    <w:rPr>
                      <w:b/>
                      <w:color w:val="auto"/>
                      <w:szCs w:val="21"/>
                    </w:rPr>
                    <w:t>/h</w:t>
                  </w:r>
                  <w:r>
                    <w:rPr>
                      <w:rFonts w:hint="eastAsia"/>
                      <w:b/>
                      <w:color w:val="auto"/>
                      <w:szCs w:val="21"/>
                    </w:rPr>
                    <w:t>）</w:t>
                  </w:r>
                </w:p>
              </w:tc>
              <w:tc>
                <w:tcPr>
                  <w:tcW w:w="1136" w:type="dxa"/>
                  <w:tcBorders>
                    <w:left w:val="single" w:color="auto" w:sz="4" w:space="0"/>
                  </w:tcBorders>
                  <w:vAlign w:val="center"/>
                </w:tcPr>
                <w:p w14:paraId="63D31A65">
                  <w:pPr>
                    <w:jc w:val="center"/>
                    <w:rPr>
                      <w:b/>
                      <w:color w:val="auto"/>
                      <w:szCs w:val="21"/>
                    </w:rPr>
                  </w:pPr>
                  <w:r>
                    <w:rPr>
                      <w:b/>
                      <w:color w:val="auto"/>
                      <w:szCs w:val="21"/>
                    </w:rPr>
                    <w:t>非正常排放浓度</w:t>
                  </w:r>
                </w:p>
                <w:p w14:paraId="6FFEE769">
                  <w:pPr>
                    <w:pStyle w:val="2"/>
                    <w:ind w:firstLine="0" w:firstLineChars="0"/>
                    <w:jc w:val="center"/>
                    <w:rPr>
                      <w:b/>
                      <w:color w:val="auto"/>
                      <w:szCs w:val="20"/>
                    </w:rPr>
                  </w:pPr>
                  <w:r>
                    <w:rPr>
                      <w:rFonts w:hint="eastAsia"/>
                      <w:b/>
                      <w:color w:val="auto"/>
                      <w:szCs w:val="21"/>
                    </w:rPr>
                    <w:t>（</w:t>
                  </w:r>
                  <w:r>
                    <w:rPr>
                      <w:b/>
                      <w:color w:val="auto"/>
                      <w:szCs w:val="21"/>
                    </w:rPr>
                    <w:t>mg/m</w:t>
                  </w:r>
                  <w:r>
                    <w:rPr>
                      <w:b/>
                      <w:color w:val="auto"/>
                      <w:szCs w:val="21"/>
                      <w:vertAlign w:val="superscript"/>
                    </w:rPr>
                    <w:t>3</w:t>
                  </w:r>
                  <w:r>
                    <w:rPr>
                      <w:rFonts w:hint="eastAsia"/>
                      <w:b/>
                      <w:color w:val="auto"/>
                      <w:szCs w:val="21"/>
                    </w:rPr>
                    <w:t>）</w:t>
                  </w:r>
                </w:p>
              </w:tc>
              <w:tc>
                <w:tcPr>
                  <w:tcW w:w="1060" w:type="dxa"/>
                  <w:tcBorders>
                    <w:right w:val="single" w:color="auto" w:sz="4" w:space="0"/>
                  </w:tcBorders>
                  <w:vAlign w:val="center"/>
                </w:tcPr>
                <w:p w14:paraId="12EED1BD">
                  <w:pPr>
                    <w:jc w:val="center"/>
                    <w:rPr>
                      <w:b/>
                      <w:color w:val="auto"/>
                      <w:szCs w:val="20"/>
                    </w:rPr>
                  </w:pPr>
                  <w:r>
                    <w:rPr>
                      <w:b/>
                      <w:color w:val="auto"/>
                      <w:szCs w:val="21"/>
                    </w:rPr>
                    <w:t>非正常排放速率</w:t>
                  </w:r>
                  <w:r>
                    <w:rPr>
                      <w:rFonts w:hint="eastAsia"/>
                      <w:b/>
                      <w:color w:val="auto"/>
                      <w:szCs w:val="21"/>
                    </w:rPr>
                    <w:t>（</w:t>
                  </w:r>
                  <w:r>
                    <w:rPr>
                      <w:b/>
                      <w:color w:val="auto"/>
                      <w:szCs w:val="21"/>
                    </w:rPr>
                    <w:t>kg/h</w:t>
                  </w:r>
                  <w:r>
                    <w:rPr>
                      <w:rFonts w:hint="eastAsia"/>
                      <w:b/>
                      <w:color w:val="auto"/>
                      <w:szCs w:val="21"/>
                    </w:rPr>
                    <w:t>）</w:t>
                  </w:r>
                </w:p>
              </w:tc>
              <w:tc>
                <w:tcPr>
                  <w:tcW w:w="868" w:type="dxa"/>
                  <w:tcBorders>
                    <w:left w:val="single" w:color="auto" w:sz="4" w:space="0"/>
                  </w:tcBorders>
                  <w:vAlign w:val="center"/>
                </w:tcPr>
                <w:p w14:paraId="6E163E4D">
                  <w:pPr>
                    <w:jc w:val="center"/>
                    <w:rPr>
                      <w:b/>
                      <w:color w:val="auto"/>
                      <w:szCs w:val="21"/>
                    </w:rPr>
                  </w:pPr>
                  <w:r>
                    <w:rPr>
                      <w:b/>
                      <w:color w:val="auto"/>
                      <w:szCs w:val="21"/>
                    </w:rPr>
                    <w:t>单次持续时间</w:t>
                  </w:r>
                  <w:r>
                    <w:rPr>
                      <w:rFonts w:hint="eastAsia"/>
                      <w:b/>
                      <w:color w:val="auto"/>
                      <w:szCs w:val="21"/>
                    </w:rPr>
                    <w:t>（h）</w:t>
                  </w:r>
                </w:p>
              </w:tc>
              <w:tc>
                <w:tcPr>
                  <w:tcW w:w="1082" w:type="dxa"/>
                  <w:tcBorders>
                    <w:right w:val="single" w:color="auto" w:sz="4" w:space="0"/>
                  </w:tcBorders>
                  <w:vAlign w:val="center"/>
                </w:tcPr>
                <w:p w14:paraId="01D3D1F3">
                  <w:pPr>
                    <w:jc w:val="center"/>
                    <w:rPr>
                      <w:rFonts w:hAnsi="Arial"/>
                      <w:b/>
                      <w:color w:val="auto"/>
                      <w:szCs w:val="21"/>
                    </w:rPr>
                  </w:pPr>
                  <w:r>
                    <w:rPr>
                      <w:rFonts w:hAnsi="Arial"/>
                      <w:b/>
                      <w:color w:val="auto"/>
                      <w:szCs w:val="21"/>
                    </w:rPr>
                    <w:t>每年发生频次</w:t>
                  </w:r>
                </w:p>
                <w:p w14:paraId="0F309A0D">
                  <w:pPr>
                    <w:pStyle w:val="2"/>
                    <w:ind w:firstLine="0" w:firstLineChars="0"/>
                    <w:jc w:val="center"/>
                    <w:rPr>
                      <w:b/>
                      <w:color w:val="auto"/>
                      <w:szCs w:val="20"/>
                    </w:rPr>
                  </w:pPr>
                  <w:r>
                    <w:rPr>
                      <w:rFonts w:hint="eastAsia"/>
                      <w:b/>
                      <w:color w:val="auto"/>
                      <w:szCs w:val="20"/>
                    </w:rPr>
                    <w:t>（次/年）</w:t>
                  </w:r>
                </w:p>
              </w:tc>
              <w:tc>
                <w:tcPr>
                  <w:tcW w:w="1002" w:type="dxa"/>
                  <w:tcBorders>
                    <w:left w:val="single" w:color="auto" w:sz="4" w:space="0"/>
                  </w:tcBorders>
                  <w:vAlign w:val="center"/>
                </w:tcPr>
                <w:p w14:paraId="3AD10CC0">
                  <w:pPr>
                    <w:jc w:val="center"/>
                    <w:rPr>
                      <w:rFonts w:hAnsi="Arial"/>
                      <w:b/>
                      <w:color w:val="auto"/>
                      <w:szCs w:val="21"/>
                    </w:rPr>
                  </w:pPr>
                  <w:r>
                    <w:rPr>
                      <w:rFonts w:hAnsi="Arial"/>
                      <w:b/>
                      <w:color w:val="auto"/>
                      <w:szCs w:val="21"/>
                    </w:rPr>
                    <w:t>处理</w:t>
                  </w:r>
                </w:p>
                <w:p w14:paraId="45328D03">
                  <w:pPr>
                    <w:jc w:val="center"/>
                    <w:rPr>
                      <w:b/>
                      <w:color w:val="auto"/>
                      <w:szCs w:val="21"/>
                    </w:rPr>
                  </w:pPr>
                  <w:r>
                    <w:rPr>
                      <w:rFonts w:hAnsi="Arial"/>
                      <w:b/>
                      <w:color w:val="auto"/>
                      <w:szCs w:val="21"/>
                    </w:rPr>
                    <w:t>措施</w:t>
                  </w:r>
                </w:p>
              </w:tc>
            </w:tr>
            <w:tr w14:paraId="193D0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50" w:type="dxa"/>
                  <w:tcBorders>
                    <w:top w:val="single" w:color="auto" w:sz="4" w:space="0"/>
                    <w:bottom w:val="single" w:color="auto" w:sz="4" w:space="0"/>
                  </w:tcBorders>
                  <w:vAlign w:val="center"/>
                </w:tcPr>
                <w:p w14:paraId="41F90917">
                  <w:pPr>
                    <w:jc w:val="center"/>
                    <w:rPr>
                      <w:color w:val="auto"/>
                      <w:szCs w:val="21"/>
                    </w:rPr>
                  </w:pPr>
                  <w:r>
                    <w:rPr>
                      <w:rFonts w:hint="eastAsia"/>
                      <w:color w:val="auto"/>
                      <w:szCs w:val="21"/>
                      <w:lang w:eastAsia="zh-CN"/>
                    </w:rPr>
                    <w:t>注塑</w:t>
                  </w:r>
                  <w:r>
                    <w:rPr>
                      <w:rFonts w:hint="eastAsia"/>
                      <w:color w:val="auto"/>
                      <w:szCs w:val="21"/>
                    </w:rPr>
                    <w:t>废气处理装置故障</w:t>
                  </w:r>
                </w:p>
              </w:tc>
              <w:tc>
                <w:tcPr>
                  <w:tcW w:w="1007" w:type="dxa"/>
                  <w:tcBorders>
                    <w:right w:val="single" w:color="auto" w:sz="4" w:space="0"/>
                  </w:tcBorders>
                  <w:vAlign w:val="center"/>
                </w:tcPr>
                <w:p w14:paraId="7589BB24">
                  <w:pPr>
                    <w:jc w:val="center"/>
                    <w:rPr>
                      <w:rFonts w:hint="eastAsia" w:eastAsia="宋体"/>
                      <w:color w:val="auto"/>
                      <w:szCs w:val="21"/>
                      <w:lang w:eastAsia="zh-CN"/>
                    </w:rPr>
                  </w:pPr>
                  <w:r>
                    <w:rPr>
                      <w:rFonts w:hint="eastAsia"/>
                      <w:color w:val="auto"/>
                      <w:szCs w:val="21"/>
                    </w:rPr>
                    <w:t>非甲烷总烃</w:t>
                  </w:r>
                  <w:r>
                    <w:rPr>
                      <w:rFonts w:hint="eastAsia"/>
                      <w:color w:val="auto"/>
                      <w:szCs w:val="21"/>
                      <w:lang w:eastAsia="zh-CN"/>
                    </w:rPr>
                    <w:t>、苯乙烯</w:t>
                  </w:r>
                </w:p>
              </w:tc>
              <w:tc>
                <w:tcPr>
                  <w:tcW w:w="1082" w:type="dxa"/>
                  <w:tcBorders>
                    <w:top w:val="single" w:color="auto" w:sz="4" w:space="0"/>
                    <w:bottom w:val="single" w:color="auto" w:sz="4" w:space="0"/>
                    <w:right w:val="single" w:color="auto" w:sz="4" w:space="0"/>
                  </w:tcBorders>
                  <w:vAlign w:val="center"/>
                </w:tcPr>
                <w:p w14:paraId="0F1BC2D4">
                  <w:pPr>
                    <w:jc w:val="center"/>
                    <w:rPr>
                      <w:rFonts w:hint="default" w:hAnsi="宋体" w:eastAsia="宋体"/>
                      <w:color w:val="auto"/>
                      <w:szCs w:val="21"/>
                      <w:lang w:val="en-US" w:eastAsia="zh-CN"/>
                    </w:rPr>
                  </w:pPr>
                  <w:r>
                    <w:rPr>
                      <w:rFonts w:hint="eastAsia" w:hAnsi="宋体"/>
                      <w:color w:val="auto"/>
                      <w:szCs w:val="21"/>
                      <w:lang w:val="en-US" w:eastAsia="zh-CN"/>
                    </w:rPr>
                    <w:t>29000</w:t>
                  </w:r>
                </w:p>
              </w:tc>
              <w:tc>
                <w:tcPr>
                  <w:tcW w:w="1136" w:type="dxa"/>
                  <w:tcBorders>
                    <w:left w:val="single" w:color="auto" w:sz="4" w:space="0"/>
                  </w:tcBorders>
                  <w:vAlign w:val="center"/>
                </w:tcPr>
                <w:p w14:paraId="62FBC070">
                  <w:pPr>
                    <w:jc w:val="center"/>
                    <w:rPr>
                      <w:rFonts w:hint="default" w:hAnsi="宋体" w:eastAsia="宋体"/>
                      <w:color w:val="auto"/>
                      <w:szCs w:val="21"/>
                      <w:lang w:val="en-US" w:eastAsia="zh-CN"/>
                    </w:rPr>
                  </w:pPr>
                  <w:r>
                    <w:rPr>
                      <w:rFonts w:hint="eastAsia" w:hAnsi="宋体"/>
                      <w:color w:val="auto"/>
                      <w:szCs w:val="21"/>
                      <w:lang w:val="en-US" w:eastAsia="zh-CN"/>
                    </w:rPr>
                    <w:t>1.4</w:t>
                  </w:r>
                </w:p>
              </w:tc>
              <w:tc>
                <w:tcPr>
                  <w:tcW w:w="1060" w:type="dxa"/>
                  <w:tcBorders>
                    <w:right w:val="single" w:color="auto" w:sz="4" w:space="0"/>
                  </w:tcBorders>
                  <w:vAlign w:val="center"/>
                </w:tcPr>
                <w:p w14:paraId="55658E12">
                  <w:pPr>
                    <w:jc w:val="center"/>
                    <w:rPr>
                      <w:rFonts w:hint="default" w:hAnsi="宋体" w:eastAsia="宋体"/>
                      <w:color w:val="auto"/>
                      <w:szCs w:val="21"/>
                      <w:lang w:val="en-US" w:eastAsia="zh-CN"/>
                    </w:rPr>
                  </w:pPr>
                  <w:r>
                    <w:rPr>
                      <w:rFonts w:hint="eastAsia" w:hAnsi="宋体"/>
                      <w:color w:val="auto"/>
                      <w:szCs w:val="21"/>
                      <w:lang w:val="en-US" w:eastAsia="zh-CN"/>
                    </w:rPr>
                    <w:t>0.040</w:t>
                  </w:r>
                </w:p>
              </w:tc>
              <w:tc>
                <w:tcPr>
                  <w:tcW w:w="868" w:type="dxa"/>
                  <w:tcBorders>
                    <w:left w:val="single" w:color="auto" w:sz="4" w:space="0"/>
                  </w:tcBorders>
                  <w:vAlign w:val="center"/>
                </w:tcPr>
                <w:p w14:paraId="715E0A0D">
                  <w:pPr>
                    <w:jc w:val="center"/>
                    <w:rPr>
                      <w:rFonts w:hAnsi="宋体"/>
                      <w:color w:val="auto"/>
                      <w:szCs w:val="21"/>
                    </w:rPr>
                  </w:pPr>
                  <w:r>
                    <w:rPr>
                      <w:rFonts w:hint="eastAsia" w:hAnsi="宋体"/>
                      <w:color w:val="auto"/>
                      <w:szCs w:val="21"/>
                    </w:rPr>
                    <w:t>0.5</w:t>
                  </w:r>
                </w:p>
              </w:tc>
              <w:tc>
                <w:tcPr>
                  <w:tcW w:w="1082" w:type="dxa"/>
                  <w:tcBorders>
                    <w:right w:val="single" w:color="auto" w:sz="4" w:space="0"/>
                  </w:tcBorders>
                  <w:vAlign w:val="center"/>
                </w:tcPr>
                <w:p w14:paraId="181FBA2D">
                  <w:pPr>
                    <w:rPr>
                      <w:rFonts w:hAnsi="宋体"/>
                      <w:color w:val="auto"/>
                      <w:szCs w:val="21"/>
                    </w:rPr>
                  </w:pPr>
                  <w:r>
                    <w:rPr>
                      <w:rFonts w:hint="eastAsia" w:hAnsi="宋体"/>
                      <w:color w:val="auto"/>
                      <w:szCs w:val="21"/>
                    </w:rPr>
                    <w:t>＜2次/年</w:t>
                  </w:r>
                </w:p>
              </w:tc>
              <w:tc>
                <w:tcPr>
                  <w:tcW w:w="1002" w:type="dxa"/>
                  <w:tcBorders>
                    <w:left w:val="single" w:color="auto" w:sz="4" w:space="0"/>
                  </w:tcBorders>
                  <w:vAlign w:val="center"/>
                </w:tcPr>
                <w:p w14:paraId="56C0DA0F">
                  <w:pPr>
                    <w:rPr>
                      <w:rFonts w:hAnsi="Arial"/>
                      <w:color w:val="auto"/>
                      <w:szCs w:val="21"/>
                    </w:rPr>
                  </w:pPr>
                  <w:r>
                    <w:rPr>
                      <w:rFonts w:hAnsi="Arial"/>
                      <w:color w:val="auto"/>
                      <w:szCs w:val="21"/>
                    </w:rPr>
                    <w:t>立即停产检修，故障排除后继续运行。</w:t>
                  </w:r>
                </w:p>
              </w:tc>
            </w:tr>
          </w:tbl>
          <w:p w14:paraId="4F62EF1C">
            <w:pPr>
              <w:pStyle w:val="118"/>
              <w:ind w:firstLineChars="0"/>
              <w:jc w:val="left"/>
              <w:rPr>
                <w:rFonts w:hAnsi="新宋体" w:eastAsia="新宋体"/>
                <w:bCs/>
                <w:color w:val="auto"/>
                <w:kern w:val="2"/>
                <w:szCs w:val="24"/>
              </w:rPr>
            </w:pPr>
            <w:r>
              <w:rPr>
                <w:rFonts w:hAnsi="新宋体" w:eastAsia="新宋体"/>
                <w:bCs/>
                <w:color w:val="auto"/>
                <w:kern w:val="2"/>
                <w:szCs w:val="24"/>
              </w:rPr>
              <w:t>建议项目方在使用废气处理设施时，应制定严格的管理制度，指定专人负责，做好各管道的密闭管理工作。定期进行设备维护，检查与更换相关部件，定期监测取样，确保污染物处理效率，以免造成非正常排放的发生。</w:t>
            </w:r>
          </w:p>
          <w:p w14:paraId="7AB6F00E">
            <w:pPr>
              <w:adjustRightInd w:val="0"/>
              <w:snapToGrid w:val="0"/>
              <w:spacing w:line="440" w:lineRule="exact"/>
              <w:rPr>
                <w:b/>
                <w:color w:val="auto"/>
                <w:sz w:val="24"/>
              </w:rPr>
            </w:pPr>
            <w:r>
              <w:rPr>
                <w:rFonts w:hAnsi="宋体"/>
                <w:b/>
                <w:color w:val="auto"/>
                <w:sz w:val="24"/>
              </w:rPr>
              <w:t>（</w:t>
            </w:r>
            <w:r>
              <w:rPr>
                <w:rFonts w:hint="eastAsia"/>
                <w:b/>
                <w:color w:val="auto"/>
                <w:sz w:val="24"/>
              </w:rPr>
              <w:t>3</w:t>
            </w:r>
            <w:r>
              <w:rPr>
                <w:rFonts w:hAnsi="宋体"/>
                <w:b/>
                <w:color w:val="auto"/>
                <w:sz w:val="24"/>
              </w:rPr>
              <w:t>）自行监测要求</w:t>
            </w:r>
          </w:p>
          <w:p w14:paraId="723ADC64">
            <w:pPr>
              <w:pStyle w:val="108"/>
              <w:ind w:firstLine="480"/>
              <w:rPr>
                <w:rFonts w:hAnsi="宋体" w:eastAsia="宋体"/>
                <w:color w:val="auto"/>
              </w:rPr>
            </w:pPr>
            <w:r>
              <w:rPr>
                <w:rFonts w:hAnsi="新宋体" w:eastAsia="新宋体"/>
                <w:bCs/>
                <w:color w:val="auto"/>
                <w:szCs w:val="24"/>
              </w:rPr>
              <w:t>结合项目情况、</w:t>
            </w:r>
            <w:r>
              <w:rPr>
                <w:rFonts w:hint="eastAsia" w:hAnsi="新宋体" w:eastAsia="新宋体"/>
                <w:bCs/>
                <w:color w:val="auto"/>
                <w:szCs w:val="24"/>
              </w:rPr>
              <w:t>《排污单位自行监测技术指南 总则》（HJ819-2017）和</w:t>
            </w:r>
            <w:r>
              <w:rPr>
                <w:rFonts w:hint="eastAsia" w:eastAsia="宋体"/>
                <w:color w:val="auto"/>
              </w:rPr>
              <w:t xml:space="preserve">《排污许可证申请与核发技术规范 </w:t>
            </w:r>
            <w:r>
              <w:rPr>
                <w:rFonts w:hint="eastAsia" w:eastAsia="宋体"/>
                <w:color w:val="auto"/>
                <w:lang w:eastAsia="zh-CN"/>
              </w:rPr>
              <w:t>橡胶与塑料制品</w:t>
            </w:r>
            <w:r>
              <w:rPr>
                <w:rFonts w:hint="eastAsia" w:eastAsia="宋体"/>
                <w:color w:val="auto"/>
              </w:rPr>
              <w:t>》（HJ1027-20</w:t>
            </w:r>
            <w:r>
              <w:rPr>
                <w:rFonts w:hint="eastAsia" w:eastAsia="宋体"/>
                <w:color w:val="auto"/>
                <w:lang w:val="en-US" w:eastAsia="zh-CN"/>
              </w:rPr>
              <w:t>21</w:t>
            </w:r>
            <w:r>
              <w:rPr>
                <w:rFonts w:hint="eastAsia" w:eastAsia="宋体"/>
                <w:color w:val="auto"/>
              </w:rPr>
              <w:t>）</w:t>
            </w:r>
            <w:r>
              <w:rPr>
                <w:rFonts w:hint="eastAsia" w:hAnsi="新宋体" w:eastAsia="新宋体"/>
                <w:bCs/>
                <w:color w:val="auto"/>
                <w:szCs w:val="24"/>
              </w:rPr>
              <w:t>，</w:t>
            </w:r>
            <w:r>
              <w:rPr>
                <w:rFonts w:hAnsi="新宋体" w:eastAsia="新宋体"/>
                <w:bCs/>
                <w:color w:val="auto"/>
                <w:szCs w:val="24"/>
              </w:rPr>
              <w:t>本项目</w:t>
            </w:r>
            <w:r>
              <w:rPr>
                <w:rFonts w:hAnsi="宋体" w:eastAsia="宋体"/>
                <w:color w:val="auto"/>
              </w:rPr>
              <w:t>环境监测计划见表</w:t>
            </w:r>
            <w:r>
              <w:rPr>
                <w:rFonts w:eastAsia="宋体"/>
                <w:color w:val="auto"/>
              </w:rPr>
              <w:t>4-</w:t>
            </w:r>
            <w:r>
              <w:rPr>
                <w:rFonts w:hint="eastAsia" w:eastAsia="宋体"/>
                <w:color w:val="auto"/>
                <w:lang w:val="en-US" w:eastAsia="zh-CN"/>
              </w:rPr>
              <w:t>10</w:t>
            </w:r>
            <w:r>
              <w:rPr>
                <w:rFonts w:hint="eastAsia" w:hAnsi="宋体" w:eastAsia="宋体"/>
                <w:color w:val="auto"/>
              </w:rPr>
              <w:t>和</w:t>
            </w:r>
            <w:r>
              <w:rPr>
                <w:rFonts w:hAnsi="宋体" w:eastAsia="宋体"/>
                <w:color w:val="auto"/>
              </w:rPr>
              <w:t>表</w:t>
            </w:r>
            <w:r>
              <w:rPr>
                <w:rFonts w:eastAsia="宋体"/>
                <w:color w:val="auto"/>
              </w:rPr>
              <w:t>4-</w:t>
            </w:r>
            <w:r>
              <w:rPr>
                <w:rFonts w:hint="eastAsia" w:eastAsia="宋体"/>
                <w:color w:val="auto"/>
              </w:rPr>
              <w:t>1</w:t>
            </w:r>
            <w:r>
              <w:rPr>
                <w:rFonts w:hint="eastAsia" w:eastAsia="宋体"/>
                <w:color w:val="auto"/>
                <w:lang w:val="en-US" w:eastAsia="zh-CN"/>
              </w:rPr>
              <w:t>1</w:t>
            </w:r>
            <w:r>
              <w:rPr>
                <w:rFonts w:hAnsi="宋体" w:eastAsia="宋体"/>
                <w:color w:val="auto"/>
              </w:rPr>
              <w:t>。</w:t>
            </w:r>
          </w:p>
          <w:p w14:paraId="3B364E00">
            <w:pPr>
              <w:pStyle w:val="115"/>
              <w:spacing w:line="440" w:lineRule="exact"/>
              <w:ind w:firstLine="420"/>
              <w:rPr>
                <w:rFonts w:eastAsia="宋体"/>
                <w:color w:val="auto"/>
              </w:rPr>
            </w:pPr>
            <w:r>
              <w:rPr>
                <w:rFonts w:hAnsi="宋体" w:eastAsia="宋体"/>
                <w:color w:val="auto"/>
              </w:rPr>
              <w:t>表</w:t>
            </w:r>
            <w:r>
              <w:rPr>
                <w:rFonts w:eastAsia="宋体"/>
                <w:color w:val="auto"/>
              </w:rPr>
              <w:t>4</w:t>
            </w:r>
            <w:r>
              <w:rPr>
                <w:rFonts w:hint="eastAsia" w:eastAsia="宋体"/>
                <w:color w:val="auto"/>
                <w:lang w:val="en-US" w:eastAsia="zh-CN"/>
              </w:rPr>
              <w:t>-10</w:t>
            </w:r>
            <w:r>
              <w:rPr>
                <w:rFonts w:hint="eastAsia" w:eastAsia="宋体"/>
                <w:color w:val="auto"/>
              </w:rPr>
              <w:t xml:space="preserve"> </w:t>
            </w:r>
            <w:r>
              <w:rPr>
                <w:rFonts w:hAnsi="宋体" w:eastAsia="宋体"/>
                <w:color w:val="auto"/>
              </w:rPr>
              <w:t>有组织废气监测方案</w:t>
            </w:r>
          </w:p>
          <w:tbl>
            <w:tblPr>
              <w:tblStyle w:val="37"/>
              <w:tblW w:w="50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627"/>
              <w:gridCol w:w="2221"/>
              <w:gridCol w:w="1214"/>
              <w:gridCol w:w="2047"/>
            </w:tblGrid>
            <w:tr w14:paraId="2B3E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4" w:type="pct"/>
                  <w:vAlign w:val="center"/>
                </w:tcPr>
                <w:p w14:paraId="66B98641">
                  <w:pPr>
                    <w:pStyle w:val="100"/>
                    <w:rPr>
                      <w:rFonts w:eastAsia="宋体"/>
                      <w:b/>
                      <w:color w:val="auto"/>
                    </w:rPr>
                  </w:pPr>
                  <w:r>
                    <w:rPr>
                      <w:rFonts w:hAnsi="宋体" w:eastAsia="宋体"/>
                      <w:b/>
                      <w:color w:val="auto"/>
                    </w:rPr>
                    <w:t>废气来源</w:t>
                  </w:r>
                </w:p>
              </w:tc>
              <w:tc>
                <w:tcPr>
                  <w:tcW w:w="925" w:type="pct"/>
                  <w:vAlign w:val="center"/>
                </w:tcPr>
                <w:p w14:paraId="56AF33F5">
                  <w:pPr>
                    <w:pStyle w:val="100"/>
                    <w:rPr>
                      <w:rFonts w:eastAsia="宋体"/>
                      <w:b/>
                      <w:color w:val="auto"/>
                    </w:rPr>
                  </w:pPr>
                  <w:r>
                    <w:rPr>
                      <w:rFonts w:hAnsi="宋体" w:eastAsia="宋体"/>
                      <w:b/>
                      <w:color w:val="auto"/>
                    </w:rPr>
                    <w:t>监测点位</w:t>
                  </w:r>
                </w:p>
              </w:tc>
              <w:tc>
                <w:tcPr>
                  <w:tcW w:w="1263" w:type="pct"/>
                  <w:vAlign w:val="center"/>
                </w:tcPr>
                <w:p w14:paraId="63478857">
                  <w:pPr>
                    <w:pStyle w:val="100"/>
                    <w:rPr>
                      <w:rFonts w:eastAsia="宋体"/>
                      <w:b/>
                      <w:color w:val="auto"/>
                    </w:rPr>
                  </w:pPr>
                  <w:r>
                    <w:rPr>
                      <w:rFonts w:hAnsi="宋体" w:eastAsia="宋体"/>
                      <w:b/>
                      <w:color w:val="auto"/>
                    </w:rPr>
                    <w:t>监测指标</w:t>
                  </w:r>
                </w:p>
              </w:tc>
              <w:tc>
                <w:tcPr>
                  <w:tcW w:w="690" w:type="pct"/>
                  <w:vAlign w:val="center"/>
                </w:tcPr>
                <w:p w14:paraId="271BAA3B">
                  <w:pPr>
                    <w:pStyle w:val="100"/>
                    <w:rPr>
                      <w:rFonts w:eastAsia="宋体"/>
                      <w:b/>
                      <w:color w:val="auto"/>
                    </w:rPr>
                  </w:pPr>
                  <w:r>
                    <w:rPr>
                      <w:rFonts w:hAnsi="宋体" w:eastAsia="宋体"/>
                      <w:b/>
                      <w:color w:val="auto"/>
                    </w:rPr>
                    <w:t>监测频次</w:t>
                  </w:r>
                </w:p>
              </w:tc>
              <w:tc>
                <w:tcPr>
                  <w:tcW w:w="1164" w:type="pct"/>
                  <w:vAlign w:val="center"/>
                </w:tcPr>
                <w:p w14:paraId="499D4D3D">
                  <w:pPr>
                    <w:pStyle w:val="100"/>
                    <w:rPr>
                      <w:rFonts w:eastAsia="宋体"/>
                      <w:b/>
                      <w:color w:val="auto"/>
                    </w:rPr>
                  </w:pPr>
                  <w:r>
                    <w:rPr>
                      <w:rFonts w:hAnsi="宋体" w:eastAsia="宋体"/>
                      <w:b/>
                      <w:color w:val="auto"/>
                    </w:rPr>
                    <w:t>执行排放标准</w:t>
                  </w:r>
                </w:p>
              </w:tc>
            </w:tr>
            <w:tr w14:paraId="3500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4" w:type="pct"/>
                  <w:vAlign w:val="center"/>
                </w:tcPr>
                <w:p w14:paraId="23FCC39A">
                  <w:pPr>
                    <w:pStyle w:val="100"/>
                    <w:spacing w:line="240" w:lineRule="auto"/>
                    <w:rPr>
                      <w:rFonts w:hAnsi="宋体" w:eastAsia="宋体"/>
                      <w:color w:val="auto"/>
                    </w:rPr>
                  </w:pPr>
                  <w:r>
                    <w:rPr>
                      <w:rFonts w:hint="eastAsia" w:hAnsi="宋体" w:eastAsia="宋体"/>
                      <w:color w:val="auto"/>
                      <w:lang w:eastAsia="zh-CN"/>
                    </w:rPr>
                    <w:t>注塑</w:t>
                  </w:r>
                  <w:r>
                    <w:rPr>
                      <w:rFonts w:hint="eastAsia" w:hAnsi="宋体" w:eastAsia="宋体"/>
                      <w:color w:val="auto"/>
                    </w:rPr>
                    <w:t>废气</w:t>
                  </w:r>
                </w:p>
              </w:tc>
              <w:tc>
                <w:tcPr>
                  <w:tcW w:w="925" w:type="pct"/>
                  <w:vAlign w:val="center"/>
                </w:tcPr>
                <w:p w14:paraId="3E796734">
                  <w:pPr>
                    <w:pStyle w:val="100"/>
                    <w:spacing w:line="240" w:lineRule="auto"/>
                    <w:rPr>
                      <w:rFonts w:eastAsia="宋体"/>
                      <w:color w:val="auto"/>
                    </w:rPr>
                  </w:pPr>
                  <w:r>
                    <w:rPr>
                      <w:rFonts w:eastAsia="宋体"/>
                      <w:color w:val="auto"/>
                    </w:rPr>
                    <w:t>DA00</w:t>
                  </w:r>
                  <w:r>
                    <w:rPr>
                      <w:rFonts w:hint="eastAsia" w:eastAsia="宋体"/>
                      <w:color w:val="auto"/>
                    </w:rPr>
                    <w:t>1</w:t>
                  </w:r>
                  <w:r>
                    <w:rPr>
                      <w:rFonts w:hAnsi="宋体" w:eastAsia="宋体"/>
                      <w:color w:val="auto"/>
                    </w:rPr>
                    <w:t>排气筒</w:t>
                  </w:r>
                </w:p>
              </w:tc>
              <w:tc>
                <w:tcPr>
                  <w:tcW w:w="1263" w:type="pct"/>
                  <w:vAlign w:val="center"/>
                </w:tcPr>
                <w:p w14:paraId="3122BE6E">
                  <w:pPr>
                    <w:pStyle w:val="100"/>
                    <w:spacing w:line="240" w:lineRule="auto"/>
                    <w:rPr>
                      <w:rFonts w:hint="eastAsia" w:hAnsi="宋体" w:eastAsia="宋体"/>
                      <w:color w:val="auto"/>
                      <w:lang w:eastAsia="zh-CN"/>
                    </w:rPr>
                  </w:pPr>
                  <w:r>
                    <w:rPr>
                      <w:rFonts w:hint="eastAsia" w:hAnsi="宋体" w:eastAsia="宋体"/>
                      <w:color w:val="auto"/>
                    </w:rPr>
                    <w:t>非甲烷总烃、臭气浓度</w:t>
                  </w:r>
                  <w:r>
                    <w:rPr>
                      <w:rFonts w:hint="eastAsia" w:hAnsi="宋体" w:eastAsia="宋体"/>
                      <w:color w:val="auto"/>
                      <w:lang w:eastAsia="zh-CN"/>
                    </w:rPr>
                    <w:t>、苯乙烯</w:t>
                  </w:r>
                </w:p>
              </w:tc>
              <w:tc>
                <w:tcPr>
                  <w:tcW w:w="690" w:type="pct"/>
                  <w:vAlign w:val="center"/>
                </w:tcPr>
                <w:p w14:paraId="6049C54C">
                  <w:pPr>
                    <w:jc w:val="center"/>
                    <w:rPr>
                      <w:color w:val="auto"/>
                    </w:rPr>
                  </w:pPr>
                  <w:r>
                    <w:rPr>
                      <w:color w:val="auto"/>
                    </w:rPr>
                    <w:t>1</w:t>
                  </w:r>
                  <w:r>
                    <w:rPr>
                      <w:rFonts w:hAnsi="宋体"/>
                      <w:color w:val="auto"/>
                    </w:rPr>
                    <w:t>次</w:t>
                  </w:r>
                  <w:r>
                    <w:rPr>
                      <w:color w:val="auto"/>
                    </w:rPr>
                    <w:t>/</w:t>
                  </w:r>
                  <w:r>
                    <w:rPr>
                      <w:rFonts w:hAnsi="宋体"/>
                      <w:color w:val="auto"/>
                    </w:rPr>
                    <w:t>年</w:t>
                  </w:r>
                </w:p>
              </w:tc>
              <w:tc>
                <w:tcPr>
                  <w:tcW w:w="1164" w:type="pct"/>
                  <w:vAlign w:val="center"/>
                </w:tcPr>
                <w:p w14:paraId="40EB49F9">
                  <w:pPr>
                    <w:pStyle w:val="100"/>
                    <w:spacing w:line="240" w:lineRule="auto"/>
                    <w:rPr>
                      <w:rFonts w:hint="default" w:eastAsia="宋体"/>
                      <w:color w:val="auto"/>
                      <w:lang w:val="en-US" w:eastAsia="zh-CN"/>
                    </w:rPr>
                  </w:pPr>
                  <w:r>
                    <w:rPr>
                      <w:rFonts w:eastAsia="宋体"/>
                      <w:color w:val="auto"/>
                    </w:rPr>
                    <w:t>GB</w:t>
                  </w:r>
                  <w:r>
                    <w:rPr>
                      <w:rFonts w:hint="eastAsia" w:eastAsia="宋体"/>
                      <w:color w:val="auto"/>
                      <w:lang w:val="en-US" w:eastAsia="zh-CN"/>
                    </w:rPr>
                    <w:t>31572</w:t>
                  </w:r>
                  <w:r>
                    <w:rPr>
                      <w:rFonts w:eastAsia="宋体"/>
                      <w:color w:val="auto"/>
                    </w:rPr>
                    <w:t>-</w:t>
                  </w:r>
                  <w:r>
                    <w:rPr>
                      <w:rFonts w:hint="eastAsia" w:eastAsia="宋体"/>
                      <w:color w:val="auto"/>
                      <w:lang w:val="en-US" w:eastAsia="zh-CN"/>
                    </w:rPr>
                    <w:t>2015</w:t>
                  </w:r>
                </w:p>
              </w:tc>
            </w:tr>
          </w:tbl>
          <w:p w14:paraId="5EB32454">
            <w:pPr>
              <w:pStyle w:val="115"/>
              <w:spacing w:line="440" w:lineRule="exact"/>
              <w:ind w:firstLine="420"/>
              <w:rPr>
                <w:rFonts w:eastAsia="宋体"/>
                <w:color w:val="auto"/>
              </w:rPr>
            </w:pPr>
            <w:r>
              <w:rPr>
                <w:rFonts w:hAnsi="宋体" w:eastAsia="宋体"/>
                <w:color w:val="auto"/>
              </w:rPr>
              <w:t>表</w:t>
            </w:r>
            <w:r>
              <w:rPr>
                <w:rFonts w:eastAsia="宋体"/>
                <w:color w:val="auto"/>
              </w:rPr>
              <w:t>4-</w:t>
            </w:r>
            <w:r>
              <w:rPr>
                <w:rFonts w:hint="eastAsia" w:eastAsia="宋体"/>
                <w:color w:val="auto"/>
              </w:rPr>
              <w:t>1</w:t>
            </w:r>
            <w:r>
              <w:rPr>
                <w:rFonts w:hint="eastAsia" w:eastAsia="宋体"/>
                <w:color w:val="auto"/>
                <w:lang w:val="en-US" w:eastAsia="zh-CN"/>
              </w:rPr>
              <w:t>1</w:t>
            </w:r>
            <w:r>
              <w:rPr>
                <w:rFonts w:eastAsia="宋体"/>
                <w:color w:val="auto"/>
              </w:rPr>
              <w:t xml:space="preserve">  </w:t>
            </w:r>
            <w:r>
              <w:rPr>
                <w:rFonts w:hAnsi="宋体" w:eastAsia="宋体"/>
                <w:color w:val="auto"/>
              </w:rPr>
              <w:t>无组织废气监测方案</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3236"/>
              <w:gridCol w:w="1511"/>
              <w:gridCol w:w="2373"/>
            </w:tblGrid>
            <w:tr w14:paraId="0744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7" w:type="dxa"/>
                  <w:vAlign w:val="center"/>
                </w:tcPr>
                <w:p w14:paraId="65EB0381">
                  <w:pPr>
                    <w:pStyle w:val="100"/>
                    <w:spacing w:line="240" w:lineRule="auto"/>
                    <w:rPr>
                      <w:rFonts w:eastAsia="宋体"/>
                      <w:b/>
                      <w:color w:val="auto"/>
                    </w:rPr>
                  </w:pPr>
                  <w:r>
                    <w:rPr>
                      <w:rFonts w:hAnsi="宋体" w:eastAsia="宋体"/>
                      <w:b/>
                      <w:color w:val="auto"/>
                    </w:rPr>
                    <w:t>监测点位</w:t>
                  </w:r>
                </w:p>
              </w:tc>
              <w:tc>
                <w:tcPr>
                  <w:tcW w:w="3236" w:type="dxa"/>
                  <w:vAlign w:val="center"/>
                </w:tcPr>
                <w:p w14:paraId="1D24BAF4">
                  <w:pPr>
                    <w:pStyle w:val="100"/>
                    <w:spacing w:line="240" w:lineRule="auto"/>
                    <w:rPr>
                      <w:rFonts w:eastAsia="宋体"/>
                      <w:b/>
                      <w:color w:val="auto"/>
                    </w:rPr>
                  </w:pPr>
                  <w:r>
                    <w:rPr>
                      <w:rFonts w:hAnsi="宋体" w:eastAsia="宋体"/>
                      <w:b/>
                      <w:color w:val="auto"/>
                    </w:rPr>
                    <w:t>监测指标</w:t>
                  </w:r>
                </w:p>
              </w:tc>
              <w:tc>
                <w:tcPr>
                  <w:tcW w:w="1511" w:type="dxa"/>
                  <w:vAlign w:val="center"/>
                </w:tcPr>
                <w:p w14:paraId="51653D64">
                  <w:pPr>
                    <w:pStyle w:val="100"/>
                    <w:spacing w:line="240" w:lineRule="auto"/>
                    <w:rPr>
                      <w:rFonts w:eastAsia="宋体"/>
                      <w:b/>
                      <w:color w:val="auto"/>
                    </w:rPr>
                  </w:pPr>
                  <w:r>
                    <w:rPr>
                      <w:rFonts w:hAnsi="宋体" w:eastAsia="宋体"/>
                      <w:b/>
                      <w:color w:val="auto"/>
                    </w:rPr>
                    <w:t>监测频次</w:t>
                  </w:r>
                </w:p>
              </w:tc>
              <w:tc>
                <w:tcPr>
                  <w:tcW w:w="2373" w:type="dxa"/>
                  <w:vAlign w:val="center"/>
                </w:tcPr>
                <w:p w14:paraId="1CDE94AE">
                  <w:pPr>
                    <w:pStyle w:val="100"/>
                    <w:spacing w:line="240" w:lineRule="auto"/>
                    <w:rPr>
                      <w:rFonts w:eastAsia="宋体"/>
                      <w:b/>
                      <w:color w:val="auto"/>
                    </w:rPr>
                  </w:pPr>
                  <w:r>
                    <w:rPr>
                      <w:rFonts w:hAnsi="宋体" w:eastAsia="宋体"/>
                      <w:b/>
                      <w:color w:val="auto"/>
                    </w:rPr>
                    <w:t>执行排放标准</w:t>
                  </w:r>
                </w:p>
              </w:tc>
            </w:tr>
            <w:tr w14:paraId="1552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7" w:type="dxa"/>
                  <w:vMerge w:val="restart"/>
                  <w:vAlign w:val="center"/>
                </w:tcPr>
                <w:p w14:paraId="7D8160F6">
                  <w:pPr>
                    <w:pStyle w:val="100"/>
                    <w:spacing w:line="240" w:lineRule="auto"/>
                    <w:rPr>
                      <w:rFonts w:eastAsia="宋体"/>
                      <w:color w:val="auto"/>
                    </w:rPr>
                  </w:pPr>
                  <w:r>
                    <w:rPr>
                      <w:rFonts w:hAnsi="宋体" w:eastAsia="宋体"/>
                      <w:color w:val="auto"/>
                    </w:rPr>
                    <w:t>厂界</w:t>
                  </w:r>
                </w:p>
              </w:tc>
              <w:tc>
                <w:tcPr>
                  <w:tcW w:w="3236" w:type="dxa"/>
                  <w:vAlign w:val="center"/>
                </w:tcPr>
                <w:p w14:paraId="1BC0364E">
                  <w:pPr>
                    <w:pStyle w:val="100"/>
                    <w:spacing w:line="240" w:lineRule="auto"/>
                    <w:rPr>
                      <w:rFonts w:eastAsia="宋体"/>
                      <w:color w:val="auto"/>
                    </w:rPr>
                  </w:pPr>
                  <w:r>
                    <w:rPr>
                      <w:rFonts w:hint="eastAsia" w:hAnsi="宋体" w:eastAsia="宋体"/>
                      <w:color w:val="auto"/>
                    </w:rPr>
                    <w:t>非甲烷总烃</w:t>
                  </w:r>
                </w:p>
              </w:tc>
              <w:tc>
                <w:tcPr>
                  <w:tcW w:w="1511" w:type="dxa"/>
                  <w:vMerge w:val="restart"/>
                  <w:vAlign w:val="center"/>
                </w:tcPr>
                <w:p w14:paraId="414B4685">
                  <w:pPr>
                    <w:pStyle w:val="100"/>
                    <w:spacing w:line="240" w:lineRule="auto"/>
                    <w:rPr>
                      <w:rFonts w:eastAsia="宋体"/>
                      <w:color w:val="auto"/>
                    </w:rPr>
                  </w:pPr>
                  <w:r>
                    <w:rPr>
                      <w:rFonts w:hint="eastAsia" w:eastAsia="宋体"/>
                      <w:color w:val="auto"/>
                      <w:kern w:val="0"/>
                    </w:rPr>
                    <w:t>1次/年</w:t>
                  </w:r>
                </w:p>
              </w:tc>
              <w:tc>
                <w:tcPr>
                  <w:tcW w:w="2373" w:type="dxa"/>
                  <w:vAlign w:val="center"/>
                </w:tcPr>
                <w:p w14:paraId="2167E429">
                  <w:pPr>
                    <w:pStyle w:val="100"/>
                    <w:spacing w:line="240" w:lineRule="auto"/>
                    <w:rPr>
                      <w:rFonts w:eastAsia="宋体"/>
                      <w:color w:val="auto"/>
                    </w:rPr>
                  </w:pPr>
                  <w:r>
                    <w:rPr>
                      <w:rFonts w:eastAsia="宋体"/>
                      <w:color w:val="auto"/>
                    </w:rPr>
                    <w:t>GB</w:t>
                  </w:r>
                  <w:r>
                    <w:rPr>
                      <w:rFonts w:hint="eastAsia" w:eastAsia="宋体"/>
                      <w:color w:val="auto"/>
                      <w:lang w:val="en-US" w:eastAsia="zh-CN"/>
                    </w:rPr>
                    <w:t>31572</w:t>
                  </w:r>
                  <w:r>
                    <w:rPr>
                      <w:rFonts w:eastAsia="宋体"/>
                      <w:color w:val="auto"/>
                    </w:rPr>
                    <w:t>-</w:t>
                  </w:r>
                  <w:r>
                    <w:rPr>
                      <w:rFonts w:hint="eastAsia" w:eastAsia="宋体"/>
                      <w:color w:val="auto"/>
                      <w:lang w:val="en-US" w:eastAsia="zh-CN"/>
                    </w:rPr>
                    <w:t>2015</w:t>
                  </w:r>
                </w:p>
              </w:tc>
            </w:tr>
            <w:tr w14:paraId="62C1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7" w:type="dxa"/>
                  <w:vMerge w:val="continue"/>
                  <w:vAlign w:val="center"/>
                </w:tcPr>
                <w:p w14:paraId="2C1B9BD6">
                  <w:pPr>
                    <w:pStyle w:val="100"/>
                    <w:spacing w:line="240" w:lineRule="auto"/>
                    <w:rPr>
                      <w:rFonts w:hAnsi="宋体" w:eastAsia="宋体"/>
                      <w:color w:val="auto"/>
                    </w:rPr>
                  </w:pPr>
                </w:p>
              </w:tc>
              <w:tc>
                <w:tcPr>
                  <w:tcW w:w="3236" w:type="dxa"/>
                  <w:vAlign w:val="center"/>
                </w:tcPr>
                <w:p w14:paraId="6C2ED271">
                  <w:pPr>
                    <w:pStyle w:val="100"/>
                    <w:spacing w:line="240" w:lineRule="auto"/>
                    <w:rPr>
                      <w:rFonts w:hint="eastAsia" w:hAnsi="宋体" w:eastAsia="宋体"/>
                      <w:color w:val="auto"/>
                    </w:rPr>
                  </w:pPr>
                  <w:r>
                    <w:rPr>
                      <w:rFonts w:hint="eastAsia" w:eastAsia="宋体"/>
                      <w:color w:val="auto"/>
                    </w:rPr>
                    <w:t>臭气浓度</w:t>
                  </w:r>
                </w:p>
              </w:tc>
              <w:tc>
                <w:tcPr>
                  <w:tcW w:w="1511" w:type="dxa"/>
                  <w:vMerge w:val="continue"/>
                  <w:vAlign w:val="center"/>
                </w:tcPr>
                <w:p w14:paraId="205DF834">
                  <w:pPr>
                    <w:pStyle w:val="100"/>
                    <w:spacing w:line="240" w:lineRule="auto"/>
                    <w:rPr>
                      <w:rFonts w:hint="eastAsia" w:eastAsia="宋体"/>
                      <w:color w:val="auto"/>
                      <w:kern w:val="0"/>
                    </w:rPr>
                  </w:pPr>
                </w:p>
              </w:tc>
              <w:tc>
                <w:tcPr>
                  <w:tcW w:w="2373" w:type="dxa"/>
                  <w:vAlign w:val="center"/>
                </w:tcPr>
                <w:p w14:paraId="6AF75D6F">
                  <w:pPr>
                    <w:pStyle w:val="100"/>
                    <w:spacing w:line="240" w:lineRule="auto"/>
                    <w:rPr>
                      <w:rFonts w:hint="default" w:eastAsia="宋体"/>
                      <w:color w:val="auto"/>
                      <w:lang w:val="en-US" w:eastAsia="zh-CN"/>
                    </w:rPr>
                  </w:pPr>
                  <w:r>
                    <w:rPr>
                      <w:rFonts w:hint="eastAsia" w:eastAsia="宋体"/>
                      <w:color w:val="auto"/>
                      <w:lang w:eastAsia="zh-CN"/>
                    </w:rPr>
                    <w:t>湖环发（</w:t>
                  </w:r>
                  <w:r>
                    <w:rPr>
                      <w:rFonts w:hint="eastAsia" w:eastAsia="宋体"/>
                      <w:color w:val="auto"/>
                      <w:lang w:val="en-US" w:eastAsia="zh-CN"/>
                    </w:rPr>
                    <w:t>2018</w:t>
                  </w:r>
                  <w:r>
                    <w:rPr>
                      <w:rFonts w:hint="eastAsia" w:eastAsia="宋体"/>
                      <w:color w:val="auto"/>
                      <w:lang w:eastAsia="zh-CN"/>
                    </w:rPr>
                    <w:t>）</w:t>
                  </w:r>
                  <w:r>
                    <w:rPr>
                      <w:rFonts w:hint="eastAsia" w:eastAsia="宋体"/>
                      <w:color w:val="auto"/>
                      <w:lang w:val="en-US" w:eastAsia="zh-CN"/>
                    </w:rPr>
                    <w:t>31号</w:t>
                  </w:r>
                </w:p>
              </w:tc>
            </w:tr>
            <w:tr w14:paraId="7E68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7" w:type="dxa"/>
                  <w:vMerge w:val="continue"/>
                  <w:vAlign w:val="center"/>
                </w:tcPr>
                <w:p w14:paraId="68446366">
                  <w:pPr>
                    <w:pStyle w:val="100"/>
                    <w:spacing w:line="240" w:lineRule="auto"/>
                    <w:rPr>
                      <w:rFonts w:hAnsi="宋体" w:eastAsia="宋体"/>
                      <w:color w:val="auto"/>
                    </w:rPr>
                  </w:pPr>
                </w:p>
              </w:tc>
              <w:tc>
                <w:tcPr>
                  <w:tcW w:w="3236" w:type="dxa"/>
                  <w:vAlign w:val="center"/>
                </w:tcPr>
                <w:p w14:paraId="4C306283">
                  <w:pPr>
                    <w:pStyle w:val="100"/>
                    <w:spacing w:line="240" w:lineRule="auto"/>
                    <w:rPr>
                      <w:rFonts w:hint="eastAsia" w:hAnsi="宋体" w:eastAsia="宋体"/>
                      <w:color w:val="auto"/>
                    </w:rPr>
                  </w:pPr>
                  <w:r>
                    <w:rPr>
                      <w:rFonts w:hint="eastAsia" w:eastAsia="宋体"/>
                      <w:color w:val="auto"/>
                    </w:rPr>
                    <w:t>颗粒物</w:t>
                  </w:r>
                </w:p>
              </w:tc>
              <w:tc>
                <w:tcPr>
                  <w:tcW w:w="1511" w:type="dxa"/>
                  <w:vMerge w:val="continue"/>
                  <w:vAlign w:val="center"/>
                </w:tcPr>
                <w:p w14:paraId="60EF2123">
                  <w:pPr>
                    <w:pStyle w:val="100"/>
                    <w:spacing w:line="240" w:lineRule="auto"/>
                    <w:rPr>
                      <w:rFonts w:hint="eastAsia" w:eastAsia="宋体"/>
                      <w:color w:val="auto"/>
                      <w:kern w:val="0"/>
                    </w:rPr>
                  </w:pPr>
                </w:p>
              </w:tc>
              <w:tc>
                <w:tcPr>
                  <w:tcW w:w="2373" w:type="dxa"/>
                  <w:vAlign w:val="center"/>
                </w:tcPr>
                <w:p w14:paraId="293F6179">
                  <w:pPr>
                    <w:pStyle w:val="100"/>
                    <w:spacing w:line="240" w:lineRule="auto"/>
                    <w:rPr>
                      <w:rFonts w:eastAsia="宋体"/>
                      <w:color w:val="auto"/>
                    </w:rPr>
                  </w:pPr>
                  <w:r>
                    <w:rPr>
                      <w:rFonts w:eastAsia="宋体"/>
                      <w:color w:val="auto"/>
                    </w:rPr>
                    <w:t>GB16297-1996</w:t>
                  </w:r>
                </w:p>
              </w:tc>
            </w:tr>
            <w:tr w14:paraId="0407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7" w:type="dxa"/>
                  <w:vAlign w:val="center"/>
                </w:tcPr>
                <w:p w14:paraId="6B49FCC8">
                  <w:pPr>
                    <w:pStyle w:val="100"/>
                    <w:spacing w:line="240" w:lineRule="auto"/>
                    <w:rPr>
                      <w:rFonts w:hAnsi="宋体" w:eastAsia="宋体"/>
                      <w:color w:val="auto"/>
                    </w:rPr>
                  </w:pPr>
                  <w:r>
                    <w:rPr>
                      <w:rFonts w:hint="eastAsia" w:hAnsi="宋体" w:eastAsia="宋体"/>
                      <w:color w:val="auto"/>
                    </w:rPr>
                    <w:t>厂区内</w:t>
                  </w:r>
                </w:p>
              </w:tc>
              <w:tc>
                <w:tcPr>
                  <w:tcW w:w="3236" w:type="dxa"/>
                  <w:vAlign w:val="center"/>
                </w:tcPr>
                <w:p w14:paraId="03371ADD">
                  <w:pPr>
                    <w:pStyle w:val="100"/>
                    <w:spacing w:line="240" w:lineRule="auto"/>
                    <w:rPr>
                      <w:rFonts w:hAnsi="宋体" w:eastAsia="宋体"/>
                      <w:color w:val="auto"/>
                    </w:rPr>
                  </w:pPr>
                  <w:r>
                    <w:rPr>
                      <w:rFonts w:hAnsi="宋体" w:eastAsia="宋体"/>
                      <w:color w:val="auto"/>
                    </w:rPr>
                    <w:t>非甲烷总烃</w:t>
                  </w:r>
                </w:p>
              </w:tc>
              <w:tc>
                <w:tcPr>
                  <w:tcW w:w="1511" w:type="dxa"/>
                  <w:vAlign w:val="center"/>
                </w:tcPr>
                <w:p w14:paraId="7CAC211E">
                  <w:pPr>
                    <w:pStyle w:val="100"/>
                    <w:spacing w:line="240" w:lineRule="auto"/>
                    <w:rPr>
                      <w:rFonts w:eastAsia="宋体"/>
                      <w:color w:val="auto"/>
                    </w:rPr>
                  </w:pPr>
                  <w:r>
                    <w:rPr>
                      <w:rFonts w:eastAsia="宋体"/>
                      <w:color w:val="auto"/>
                    </w:rPr>
                    <w:t>1</w:t>
                  </w:r>
                  <w:r>
                    <w:rPr>
                      <w:rFonts w:hAnsi="宋体" w:eastAsia="宋体"/>
                      <w:color w:val="auto"/>
                    </w:rPr>
                    <w:t>次</w:t>
                  </w:r>
                  <w:r>
                    <w:rPr>
                      <w:rFonts w:eastAsia="宋体"/>
                      <w:color w:val="auto"/>
                    </w:rPr>
                    <w:t>/</w:t>
                  </w:r>
                  <w:r>
                    <w:rPr>
                      <w:rFonts w:hAnsi="宋体" w:eastAsia="宋体"/>
                      <w:color w:val="auto"/>
                    </w:rPr>
                    <w:t>年</w:t>
                  </w:r>
                </w:p>
              </w:tc>
              <w:tc>
                <w:tcPr>
                  <w:tcW w:w="2373" w:type="dxa"/>
                  <w:vAlign w:val="center"/>
                </w:tcPr>
                <w:p w14:paraId="194B1E0F">
                  <w:pPr>
                    <w:pStyle w:val="100"/>
                    <w:spacing w:line="240" w:lineRule="auto"/>
                    <w:rPr>
                      <w:rFonts w:hAnsi="宋体" w:eastAsia="宋体"/>
                      <w:color w:val="auto"/>
                    </w:rPr>
                  </w:pPr>
                  <w:r>
                    <w:rPr>
                      <w:color w:val="auto"/>
                    </w:rPr>
                    <w:t>GB37822-2019</w:t>
                  </w:r>
                </w:p>
              </w:tc>
            </w:tr>
          </w:tbl>
          <w:p w14:paraId="3AD12637">
            <w:pPr>
              <w:adjustRightInd w:val="0"/>
              <w:snapToGrid w:val="0"/>
              <w:spacing w:line="440" w:lineRule="exact"/>
              <w:rPr>
                <w:b/>
                <w:bCs/>
                <w:color w:val="auto"/>
                <w:spacing w:val="-10"/>
                <w:sz w:val="24"/>
              </w:rPr>
            </w:pPr>
            <w:r>
              <w:rPr>
                <w:rFonts w:hAnsi="宋体"/>
                <w:b/>
                <w:color w:val="auto"/>
                <w:sz w:val="24"/>
              </w:rPr>
              <w:t>（</w:t>
            </w:r>
            <w:r>
              <w:rPr>
                <w:rFonts w:hint="eastAsia"/>
                <w:b/>
                <w:color w:val="auto"/>
                <w:sz w:val="24"/>
              </w:rPr>
              <w:t>4</w:t>
            </w:r>
            <w:r>
              <w:rPr>
                <w:rFonts w:hAnsi="宋体"/>
                <w:b/>
                <w:color w:val="auto"/>
                <w:sz w:val="24"/>
              </w:rPr>
              <w:t>）</w:t>
            </w:r>
            <w:r>
              <w:rPr>
                <w:rFonts w:hint="eastAsia" w:hAnsi="宋体"/>
                <w:b/>
                <w:color w:val="auto"/>
                <w:sz w:val="24"/>
              </w:rPr>
              <w:t>环境</w:t>
            </w:r>
            <w:r>
              <w:rPr>
                <w:rFonts w:hAnsi="宋体"/>
                <w:b/>
                <w:bCs/>
                <w:color w:val="auto"/>
                <w:spacing w:val="-10"/>
                <w:sz w:val="24"/>
              </w:rPr>
              <w:t>影响分析</w:t>
            </w:r>
          </w:p>
          <w:p w14:paraId="524C7ECC">
            <w:pPr>
              <w:pStyle w:val="3"/>
              <w:spacing w:line="440" w:lineRule="exact"/>
              <w:rPr>
                <w:rFonts w:hAnsi="新宋体" w:eastAsia="新宋体"/>
                <w:bCs/>
                <w:color w:val="auto"/>
              </w:rPr>
            </w:pPr>
            <w:r>
              <w:rPr>
                <w:rFonts w:hAnsi="新宋体" w:eastAsia="新宋体"/>
                <w:bCs/>
                <w:color w:val="auto"/>
              </w:rPr>
              <w:t>综上所述，本项目选针对废气采取了有效收集治理措施，</w:t>
            </w:r>
            <w:r>
              <w:rPr>
                <w:rFonts w:hint="eastAsia" w:hAnsi="新宋体" w:eastAsia="新宋体"/>
                <w:bCs/>
                <w:color w:val="auto"/>
                <w:lang w:eastAsia="zh-CN"/>
              </w:rPr>
              <w:t>注塑</w:t>
            </w:r>
            <w:r>
              <w:rPr>
                <w:rFonts w:hAnsi="新宋体" w:eastAsia="新宋体"/>
                <w:bCs/>
                <w:color w:val="auto"/>
              </w:rPr>
              <w:t>废气</w:t>
            </w:r>
            <w:r>
              <w:rPr>
                <w:rFonts w:hint="eastAsia" w:hAnsi="新宋体" w:eastAsia="新宋体"/>
                <w:bCs/>
                <w:color w:val="auto"/>
              </w:rPr>
              <w:t>（非甲烷总烃</w:t>
            </w:r>
            <w:r>
              <w:rPr>
                <w:rFonts w:hint="eastAsia" w:hAnsi="新宋体" w:eastAsia="新宋体"/>
                <w:bCs/>
                <w:color w:val="auto"/>
                <w:lang w:eastAsia="zh-CN"/>
              </w:rPr>
              <w:t>、苯乙烯</w:t>
            </w:r>
            <w:r>
              <w:rPr>
                <w:rFonts w:hint="eastAsia" w:hAnsi="新宋体" w:eastAsia="新宋体"/>
                <w:bCs/>
                <w:color w:val="auto"/>
              </w:rPr>
              <w:t>和臭气浓度）</w:t>
            </w:r>
            <w:r>
              <w:rPr>
                <w:rFonts w:hAnsi="新宋体" w:eastAsia="新宋体"/>
                <w:bCs/>
                <w:color w:val="auto"/>
              </w:rPr>
              <w:t>经收集</w:t>
            </w:r>
            <w:r>
              <w:rPr>
                <w:rFonts w:hint="eastAsia" w:hAnsi="新宋体" w:eastAsia="新宋体"/>
                <w:bCs/>
                <w:color w:val="auto"/>
              </w:rPr>
              <w:t>处理</w:t>
            </w:r>
            <w:r>
              <w:rPr>
                <w:rFonts w:hAnsi="新宋体" w:eastAsia="新宋体"/>
                <w:bCs/>
                <w:color w:val="auto"/>
              </w:rPr>
              <w:t>后通过</w:t>
            </w:r>
            <w:r>
              <w:rPr>
                <w:rFonts w:hint="eastAsia" w:hAnsi="新宋体" w:eastAsia="新宋体"/>
                <w:bCs/>
                <w:color w:val="auto"/>
              </w:rPr>
              <w:t>30</w:t>
            </w:r>
            <w:r>
              <w:rPr>
                <w:rFonts w:hAnsi="新宋体" w:eastAsia="新宋体"/>
                <w:bCs/>
                <w:color w:val="auto"/>
              </w:rPr>
              <w:t>m高排气筒有组织排放，</w:t>
            </w:r>
            <w:r>
              <w:rPr>
                <w:rFonts w:hint="eastAsia" w:hAnsi="新宋体" w:eastAsia="新宋体"/>
                <w:bCs/>
                <w:color w:val="auto"/>
                <w:lang w:eastAsia="zh-CN"/>
              </w:rPr>
              <w:t>焊接烟尘</w:t>
            </w:r>
            <w:r>
              <w:rPr>
                <w:rFonts w:hint="eastAsia" w:hAnsi="新宋体" w:eastAsia="新宋体"/>
                <w:bCs/>
                <w:color w:val="auto"/>
              </w:rPr>
              <w:t>（颗粒物）经</w:t>
            </w:r>
            <w:r>
              <w:rPr>
                <w:rFonts w:hint="eastAsia" w:hAnsi="新宋体" w:eastAsia="新宋体"/>
                <w:bCs/>
                <w:color w:val="auto"/>
                <w:lang w:eastAsia="zh-CN"/>
              </w:rPr>
              <w:t>移动式焊烟净化器收集处理后无</w:t>
            </w:r>
            <w:r>
              <w:rPr>
                <w:rFonts w:hAnsi="新宋体" w:eastAsia="新宋体"/>
                <w:bCs/>
                <w:color w:val="auto"/>
              </w:rPr>
              <w:t>组织排放</w:t>
            </w:r>
            <w:r>
              <w:rPr>
                <w:rFonts w:hint="eastAsia" w:hAnsi="新宋体" w:eastAsia="新宋体"/>
                <w:bCs/>
                <w:color w:val="auto"/>
              </w:rPr>
              <w:t>，</w:t>
            </w:r>
            <w:r>
              <w:rPr>
                <w:rFonts w:hint="eastAsia" w:hAnsi="新宋体" w:eastAsia="新宋体"/>
                <w:bCs/>
                <w:color w:val="auto"/>
                <w:lang w:eastAsia="zh-CN"/>
              </w:rPr>
              <w:t>金属粉尘废气经移动式布袋除尘器收集处理后无组织排放，</w:t>
            </w:r>
            <w:r>
              <w:rPr>
                <w:rFonts w:hAnsi="新宋体" w:eastAsia="新宋体"/>
                <w:bCs/>
                <w:color w:val="auto"/>
              </w:rPr>
              <w:t>均能达到相应排放标准要求，排放源强相对较低。预计本项目建成后不会降低周边大气环境质量，不会对周边</w:t>
            </w:r>
            <w:r>
              <w:rPr>
                <w:rFonts w:hint="eastAsia" w:hAnsi="新宋体" w:eastAsia="新宋体"/>
                <w:bCs/>
                <w:color w:val="auto"/>
              </w:rPr>
              <w:t>敏感点</w:t>
            </w:r>
            <w:r>
              <w:rPr>
                <w:rFonts w:hAnsi="新宋体" w:eastAsia="新宋体"/>
                <w:bCs/>
                <w:color w:val="auto"/>
              </w:rPr>
              <w:t>造成不利影响。</w:t>
            </w:r>
          </w:p>
          <w:p w14:paraId="3065A3F8">
            <w:pPr>
              <w:spacing w:line="440" w:lineRule="exact"/>
              <w:rPr>
                <w:rFonts w:hAnsi="宋体"/>
                <w:b/>
                <w:bCs/>
                <w:color w:val="auto"/>
                <w:spacing w:val="-10"/>
                <w:sz w:val="24"/>
              </w:rPr>
            </w:pPr>
            <w:r>
              <w:rPr>
                <w:rFonts w:hint="eastAsia" w:hAnsi="宋体"/>
                <w:b/>
                <w:bCs/>
                <w:color w:val="auto"/>
                <w:spacing w:val="-10"/>
                <w:sz w:val="24"/>
              </w:rPr>
              <w:t>4.2 废水</w:t>
            </w:r>
          </w:p>
          <w:p w14:paraId="6FE70D3D">
            <w:pPr>
              <w:spacing w:line="440" w:lineRule="exact"/>
              <w:ind w:firstLine="482" w:firstLineChars="200"/>
              <w:rPr>
                <w:b/>
                <w:color w:val="auto"/>
                <w:sz w:val="24"/>
              </w:rPr>
            </w:pPr>
            <w:r>
              <w:rPr>
                <w:rFonts w:hAnsi="宋体"/>
                <w:b/>
                <w:color w:val="auto"/>
                <w:sz w:val="24"/>
              </w:rPr>
              <w:t>（</w:t>
            </w:r>
            <w:r>
              <w:rPr>
                <w:b/>
                <w:color w:val="auto"/>
                <w:sz w:val="24"/>
              </w:rPr>
              <w:t>1</w:t>
            </w:r>
            <w:r>
              <w:rPr>
                <w:rFonts w:hAnsi="宋体"/>
                <w:b/>
                <w:color w:val="auto"/>
                <w:sz w:val="24"/>
              </w:rPr>
              <w:t>）污染源强分析</w:t>
            </w:r>
          </w:p>
          <w:p w14:paraId="773A965B">
            <w:pPr>
              <w:spacing w:line="440" w:lineRule="exact"/>
              <w:ind w:firstLine="480" w:firstLineChars="200"/>
              <w:rPr>
                <w:color w:val="auto"/>
                <w:sz w:val="24"/>
              </w:rPr>
            </w:pPr>
            <w:r>
              <w:rPr>
                <w:rFonts w:hint="eastAsia"/>
                <w:color w:val="auto"/>
                <w:sz w:val="24"/>
              </w:rPr>
              <w:t>a、生活污水</w:t>
            </w:r>
          </w:p>
          <w:p w14:paraId="5C1972A6">
            <w:pPr>
              <w:spacing w:line="440" w:lineRule="exact"/>
              <w:ind w:firstLine="480" w:firstLineChars="200"/>
              <w:rPr>
                <w:color w:val="auto"/>
                <w:sz w:val="24"/>
                <w:lang w:val="zh-CN"/>
              </w:rPr>
            </w:pPr>
            <w:r>
              <w:rPr>
                <w:color w:val="auto"/>
                <w:sz w:val="24"/>
              </w:rPr>
              <w:t>本次项目实施后，</w:t>
            </w:r>
            <w:r>
              <w:rPr>
                <w:rFonts w:hint="eastAsia"/>
                <w:color w:val="auto"/>
                <w:sz w:val="24"/>
              </w:rPr>
              <w:t>员工定员</w:t>
            </w:r>
            <w:r>
              <w:rPr>
                <w:rFonts w:hint="eastAsia"/>
                <w:color w:val="auto"/>
                <w:sz w:val="24"/>
                <w:lang w:val="en-US" w:eastAsia="zh-CN"/>
              </w:rPr>
              <w:t>2</w:t>
            </w:r>
            <w:r>
              <w:rPr>
                <w:rFonts w:hint="eastAsia"/>
                <w:color w:val="auto"/>
                <w:sz w:val="24"/>
              </w:rPr>
              <w:t>0</w:t>
            </w:r>
            <w:r>
              <w:rPr>
                <w:color w:val="auto"/>
                <w:sz w:val="24"/>
              </w:rPr>
              <w:t>人，职工每人每天的生活用水量按照</w:t>
            </w:r>
            <w:r>
              <w:rPr>
                <w:rFonts w:hint="eastAsia"/>
                <w:color w:val="auto"/>
                <w:sz w:val="24"/>
              </w:rPr>
              <w:t>5</w:t>
            </w:r>
            <w:r>
              <w:rPr>
                <w:color w:val="auto"/>
                <w:sz w:val="24"/>
              </w:rPr>
              <w:t>0L计算，污水排放量按照用水量的80%计算，年生产天数按300d计，则本项目的生活污水排放量约为</w:t>
            </w:r>
            <w:r>
              <w:rPr>
                <w:rFonts w:hint="eastAsia"/>
                <w:color w:val="auto"/>
                <w:sz w:val="24"/>
                <w:lang w:val="en-US" w:eastAsia="zh-CN"/>
              </w:rPr>
              <w:t>240</w:t>
            </w:r>
            <w:r>
              <w:rPr>
                <w:color w:val="auto"/>
                <w:sz w:val="24"/>
              </w:rPr>
              <w:t>t/a。该生活污水的污染因子主要是COD</w:t>
            </w:r>
            <w:r>
              <w:rPr>
                <w:color w:val="auto"/>
                <w:sz w:val="24"/>
                <w:vertAlign w:val="subscript"/>
              </w:rPr>
              <w:t>Cr</w:t>
            </w:r>
            <w:r>
              <w:rPr>
                <w:color w:val="auto"/>
                <w:sz w:val="24"/>
              </w:rPr>
              <w:t>、NH</w:t>
            </w:r>
            <w:r>
              <w:rPr>
                <w:color w:val="auto"/>
                <w:sz w:val="24"/>
                <w:vertAlign w:val="subscript"/>
              </w:rPr>
              <w:t>3</w:t>
            </w:r>
            <w:r>
              <w:rPr>
                <w:color w:val="auto"/>
                <w:sz w:val="24"/>
              </w:rPr>
              <w:t>-N等有机污染物，在经过化粪池处理后，COD</w:t>
            </w:r>
            <w:r>
              <w:rPr>
                <w:color w:val="auto"/>
                <w:sz w:val="24"/>
                <w:vertAlign w:val="subscript"/>
              </w:rPr>
              <w:t>Cr</w:t>
            </w:r>
            <w:r>
              <w:rPr>
                <w:color w:val="auto"/>
                <w:sz w:val="24"/>
              </w:rPr>
              <w:t>、NH</w:t>
            </w:r>
            <w:r>
              <w:rPr>
                <w:color w:val="auto"/>
                <w:sz w:val="24"/>
                <w:vertAlign w:val="subscript"/>
              </w:rPr>
              <w:t>3</w:t>
            </w:r>
            <w:r>
              <w:rPr>
                <w:color w:val="auto"/>
                <w:sz w:val="24"/>
              </w:rPr>
              <w:t>-N浓度分别为300mg/L、</w:t>
            </w:r>
            <w:r>
              <w:rPr>
                <w:rFonts w:hint="eastAsia"/>
                <w:color w:val="auto"/>
                <w:sz w:val="24"/>
              </w:rPr>
              <w:t>2</w:t>
            </w:r>
            <w:r>
              <w:rPr>
                <w:color w:val="auto"/>
                <w:sz w:val="24"/>
              </w:rPr>
              <w:t>0mg/L，COD</w:t>
            </w:r>
            <w:r>
              <w:rPr>
                <w:color w:val="auto"/>
                <w:sz w:val="24"/>
                <w:vertAlign w:val="subscript"/>
              </w:rPr>
              <w:t>Cr</w:t>
            </w:r>
            <w:r>
              <w:rPr>
                <w:color w:val="auto"/>
                <w:sz w:val="24"/>
              </w:rPr>
              <w:t>、NH</w:t>
            </w:r>
            <w:r>
              <w:rPr>
                <w:color w:val="auto"/>
                <w:sz w:val="24"/>
                <w:vertAlign w:val="subscript"/>
              </w:rPr>
              <w:t>3</w:t>
            </w:r>
            <w:r>
              <w:rPr>
                <w:color w:val="auto"/>
                <w:sz w:val="24"/>
              </w:rPr>
              <w:t>-N的产生量分别为</w:t>
            </w:r>
            <w:r>
              <w:rPr>
                <w:rFonts w:hint="eastAsia"/>
                <w:color w:val="auto"/>
                <w:sz w:val="24"/>
              </w:rPr>
              <w:t>0.</w:t>
            </w:r>
            <w:r>
              <w:rPr>
                <w:rFonts w:hint="eastAsia"/>
                <w:color w:val="auto"/>
                <w:sz w:val="24"/>
                <w:lang w:val="en-US" w:eastAsia="zh-CN"/>
              </w:rPr>
              <w:t>072</w:t>
            </w:r>
            <w:r>
              <w:rPr>
                <w:color w:val="auto"/>
                <w:sz w:val="24"/>
              </w:rPr>
              <w:t>t/a、0.</w:t>
            </w:r>
            <w:r>
              <w:rPr>
                <w:rFonts w:hint="eastAsia"/>
                <w:color w:val="auto"/>
                <w:sz w:val="24"/>
              </w:rPr>
              <w:t>0</w:t>
            </w:r>
            <w:r>
              <w:rPr>
                <w:rFonts w:hint="eastAsia"/>
                <w:color w:val="auto"/>
                <w:sz w:val="24"/>
                <w:lang w:val="en-US" w:eastAsia="zh-CN"/>
              </w:rPr>
              <w:t>048</w:t>
            </w:r>
            <w:r>
              <w:rPr>
                <w:color w:val="auto"/>
                <w:sz w:val="24"/>
              </w:rPr>
              <w:t>t/a。项目所在区域目前已铺设接通市政污水管网，项目废水通过</w:t>
            </w:r>
            <w:r>
              <w:rPr>
                <w:rFonts w:hint="eastAsia"/>
                <w:color w:val="auto"/>
                <w:sz w:val="24"/>
              </w:rPr>
              <w:t>污水管道进入</w:t>
            </w:r>
            <w:r>
              <w:rPr>
                <w:color w:val="auto"/>
                <w:sz w:val="24"/>
              </w:rPr>
              <w:t>市政污水管网汇至安吉净源污水处理有限公司城北污水处理厂，经处理后尾水排至西苕溪，尾水排放执行《城镇污水处理厂污染物排放标准》(GB18918-2002)中的一级标准中A标准</w:t>
            </w:r>
            <w:r>
              <w:rPr>
                <w:rFonts w:hint="eastAsia"/>
                <w:color w:val="auto"/>
                <w:sz w:val="24"/>
              </w:rPr>
              <w:t>和</w:t>
            </w:r>
            <w:r>
              <w:rPr>
                <w:rFonts w:hint="eastAsia" w:hAnsi="宋体"/>
                <w:color w:val="auto"/>
                <w:sz w:val="24"/>
              </w:rPr>
              <w:t>《城镇污水处理厂主要水污染物排放标准》DB33/2169-2018中表1标准</w:t>
            </w:r>
            <w:r>
              <w:rPr>
                <w:color w:val="auto"/>
                <w:sz w:val="24"/>
              </w:rPr>
              <w:t>，</w:t>
            </w:r>
            <w:r>
              <w:rPr>
                <w:color w:val="auto"/>
                <w:sz w:val="24"/>
                <w:lang w:val="zh-CN"/>
              </w:rPr>
              <w:t>经计算本项目生活污水经安吉净源污水处理有限公司城北污水处理厂集中处理后达标排入自然水体的污染物量为</w:t>
            </w:r>
            <w:r>
              <w:rPr>
                <w:color w:val="auto"/>
                <w:sz w:val="24"/>
              </w:rPr>
              <w:t>COD</w:t>
            </w:r>
            <w:r>
              <w:rPr>
                <w:color w:val="auto"/>
                <w:sz w:val="24"/>
                <w:vertAlign w:val="subscript"/>
              </w:rPr>
              <w:t>Cr</w:t>
            </w:r>
            <w:r>
              <w:rPr>
                <w:color w:val="auto"/>
                <w:sz w:val="24"/>
                <w:lang w:val="zh-CN"/>
              </w:rPr>
              <w:t>：</w:t>
            </w:r>
            <w:r>
              <w:rPr>
                <w:rFonts w:hint="eastAsia"/>
                <w:color w:val="auto"/>
                <w:sz w:val="24"/>
                <w:lang w:val="zh-CN"/>
              </w:rPr>
              <w:t>0.</w:t>
            </w:r>
            <w:r>
              <w:rPr>
                <w:rFonts w:hint="eastAsia"/>
                <w:color w:val="auto"/>
                <w:sz w:val="24"/>
              </w:rPr>
              <w:t>0</w:t>
            </w:r>
            <w:r>
              <w:rPr>
                <w:rFonts w:hint="eastAsia"/>
                <w:color w:val="auto"/>
                <w:sz w:val="24"/>
                <w:lang w:val="en-US" w:eastAsia="zh-CN"/>
              </w:rPr>
              <w:t>096</w:t>
            </w:r>
            <w:r>
              <w:rPr>
                <w:rFonts w:hint="eastAsia"/>
                <w:color w:val="auto"/>
                <w:sz w:val="24"/>
                <w:lang w:val="zh-CN"/>
              </w:rPr>
              <w:t>t/a</w:t>
            </w:r>
            <w:r>
              <w:rPr>
                <w:color w:val="auto"/>
                <w:sz w:val="24"/>
                <w:lang w:val="zh-CN"/>
              </w:rPr>
              <w:t>（40mg/L）、</w:t>
            </w:r>
            <w:r>
              <w:rPr>
                <w:color w:val="auto"/>
                <w:sz w:val="24"/>
              </w:rPr>
              <w:t>NH</w:t>
            </w:r>
            <w:r>
              <w:rPr>
                <w:color w:val="auto"/>
                <w:sz w:val="24"/>
                <w:vertAlign w:val="subscript"/>
              </w:rPr>
              <w:t>3</w:t>
            </w:r>
            <w:r>
              <w:rPr>
                <w:color w:val="auto"/>
                <w:sz w:val="24"/>
              </w:rPr>
              <w:t>-N：0.0</w:t>
            </w:r>
            <w:r>
              <w:rPr>
                <w:rFonts w:hint="eastAsia"/>
                <w:color w:val="auto"/>
                <w:sz w:val="24"/>
              </w:rPr>
              <w:t>0</w:t>
            </w:r>
            <w:r>
              <w:rPr>
                <w:rFonts w:hint="eastAsia"/>
                <w:color w:val="auto"/>
                <w:sz w:val="24"/>
                <w:lang w:val="en-US" w:eastAsia="zh-CN"/>
              </w:rPr>
              <w:t>05</w:t>
            </w:r>
            <w:r>
              <w:rPr>
                <w:color w:val="auto"/>
                <w:sz w:val="24"/>
              </w:rPr>
              <w:t>t/a</w:t>
            </w:r>
            <w:r>
              <w:rPr>
                <w:color w:val="auto"/>
                <w:sz w:val="24"/>
                <w:lang w:val="zh-CN"/>
              </w:rPr>
              <w:t>（2mg/L）。</w:t>
            </w:r>
          </w:p>
          <w:p w14:paraId="0493C59A">
            <w:pPr>
              <w:spacing w:beforeLines="50"/>
              <w:ind w:firstLine="482"/>
              <w:jc w:val="center"/>
              <w:rPr>
                <w:rFonts w:hAnsi="宋体"/>
                <w:b/>
                <w:color w:val="auto"/>
              </w:rPr>
            </w:pPr>
            <w:r>
              <w:rPr>
                <w:rFonts w:hAnsi="宋体"/>
                <w:b/>
                <w:color w:val="auto"/>
              </w:rPr>
              <w:t>表</w:t>
            </w:r>
            <w:r>
              <w:rPr>
                <w:rFonts w:hint="eastAsia" w:hAnsi="宋体"/>
                <w:b/>
                <w:color w:val="auto"/>
              </w:rPr>
              <w:t>4</w:t>
            </w:r>
            <w:r>
              <w:rPr>
                <w:rFonts w:hAnsi="宋体"/>
                <w:b/>
                <w:color w:val="auto"/>
              </w:rPr>
              <w:t>-</w:t>
            </w:r>
            <w:r>
              <w:rPr>
                <w:rFonts w:hint="eastAsia" w:hAnsi="宋体"/>
                <w:b/>
                <w:color w:val="auto"/>
              </w:rPr>
              <w:t>1</w:t>
            </w:r>
            <w:r>
              <w:rPr>
                <w:rFonts w:hint="eastAsia" w:hAnsi="宋体"/>
                <w:b/>
                <w:color w:val="auto"/>
                <w:lang w:val="en-US" w:eastAsia="zh-CN"/>
              </w:rPr>
              <w:t>2</w:t>
            </w:r>
            <w:r>
              <w:rPr>
                <w:rFonts w:hAnsi="宋体"/>
                <w:b/>
                <w:color w:val="auto"/>
              </w:rPr>
              <w:t xml:space="preserve"> </w:t>
            </w:r>
            <w:r>
              <w:rPr>
                <w:rFonts w:hint="eastAsia" w:hAnsi="宋体"/>
                <w:b/>
                <w:color w:val="auto"/>
              </w:rPr>
              <w:t>废水污染源强核算结果及相关参数一览表</w:t>
            </w:r>
          </w:p>
          <w:tbl>
            <w:tblPr>
              <w:tblStyle w:val="3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456"/>
              <w:gridCol w:w="744"/>
              <w:gridCol w:w="425"/>
              <w:gridCol w:w="703"/>
              <w:gridCol w:w="669"/>
              <w:gridCol w:w="776"/>
              <w:gridCol w:w="361"/>
              <w:gridCol w:w="718"/>
              <w:gridCol w:w="414"/>
              <w:gridCol w:w="765"/>
              <w:gridCol w:w="807"/>
              <w:gridCol w:w="714"/>
              <w:gridCol w:w="569"/>
            </w:tblGrid>
            <w:tr w14:paraId="2736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83" w:type="dxa"/>
                  <w:vMerge w:val="restart"/>
                  <w:vAlign w:val="center"/>
                </w:tcPr>
                <w:p w14:paraId="7BBA6F23">
                  <w:pPr>
                    <w:suppressAutoHyphens/>
                    <w:jc w:val="center"/>
                    <w:rPr>
                      <w:b/>
                      <w:snapToGrid w:val="0"/>
                      <w:color w:val="auto"/>
                      <w:kern w:val="0"/>
                      <w:szCs w:val="21"/>
                    </w:rPr>
                  </w:pPr>
                  <w:r>
                    <w:rPr>
                      <w:rFonts w:hint="eastAsia"/>
                      <w:b/>
                      <w:snapToGrid w:val="0"/>
                      <w:color w:val="auto"/>
                      <w:kern w:val="0"/>
                      <w:szCs w:val="21"/>
                    </w:rPr>
                    <w:t>工序</w:t>
                  </w:r>
                </w:p>
              </w:tc>
              <w:tc>
                <w:tcPr>
                  <w:tcW w:w="456" w:type="dxa"/>
                  <w:vMerge w:val="restart"/>
                  <w:vAlign w:val="center"/>
                </w:tcPr>
                <w:p w14:paraId="3114E0B1">
                  <w:pPr>
                    <w:suppressAutoHyphens/>
                    <w:jc w:val="center"/>
                    <w:rPr>
                      <w:b/>
                      <w:snapToGrid w:val="0"/>
                      <w:color w:val="auto"/>
                      <w:kern w:val="0"/>
                      <w:szCs w:val="21"/>
                    </w:rPr>
                  </w:pPr>
                  <w:r>
                    <w:rPr>
                      <w:rFonts w:hint="eastAsia"/>
                      <w:b/>
                      <w:snapToGrid w:val="0"/>
                      <w:color w:val="auto"/>
                      <w:kern w:val="0"/>
                      <w:szCs w:val="21"/>
                    </w:rPr>
                    <w:t>污染源</w:t>
                  </w:r>
                </w:p>
              </w:tc>
              <w:tc>
                <w:tcPr>
                  <w:tcW w:w="744" w:type="dxa"/>
                  <w:vMerge w:val="restart"/>
                  <w:vAlign w:val="center"/>
                </w:tcPr>
                <w:p w14:paraId="662CB402">
                  <w:pPr>
                    <w:suppressAutoHyphens/>
                    <w:jc w:val="center"/>
                    <w:rPr>
                      <w:b/>
                      <w:snapToGrid w:val="0"/>
                      <w:color w:val="auto"/>
                      <w:kern w:val="0"/>
                      <w:szCs w:val="21"/>
                    </w:rPr>
                  </w:pPr>
                  <w:r>
                    <w:rPr>
                      <w:b/>
                      <w:snapToGrid w:val="0"/>
                      <w:color w:val="auto"/>
                      <w:kern w:val="0"/>
                      <w:szCs w:val="21"/>
                    </w:rPr>
                    <w:t>污染物</w:t>
                  </w:r>
                </w:p>
              </w:tc>
              <w:tc>
                <w:tcPr>
                  <w:tcW w:w="2573" w:type="dxa"/>
                  <w:gridSpan w:val="4"/>
                  <w:vAlign w:val="center"/>
                </w:tcPr>
                <w:p w14:paraId="6E6B1D56">
                  <w:pPr>
                    <w:suppressAutoHyphens/>
                    <w:jc w:val="center"/>
                    <w:rPr>
                      <w:b/>
                      <w:snapToGrid w:val="0"/>
                      <w:color w:val="auto"/>
                      <w:kern w:val="0"/>
                      <w:szCs w:val="21"/>
                    </w:rPr>
                  </w:pPr>
                  <w:r>
                    <w:rPr>
                      <w:rFonts w:hint="eastAsia"/>
                      <w:b/>
                      <w:snapToGrid w:val="0"/>
                      <w:color w:val="auto"/>
                      <w:kern w:val="0"/>
                      <w:szCs w:val="21"/>
                    </w:rPr>
                    <w:t>污染物产生</w:t>
                  </w:r>
                </w:p>
              </w:tc>
              <w:tc>
                <w:tcPr>
                  <w:tcW w:w="1079" w:type="dxa"/>
                  <w:gridSpan w:val="2"/>
                  <w:vAlign w:val="center"/>
                </w:tcPr>
                <w:p w14:paraId="3C9855F6">
                  <w:pPr>
                    <w:suppressAutoHyphens/>
                    <w:jc w:val="center"/>
                    <w:rPr>
                      <w:b/>
                      <w:snapToGrid w:val="0"/>
                      <w:color w:val="auto"/>
                      <w:kern w:val="0"/>
                      <w:szCs w:val="21"/>
                    </w:rPr>
                  </w:pPr>
                  <w:r>
                    <w:rPr>
                      <w:rFonts w:hint="eastAsia"/>
                      <w:b/>
                      <w:snapToGrid w:val="0"/>
                      <w:color w:val="auto"/>
                      <w:kern w:val="0"/>
                      <w:szCs w:val="21"/>
                    </w:rPr>
                    <w:t>治理技术</w:t>
                  </w:r>
                </w:p>
              </w:tc>
              <w:tc>
                <w:tcPr>
                  <w:tcW w:w="2700" w:type="dxa"/>
                  <w:gridSpan w:val="4"/>
                  <w:vAlign w:val="center"/>
                </w:tcPr>
                <w:p w14:paraId="57BBCB88">
                  <w:pPr>
                    <w:suppressAutoHyphens/>
                    <w:jc w:val="center"/>
                    <w:rPr>
                      <w:b/>
                      <w:snapToGrid w:val="0"/>
                      <w:color w:val="auto"/>
                      <w:kern w:val="0"/>
                      <w:szCs w:val="21"/>
                    </w:rPr>
                  </w:pPr>
                  <w:r>
                    <w:rPr>
                      <w:rFonts w:hint="eastAsia"/>
                      <w:b/>
                      <w:snapToGrid w:val="0"/>
                      <w:color w:val="auto"/>
                      <w:kern w:val="0"/>
                      <w:szCs w:val="21"/>
                    </w:rPr>
                    <w:t>污染物排放</w:t>
                  </w:r>
                </w:p>
              </w:tc>
              <w:tc>
                <w:tcPr>
                  <w:tcW w:w="569" w:type="dxa"/>
                  <w:vMerge w:val="restart"/>
                  <w:vAlign w:val="center"/>
                </w:tcPr>
                <w:p w14:paraId="4A56DFBD">
                  <w:pPr>
                    <w:suppressAutoHyphens/>
                    <w:jc w:val="center"/>
                    <w:rPr>
                      <w:b/>
                      <w:snapToGrid w:val="0"/>
                      <w:color w:val="auto"/>
                      <w:kern w:val="0"/>
                      <w:szCs w:val="21"/>
                    </w:rPr>
                  </w:pPr>
                  <w:r>
                    <w:rPr>
                      <w:rFonts w:hint="eastAsia"/>
                      <w:b/>
                      <w:snapToGrid w:val="0"/>
                      <w:color w:val="auto"/>
                      <w:kern w:val="0"/>
                      <w:szCs w:val="21"/>
                    </w:rPr>
                    <w:t>排放时间（d）</w:t>
                  </w:r>
                </w:p>
              </w:tc>
            </w:tr>
            <w:tr w14:paraId="192C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83" w:type="dxa"/>
                  <w:vMerge w:val="continue"/>
                  <w:vAlign w:val="center"/>
                </w:tcPr>
                <w:p w14:paraId="18DCDF7F">
                  <w:pPr>
                    <w:suppressAutoHyphens/>
                    <w:jc w:val="center"/>
                    <w:rPr>
                      <w:b/>
                      <w:snapToGrid w:val="0"/>
                      <w:color w:val="auto"/>
                      <w:kern w:val="0"/>
                      <w:szCs w:val="21"/>
                    </w:rPr>
                  </w:pPr>
                </w:p>
              </w:tc>
              <w:tc>
                <w:tcPr>
                  <w:tcW w:w="456" w:type="dxa"/>
                  <w:vMerge w:val="continue"/>
                  <w:vAlign w:val="center"/>
                </w:tcPr>
                <w:p w14:paraId="7B59E629">
                  <w:pPr>
                    <w:suppressAutoHyphens/>
                    <w:jc w:val="center"/>
                    <w:rPr>
                      <w:b/>
                      <w:snapToGrid w:val="0"/>
                      <w:color w:val="auto"/>
                      <w:kern w:val="0"/>
                      <w:szCs w:val="21"/>
                    </w:rPr>
                  </w:pPr>
                </w:p>
              </w:tc>
              <w:tc>
                <w:tcPr>
                  <w:tcW w:w="744" w:type="dxa"/>
                  <w:vMerge w:val="continue"/>
                  <w:vAlign w:val="center"/>
                </w:tcPr>
                <w:p w14:paraId="41B61A97">
                  <w:pPr>
                    <w:suppressAutoHyphens/>
                    <w:jc w:val="center"/>
                    <w:rPr>
                      <w:b/>
                      <w:snapToGrid w:val="0"/>
                      <w:color w:val="auto"/>
                      <w:kern w:val="0"/>
                      <w:szCs w:val="21"/>
                    </w:rPr>
                  </w:pPr>
                </w:p>
              </w:tc>
              <w:tc>
                <w:tcPr>
                  <w:tcW w:w="425" w:type="dxa"/>
                  <w:vAlign w:val="center"/>
                </w:tcPr>
                <w:p w14:paraId="0E25943A">
                  <w:pPr>
                    <w:suppressAutoHyphens/>
                    <w:jc w:val="center"/>
                    <w:rPr>
                      <w:b/>
                      <w:snapToGrid w:val="0"/>
                      <w:color w:val="auto"/>
                      <w:kern w:val="0"/>
                      <w:szCs w:val="21"/>
                    </w:rPr>
                  </w:pPr>
                  <w:r>
                    <w:rPr>
                      <w:rFonts w:hint="eastAsia"/>
                      <w:b/>
                      <w:snapToGrid w:val="0"/>
                      <w:color w:val="auto"/>
                      <w:kern w:val="0"/>
                      <w:szCs w:val="21"/>
                    </w:rPr>
                    <w:t>核算方法</w:t>
                  </w:r>
                </w:p>
              </w:tc>
              <w:tc>
                <w:tcPr>
                  <w:tcW w:w="703" w:type="dxa"/>
                  <w:vAlign w:val="center"/>
                </w:tcPr>
                <w:p w14:paraId="4342B6B3">
                  <w:pPr>
                    <w:suppressAutoHyphens/>
                    <w:jc w:val="center"/>
                    <w:rPr>
                      <w:b/>
                      <w:snapToGrid w:val="0"/>
                      <w:color w:val="auto"/>
                      <w:kern w:val="0"/>
                      <w:szCs w:val="21"/>
                    </w:rPr>
                  </w:pPr>
                  <w:r>
                    <w:rPr>
                      <w:rFonts w:hint="eastAsia"/>
                      <w:b/>
                      <w:snapToGrid w:val="0"/>
                      <w:color w:val="auto"/>
                      <w:kern w:val="0"/>
                      <w:szCs w:val="21"/>
                    </w:rPr>
                    <w:t>废水产生量（m</w:t>
                  </w:r>
                  <w:r>
                    <w:rPr>
                      <w:rFonts w:hint="eastAsia"/>
                      <w:b/>
                      <w:snapToGrid w:val="0"/>
                      <w:color w:val="auto"/>
                      <w:kern w:val="0"/>
                      <w:szCs w:val="21"/>
                      <w:vertAlign w:val="superscript"/>
                    </w:rPr>
                    <w:t>3</w:t>
                  </w:r>
                  <w:r>
                    <w:rPr>
                      <w:rFonts w:hint="eastAsia"/>
                      <w:b/>
                      <w:snapToGrid w:val="0"/>
                      <w:color w:val="auto"/>
                      <w:kern w:val="0"/>
                      <w:szCs w:val="21"/>
                    </w:rPr>
                    <w:t>/d）</w:t>
                  </w:r>
                </w:p>
              </w:tc>
              <w:tc>
                <w:tcPr>
                  <w:tcW w:w="669" w:type="dxa"/>
                  <w:vAlign w:val="center"/>
                </w:tcPr>
                <w:p w14:paraId="5E750878">
                  <w:pPr>
                    <w:suppressAutoHyphens/>
                    <w:jc w:val="center"/>
                    <w:rPr>
                      <w:b/>
                      <w:snapToGrid w:val="0"/>
                      <w:color w:val="auto"/>
                      <w:kern w:val="0"/>
                      <w:szCs w:val="21"/>
                    </w:rPr>
                  </w:pPr>
                  <w:r>
                    <w:rPr>
                      <w:rFonts w:hint="eastAsia"/>
                      <w:b/>
                      <w:snapToGrid w:val="0"/>
                      <w:color w:val="auto"/>
                      <w:kern w:val="0"/>
                      <w:szCs w:val="21"/>
                    </w:rPr>
                    <w:t>产生浓度（mg/L）</w:t>
                  </w:r>
                </w:p>
              </w:tc>
              <w:tc>
                <w:tcPr>
                  <w:tcW w:w="776" w:type="dxa"/>
                  <w:vAlign w:val="center"/>
                </w:tcPr>
                <w:p w14:paraId="50C5CA39">
                  <w:pPr>
                    <w:suppressAutoHyphens/>
                    <w:jc w:val="center"/>
                    <w:rPr>
                      <w:b/>
                      <w:snapToGrid w:val="0"/>
                      <w:color w:val="auto"/>
                      <w:kern w:val="0"/>
                      <w:szCs w:val="21"/>
                    </w:rPr>
                  </w:pPr>
                  <w:r>
                    <w:rPr>
                      <w:rFonts w:hint="eastAsia"/>
                      <w:b/>
                      <w:snapToGrid w:val="0"/>
                      <w:color w:val="auto"/>
                      <w:kern w:val="0"/>
                      <w:szCs w:val="21"/>
                    </w:rPr>
                    <w:t>产生量（kg/d）</w:t>
                  </w:r>
                </w:p>
              </w:tc>
              <w:tc>
                <w:tcPr>
                  <w:tcW w:w="361" w:type="dxa"/>
                  <w:vAlign w:val="center"/>
                </w:tcPr>
                <w:p w14:paraId="5B54DE68">
                  <w:pPr>
                    <w:suppressAutoHyphens/>
                    <w:jc w:val="center"/>
                    <w:rPr>
                      <w:b/>
                      <w:snapToGrid w:val="0"/>
                      <w:color w:val="auto"/>
                      <w:kern w:val="0"/>
                      <w:szCs w:val="21"/>
                    </w:rPr>
                  </w:pPr>
                  <w:r>
                    <w:rPr>
                      <w:rFonts w:hint="eastAsia"/>
                      <w:b/>
                      <w:snapToGrid w:val="0"/>
                      <w:color w:val="auto"/>
                      <w:kern w:val="0"/>
                      <w:szCs w:val="21"/>
                    </w:rPr>
                    <w:t>治理工艺</w:t>
                  </w:r>
                </w:p>
              </w:tc>
              <w:tc>
                <w:tcPr>
                  <w:tcW w:w="718" w:type="dxa"/>
                  <w:vAlign w:val="center"/>
                </w:tcPr>
                <w:p w14:paraId="509526C9">
                  <w:pPr>
                    <w:suppressAutoHyphens/>
                    <w:jc w:val="center"/>
                    <w:rPr>
                      <w:b/>
                      <w:snapToGrid w:val="0"/>
                      <w:color w:val="auto"/>
                      <w:kern w:val="0"/>
                      <w:szCs w:val="21"/>
                    </w:rPr>
                  </w:pPr>
                  <w:r>
                    <w:rPr>
                      <w:rFonts w:hint="eastAsia"/>
                      <w:b/>
                      <w:snapToGrid w:val="0"/>
                      <w:color w:val="auto"/>
                      <w:kern w:val="0"/>
                      <w:szCs w:val="21"/>
                    </w:rPr>
                    <w:t>效率（％）</w:t>
                  </w:r>
                </w:p>
              </w:tc>
              <w:tc>
                <w:tcPr>
                  <w:tcW w:w="414" w:type="dxa"/>
                  <w:vAlign w:val="center"/>
                </w:tcPr>
                <w:p w14:paraId="7ECDDDEE">
                  <w:pPr>
                    <w:suppressAutoHyphens/>
                    <w:jc w:val="center"/>
                    <w:rPr>
                      <w:b/>
                      <w:snapToGrid w:val="0"/>
                      <w:color w:val="auto"/>
                      <w:kern w:val="0"/>
                      <w:szCs w:val="21"/>
                    </w:rPr>
                  </w:pPr>
                  <w:r>
                    <w:rPr>
                      <w:rFonts w:hint="eastAsia"/>
                      <w:b/>
                      <w:snapToGrid w:val="0"/>
                      <w:color w:val="auto"/>
                      <w:kern w:val="0"/>
                      <w:szCs w:val="21"/>
                    </w:rPr>
                    <w:t>核算方法</w:t>
                  </w:r>
                </w:p>
              </w:tc>
              <w:tc>
                <w:tcPr>
                  <w:tcW w:w="765" w:type="dxa"/>
                  <w:vAlign w:val="center"/>
                </w:tcPr>
                <w:p w14:paraId="5A5B2075">
                  <w:pPr>
                    <w:suppressAutoHyphens/>
                    <w:jc w:val="center"/>
                    <w:rPr>
                      <w:b/>
                      <w:snapToGrid w:val="0"/>
                      <w:color w:val="auto"/>
                      <w:kern w:val="0"/>
                      <w:szCs w:val="21"/>
                    </w:rPr>
                  </w:pPr>
                  <w:r>
                    <w:rPr>
                      <w:rFonts w:hint="eastAsia"/>
                      <w:b/>
                      <w:snapToGrid w:val="0"/>
                      <w:color w:val="auto"/>
                      <w:kern w:val="0"/>
                      <w:szCs w:val="21"/>
                    </w:rPr>
                    <w:t>废水排放量（m</w:t>
                  </w:r>
                  <w:r>
                    <w:rPr>
                      <w:rFonts w:hint="eastAsia"/>
                      <w:b/>
                      <w:snapToGrid w:val="0"/>
                      <w:color w:val="auto"/>
                      <w:kern w:val="0"/>
                      <w:szCs w:val="21"/>
                      <w:vertAlign w:val="superscript"/>
                    </w:rPr>
                    <w:t>3</w:t>
                  </w:r>
                  <w:r>
                    <w:rPr>
                      <w:rFonts w:hint="eastAsia"/>
                      <w:b/>
                      <w:snapToGrid w:val="0"/>
                      <w:color w:val="auto"/>
                      <w:kern w:val="0"/>
                      <w:szCs w:val="21"/>
                    </w:rPr>
                    <w:t>/d）</w:t>
                  </w:r>
                </w:p>
              </w:tc>
              <w:tc>
                <w:tcPr>
                  <w:tcW w:w="807" w:type="dxa"/>
                  <w:vAlign w:val="center"/>
                </w:tcPr>
                <w:p w14:paraId="78042823">
                  <w:pPr>
                    <w:suppressAutoHyphens/>
                    <w:jc w:val="center"/>
                    <w:rPr>
                      <w:b/>
                      <w:snapToGrid w:val="0"/>
                      <w:color w:val="auto"/>
                      <w:kern w:val="0"/>
                      <w:szCs w:val="21"/>
                    </w:rPr>
                  </w:pPr>
                  <w:r>
                    <w:rPr>
                      <w:rFonts w:hint="eastAsia"/>
                      <w:b/>
                      <w:snapToGrid w:val="0"/>
                      <w:color w:val="auto"/>
                      <w:kern w:val="0"/>
                      <w:szCs w:val="21"/>
                    </w:rPr>
                    <w:t>排放浓度（mg/L）</w:t>
                  </w:r>
                </w:p>
              </w:tc>
              <w:tc>
                <w:tcPr>
                  <w:tcW w:w="714" w:type="dxa"/>
                  <w:vAlign w:val="center"/>
                </w:tcPr>
                <w:p w14:paraId="145144DC">
                  <w:pPr>
                    <w:suppressAutoHyphens/>
                    <w:jc w:val="center"/>
                    <w:rPr>
                      <w:b/>
                      <w:snapToGrid w:val="0"/>
                      <w:color w:val="auto"/>
                      <w:kern w:val="0"/>
                      <w:szCs w:val="21"/>
                    </w:rPr>
                  </w:pPr>
                  <w:r>
                    <w:rPr>
                      <w:rFonts w:hint="eastAsia"/>
                      <w:b/>
                      <w:snapToGrid w:val="0"/>
                      <w:color w:val="auto"/>
                      <w:kern w:val="0"/>
                      <w:szCs w:val="21"/>
                    </w:rPr>
                    <w:t>排放量（kg/d）</w:t>
                  </w:r>
                </w:p>
              </w:tc>
              <w:tc>
                <w:tcPr>
                  <w:tcW w:w="569" w:type="dxa"/>
                  <w:vMerge w:val="continue"/>
                  <w:vAlign w:val="center"/>
                </w:tcPr>
                <w:p w14:paraId="4F626E67">
                  <w:pPr>
                    <w:suppressAutoHyphens/>
                    <w:ind w:firstLine="360"/>
                    <w:jc w:val="center"/>
                    <w:rPr>
                      <w:snapToGrid w:val="0"/>
                      <w:color w:val="auto"/>
                      <w:kern w:val="0"/>
                      <w:szCs w:val="21"/>
                    </w:rPr>
                  </w:pPr>
                </w:p>
              </w:tc>
            </w:tr>
            <w:tr w14:paraId="16C2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83" w:type="dxa"/>
                  <w:vMerge w:val="restart"/>
                  <w:vAlign w:val="center"/>
                </w:tcPr>
                <w:p w14:paraId="30950A4E">
                  <w:pPr>
                    <w:suppressAutoHyphens/>
                    <w:jc w:val="center"/>
                    <w:rPr>
                      <w:snapToGrid w:val="0"/>
                      <w:color w:val="auto"/>
                      <w:kern w:val="0"/>
                      <w:szCs w:val="21"/>
                    </w:rPr>
                  </w:pPr>
                  <w:r>
                    <w:rPr>
                      <w:rFonts w:hAnsi="宋体"/>
                      <w:snapToGrid w:val="0"/>
                      <w:color w:val="auto"/>
                      <w:kern w:val="0"/>
                      <w:szCs w:val="21"/>
                    </w:rPr>
                    <w:t>职工生活</w:t>
                  </w:r>
                </w:p>
              </w:tc>
              <w:tc>
                <w:tcPr>
                  <w:tcW w:w="456" w:type="dxa"/>
                  <w:vMerge w:val="restart"/>
                  <w:vAlign w:val="center"/>
                </w:tcPr>
                <w:p w14:paraId="1219B775">
                  <w:pPr>
                    <w:suppressAutoHyphens/>
                    <w:jc w:val="center"/>
                    <w:rPr>
                      <w:snapToGrid w:val="0"/>
                      <w:color w:val="auto"/>
                      <w:kern w:val="0"/>
                      <w:szCs w:val="21"/>
                    </w:rPr>
                  </w:pPr>
                  <w:r>
                    <w:rPr>
                      <w:rFonts w:hAnsi="宋体"/>
                      <w:snapToGrid w:val="0"/>
                      <w:color w:val="auto"/>
                      <w:kern w:val="0"/>
                      <w:szCs w:val="21"/>
                    </w:rPr>
                    <w:t>生活污水</w:t>
                  </w:r>
                </w:p>
              </w:tc>
              <w:tc>
                <w:tcPr>
                  <w:tcW w:w="744" w:type="dxa"/>
                  <w:vAlign w:val="center"/>
                </w:tcPr>
                <w:p w14:paraId="16C79439">
                  <w:pPr>
                    <w:suppressAutoHyphens/>
                    <w:ind w:left="-63" w:leftChars="-30" w:right="-63" w:rightChars="-30"/>
                    <w:jc w:val="center"/>
                    <w:rPr>
                      <w:snapToGrid w:val="0"/>
                      <w:color w:val="auto"/>
                      <w:kern w:val="0"/>
                      <w:szCs w:val="21"/>
                    </w:rPr>
                  </w:pPr>
                  <w:r>
                    <w:rPr>
                      <w:snapToGrid w:val="0"/>
                      <w:color w:val="auto"/>
                      <w:kern w:val="0"/>
                      <w:szCs w:val="21"/>
                    </w:rPr>
                    <w:t>COD</w:t>
                  </w:r>
                  <w:r>
                    <w:rPr>
                      <w:rFonts w:hint="eastAsia"/>
                      <w:snapToGrid w:val="0"/>
                      <w:color w:val="auto"/>
                      <w:kern w:val="0"/>
                      <w:szCs w:val="21"/>
                      <w:vertAlign w:val="subscript"/>
                    </w:rPr>
                    <w:t>C</w:t>
                  </w:r>
                  <w:r>
                    <w:rPr>
                      <w:snapToGrid w:val="0"/>
                      <w:color w:val="auto"/>
                      <w:kern w:val="0"/>
                      <w:szCs w:val="21"/>
                      <w:vertAlign w:val="subscript"/>
                    </w:rPr>
                    <w:t>r</w:t>
                  </w:r>
                </w:p>
              </w:tc>
              <w:tc>
                <w:tcPr>
                  <w:tcW w:w="425" w:type="dxa"/>
                  <w:vMerge w:val="restart"/>
                  <w:vAlign w:val="center"/>
                </w:tcPr>
                <w:p w14:paraId="37AC6F51">
                  <w:pPr>
                    <w:suppressAutoHyphens/>
                    <w:jc w:val="center"/>
                    <w:rPr>
                      <w:snapToGrid w:val="0"/>
                      <w:color w:val="auto"/>
                      <w:kern w:val="0"/>
                      <w:szCs w:val="21"/>
                    </w:rPr>
                  </w:pPr>
                  <w:r>
                    <w:rPr>
                      <w:rFonts w:hAnsi="宋体"/>
                      <w:snapToGrid w:val="0"/>
                      <w:color w:val="auto"/>
                      <w:kern w:val="0"/>
                      <w:szCs w:val="21"/>
                    </w:rPr>
                    <w:t>类比法</w:t>
                  </w:r>
                </w:p>
              </w:tc>
              <w:tc>
                <w:tcPr>
                  <w:tcW w:w="703" w:type="dxa"/>
                  <w:vMerge w:val="restart"/>
                  <w:vAlign w:val="center"/>
                </w:tcPr>
                <w:p w14:paraId="2983FCFF">
                  <w:pPr>
                    <w:pStyle w:val="2"/>
                    <w:ind w:firstLine="0" w:firstLineChars="0"/>
                    <w:jc w:val="center"/>
                    <w:rPr>
                      <w:rFonts w:hint="default" w:eastAsia="宋体"/>
                      <w:color w:val="auto"/>
                      <w:lang w:val="en-US" w:eastAsia="zh-CN"/>
                    </w:rPr>
                  </w:pPr>
                  <w:r>
                    <w:rPr>
                      <w:rFonts w:hint="eastAsia"/>
                      <w:color w:val="auto"/>
                      <w:lang w:val="en-US" w:eastAsia="zh-CN"/>
                    </w:rPr>
                    <w:t>0.8</w:t>
                  </w:r>
                </w:p>
              </w:tc>
              <w:tc>
                <w:tcPr>
                  <w:tcW w:w="669" w:type="dxa"/>
                  <w:vAlign w:val="center"/>
                </w:tcPr>
                <w:p w14:paraId="36A70BF1">
                  <w:pPr>
                    <w:suppressAutoHyphens/>
                    <w:jc w:val="center"/>
                    <w:rPr>
                      <w:snapToGrid w:val="0"/>
                      <w:color w:val="auto"/>
                      <w:kern w:val="0"/>
                      <w:szCs w:val="21"/>
                    </w:rPr>
                  </w:pPr>
                  <w:r>
                    <w:rPr>
                      <w:snapToGrid w:val="0"/>
                      <w:color w:val="auto"/>
                      <w:kern w:val="0"/>
                      <w:szCs w:val="21"/>
                    </w:rPr>
                    <w:t>300</w:t>
                  </w:r>
                </w:p>
              </w:tc>
              <w:tc>
                <w:tcPr>
                  <w:tcW w:w="776" w:type="dxa"/>
                  <w:vAlign w:val="center"/>
                </w:tcPr>
                <w:p w14:paraId="1868FCE9">
                  <w:pPr>
                    <w:suppressAutoHyphens/>
                    <w:jc w:val="center"/>
                    <w:rPr>
                      <w:rFonts w:hint="default" w:eastAsia="宋体"/>
                      <w:snapToGrid w:val="0"/>
                      <w:color w:val="auto"/>
                      <w:kern w:val="0"/>
                      <w:szCs w:val="21"/>
                      <w:lang w:val="en-US" w:eastAsia="zh-CN"/>
                    </w:rPr>
                  </w:pPr>
                  <w:r>
                    <w:rPr>
                      <w:rFonts w:hint="eastAsia"/>
                      <w:snapToGrid w:val="0"/>
                      <w:color w:val="auto"/>
                      <w:kern w:val="0"/>
                      <w:szCs w:val="21"/>
                    </w:rPr>
                    <w:t>0.</w:t>
                  </w:r>
                  <w:r>
                    <w:rPr>
                      <w:rFonts w:hint="eastAsia"/>
                      <w:snapToGrid w:val="0"/>
                      <w:color w:val="auto"/>
                      <w:kern w:val="0"/>
                      <w:szCs w:val="21"/>
                      <w:lang w:val="en-US" w:eastAsia="zh-CN"/>
                    </w:rPr>
                    <w:t>24</w:t>
                  </w:r>
                </w:p>
              </w:tc>
              <w:tc>
                <w:tcPr>
                  <w:tcW w:w="361" w:type="dxa"/>
                  <w:vMerge w:val="restart"/>
                  <w:vAlign w:val="center"/>
                </w:tcPr>
                <w:p w14:paraId="619AA94D">
                  <w:pPr>
                    <w:suppressAutoHyphens/>
                    <w:jc w:val="center"/>
                    <w:rPr>
                      <w:snapToGrid w:val="0"/>
                      <w:color w:val="auto"/>
                      <w:kern w:val="0"/>
                      <w:szCs w:val="21"/>
                    </w:rPr>
                  </w:pPr>
                  <w:r>
                    <w:rPr>
                      <w:rFonts w:hAnsi="宋体"/>
                      <w:snapToGrid w:val="0"/>
                      <w:color w:val="auto"/>
                      <w:kern w:val="0"/>
                      <w:szCs w:val="21"/>
                    </w:rPr>
                    <w:t>化粪池</w:t>
                  </w:r>
                </w:p>
              </w:tc>
              <w:tc>
                <w:tcPr>
                  <w:tcW w:w="718" w:type="dxa"/>
                  <w:vMerge w:val="restart"/>
                  <w:vAlign w:val="center"/>
                </w:tcPr>
                <w:p w14:paraId="1DB6F2AC">
                  <w:pPr>
                    <w:suppressAutoHyphens/>
                    <w:jc w:val="center"/>
                    <w:rPr>
                      <w:snapToGrid w:val="0"/>
                      <w:color w:val="auto"/>
                      <w:kern w:val="0"/>
                      <w:szCs w:val="21"/>
                    </w:rPr>
                  </w:pPr>
                  <w:r>
                    <w:rPr>
                      <w:snapToGrid w:val="0"/>
                      <w:color w:val="auto"/>
                      <w:kern w:val="0"/>
                      <w:szCs w:val="21"/>
                    </w:rPr>
                    <w:t>/</w:t>
                  </w:r>
                </w:p>
              </w:tc>
              <w:tc>
                <w:tcPr>
                  <w:tcW w:w="414" w:type="dxa"/>
                  <w:vMerge w:val="restart"/>
                  <w:vAlign w:val="center"/>
                </w:tcPr>
                <w:p w14:paraId="56B7136F">
                  <w:pPr>
                    <w:suppressAutoHyphens/>
                    <w:jc w:val="center"/>
                    <w:rPr>
                      <w:snapToGrid w:val="0"/>
                      <w:color w:val="auto"/>
                      <w:kern w:val="0"/>
                      <w:szCs w:val="21"/>
                    </w:rPr>
                  </w:pPr>
                  <w:r>
                    <w:rPr>
                      <w:rFonts w:hAnsi="宋体"/>
                      <w:snapToGrid w:val="0"/>
                      <w:color w:val="auto"/>
                      <w:kern w:val="0"/>
                      <w:szCs w:val="21"/>
                    </w:rPr>
                    <w:t>类比法</w:t>
                  </w:r>
                </w:p>
              </w:tc>
              <w:tc>
                <w:tcPr>
                  <w:tcW w:w="765" w:type="dxa"/>
                  <w:vMerge w:val="restart"/>
                  <w:vAlign w:val="center"/>
                </w:tcPr>
                <w:p w14:paraId="0E8E96F1">
                  <w:pPr>
                    <w:suppressAutoHyphens/>
                    <w:jc w:val="center"/>
                    <w:rPr>
                      <w:snapToGrid w:val="0"/>
                      <w:color w:val="auto"/>
                      <w:kern w:val="0"/>
                      <w:szCs w:val="21"/>
                    </w:rPr>
                  </w:pPr>
                  <w:r>
                    <w:rPr>
                      <w:rFonts w:hint="eastAsia"/>
                      <w:snapToGrid w:val="0"/>
                      <w:color w:val="auto"/>
                      <w:kern w:val="0"/>
                      <w:szCs w:val="21"/>
                    </w:rPr>
                    <w:t>2.0</w:t>
                  </w:r>
                </w:p>
              </w:tc>
              <w:tc>
                <w:tcPr>
                  <w:tcW w:w="807" w:type="dxa"/>
                  <w:vAlign w:val="center"/>
                </w:tcPr>
                <w:p w14:paraId="7ACEB033">
                  <w:pPr>
                    <w:suppressAutoHyphens/>
                    <w:jc w:val="center"/>
                    <w:rPr>
                      <w:snapToGrid w:val="0"/>
                      <w:color w:val="auto"/>
                      <w:kern w:val="0"/>
                      <w:szCs w:val="21"/>
                    </w:rPr>
                  </w:pPr>
                  <w:r>
                    <w:rPr>
                      <w:rFonts w:hint="eastAsia"/>
                      <w:snapToGrid w:val="0"/>
                      <w:color w:val="auto"/>
                      <w:kern w:val="0"/>
                      <w:szCs w:val="21"/>
                    </w:rPr>
                    <w:t>40</w:t>
                  </w:r>
                </w:p>
              </w:tc>
              <w:tc>
                <w:tcPr>
                  <w:tcW w:w="714" w:type="dxa"/>
                  <w:vAlign w:val="center"/>
                </w:tcPr>
                <w:p w14:paraId="0E654264">
                  <w:pPr>
                    <w:suppressAutoHyphens/>
                    <w:jc w:val="center"/>
                    <w:rPr>
                      <w:rFonts w:hint="eastAsia" w:eastAsia="宋体"/>
                      <w:snapToGrid w:val="0"/>
                      <w:color w:val="auto"/>
                      <w:kern w:val="0"/>
                      <w:szCs w:val="21"/>
                      <w:lang w:eastAsia="zh-CN"/>
                    </w:rPr>
                  </w:pPr>
                  <w:r>
                    <w:rPr>
                      <w:rFonts w:hint="eastAsia"/>
                      <w:snapToGrid w:val="0"/>
                      <w:color w:val="auto"/>
                      <w:kern w:val="0"/>
                      <w:szCs w:val="21"/>
                    </w:rPr>
                    <w:t>0.0</w:t>
                  </w:r>
                  <w:r>
                    <w:rPr>
                      <w:rFonts w:hint="eastAsia"/>
                      <w:snapToGrid w:val="0"/>
                      <w:color w:val="auto"/>
                      <w:kern w:val="0"/>
                      <w:szCs w:val="21"/>
                      <w:lang w:val="en-US" w:eastAsia="zh-CN"/>
                    </w:rPr>
                    <w:t>3</w:t>
                  </w:r>
                </w:p>
              </w:tc>
              <w:tc>
                <w:tcPr>
                  <w:tcW w:w="569" w:type="dxa"/>
                  <w:vMerge w:val="restart"/>
                  <w:vAlign w:val="center"/>
                </w:tcPr>
                <w:p w14:paraId="7B187B6C">
                  <w:pPr>
                    <w:suppressAutoHyphens/>
                    <w:jc w:val="center"/>
                    <w:rPr>
                      <w:snapToGrid w:val="0"/>
                      <w:color w:val="auto"/>
                      <w:kern w:val="0"/>
                      <w:szCs w:val="21"/>
                    </w:rPr>
                  </w:pPr>
                  <w:r>
                    <w:rPr>
                      <w:snapToGrid w:val="0"/>
                      <w:color w:val="auto"/>
                      <w:kern w:val="0"/>
                      <w:szCs w:val="21"/>
                    </w:rPr>
                    <w:t>300</w:t>
                  </w:r>
                </w:p>
              </w:tc>
            </w:tr>
            <w:tr w14:paraId="01DF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3" w:type="dxa"/>
                  <w:vMerge w:val="continue"/>
                  <w:vAlign w:val="center"/>
                </w:tcPr>
                <w:p w14:paraId="0246B937">
                  <w:pPr>
                    <w:suppressAutoHyphens/>
                    <w:jc w:val="center"/>
                    <w:rPr>
                      <w:snapToGrid w:val="0"/>
                      <w:color w:val="auto"/>
                      <w:kern w:val="0"/>
                      <w:szCs w:val="21"/>
                    </w:rPr>
                  </w:pPr>
                </w:p>
              </w:tc>
              <w:tc>
                <w:tcPr>
                  <w:tcW w:w="456" w:type="dxa"/>
                  <w:vMerge w:val="continue"/>
                  <w:vAlign w:val="center"/>
                </w:tcPr>
                <w:p w14:paraId="0FB591C7">
                  <w:pPr>
                    <w:suppressAutoHyphens/>
                    <w:jc w:val="center"/>
                    <w:rPr>
                      <w:snapToGrid w:val="0"/>
                      <w:color w:val="auto"/>
                      <w:kern w:val="0"/>
                      <w:szCs w:val="21"/>
                    </w:rPr>
                  </w:pPr>
                </w:p>
              </w:tc>
              <w:tc>
                <w:tcPr>
                  <w:tcW w:w="744" w:type="dxa"/>
                  <w:vAlign w:val="center"/>
                </w:tcPr>
                <w:p w14:paraId="099E0DD3">
                  <w:pPr>
                    <w:suppressAutoHyphens/>
                    <w:ind w:left="-63" w:leftChars="-30" w:right="-63" w:rightChars="-30"/>
                    <w:jc w:val="center"/>
                    <w:rPr>
                      <w:snapToGrid w:val="0"/>
                      <w:color w:val="auto"/>
                      <w:kern w:val="0"/>
                      <w:szCs w:val="21"/>
                    </w:rPr>
                  </w:pPr>
                  <w:r>
                    <w:rPr>
                      <w:snapToGrid w:val="0"/>
                      <w:color w:val="auto"/>
                      <w:kern w:val="0"/>
                      <w:szCs w:val="21"/>
                    </w:rPr>
                    <w:t>NH</w:t>
                  </w:r>
                  <w:r>
                    <w:rPr>
                      <w:snapToGrid w:val="0"/>
                      <w:color w:val="auto"/>
                      <w:kern w:val="0"/>
                      <w:szCs w:val="21"/>
                      <w:vertAlign w:val="subscript"/>
                    </w:rPr>
                    <w:t>3</w:t>
                  </w:r>
                  <w:r>
                    <w:rPr>
                      <w:snapToGrid w:val="0"/>
                      <w:color w:val="auto"/>
                      <w:kern w:val="0"/>
                      <w:szCs w:val="21"/>
                    </w:rPr>
                    <w:t>-N</w:t>
                  </w:r>
                </w:p>
              </w:tc>
              <w:tc>
                <w:tcPr>
                  <w:tcW w:w="425" w:type="dxa"/>
                  <w:vMerge w:val="continue"/>
                  <w:vAlign w:val="center"/>
                </w:tcPr>
                <w:p w14:paraId="4F6D990E">
                  <w:pPr>
                    <w:suppressAutoHyphens/>
                    <w:jc w:val="center"/>
                    <w:rPr>
                      <w:snapToGrid w:val="0"/>
                      <w:color w:val="auto"/>
                      <w:kern w:val="0"/>
                      <w:szCs w:val="21"/>
                    </w:rPr>
                  </w:pPr>
                </w:p>
              </w:tc>
              <w:tc>
                <w:tcPr>
                  <w:tcW w:w="703" w:type="dxa"/>
                  <w:vMerge w:val="continue"/>
                  <w:vAlign w:val="center"/>
                </w:tcPr>
                <w:p w14:paraId="42ABBC8D">
                  <w:pPr>
                    <w:suppressAutoHyphens/>
                    <w:jc w:val="center"/>
                    <w:rPr>
                      <w:snapToGrid w:val="0"/>
                      <w:color w:val="auto"/>
                      <w:kern w:val="0"/>
                      <w:szCs w:val="21"/>
                    </w:rPr>
                  </w:pPr>
                </w:p>
              </w:tc>
              <w:tc>
                <w:tcPr>
                  <w:tcW w:w="669" w:type="dxa"/>
                  <w:vAlign w:val="center"/>
                </w:tcPr>
                <w:p w14:paraId="1CD22997">
                  <w:pPr>
                    <w:suppressAutoHyphens/>
                    <w:jc w:val="center"/>
                    <w:rPr>
                      <w:snapToGrid w:val="0"/>
                      <w:color w:val="auto"/>
                      <w:kern w:val="0"/>
                      <w:szCs w:val="21"/>
                    </w:rPr>
                  </w:pPr>
                  <w:r>
                    <w:rPr>
                      <w:snapToGrid w:val="0"/>
                      <w:color w:val="auto"/>
                      <w:kern w:val="0"/>
                      <w:szCs w:val="21"/>
                    </w:rPr>
                    <w:t>20</w:t>
                  </w:r>
                </w:p>
              </w:tc>
              <w:tc>
                <w:tcPr>
                  <w:tcW w:w="776" w:type="dxa"/>
                  <w:vAlign w:val="center"/>
                </w:tcPr>
                <w:p w14:paraId="586F1681">
                  <w:pPr>
                    <w:suppressAutoHyphens/>
                    <w:jc w:val="center"/>
                    <w:rPr>
                      <w:rFonts w:hint="eastAsia" w:eastAsia="宋体"/>
                      <w:snapToGrid w:val="0"/>
                      <w:color w:val="auto"/>
                      <w:kern w:val="0"/>
                      <w:szCs w:val="21"/>
                      <w:lang w:eastAsia="zh-CN"/>
                    </w:rPr>
                  </w:pPr>
                  <w:r>
                    <w:rPr>
                      <w:rFonts w:hint="eastAsia"/>
                      <w:snapToGrid w:val="0"/>
                      <w:color w:val="auto"/>
                      <w:kern w:val="0"/>
                      <w:szCs w:val="21"/>
                    </w:rPr>
                    <w:t>0.0</w:t>
                  </w:r>
                  <w:r>
                    <w:rPr>
                      <w:rFonts w:hint="eastAsia"/>
                      <w:snapToGrid w:val="0"/>
                      <w:color w:val="auto"/>
                      <w:kern w:val="0"/>
                      <w:szCs w:val="21"/>
                      <w:lang w:val="en-US" w:eastAsia="zh-CN"/>
                    </w:rPr>
                    <w:t>2</w:t>
                  </w:r>
                </w:p>
              </w:tc>
              <w:tc>
                <w:tcPr>
                  <w:tcW w:w="361" w:type="dxa"/>
                  <w:vMerge w:val="continue"/>
                  <w:vAlign w:val="center"/>
                </w:tcPr>
                <w:p w14:paraId="08158C90">
                  <w:pPr>
                    <w:suppressAutoHyphens/>
                    <w:jc w:val="center"/>
                    <w:rPr>
                      <w:snapToGrid w:val="0"/>
                      <w:color w:val="auto"/>
                      <w:kern w:val="0"/>
                      <w:szCs w:val="21"/>
                    </w:rPr>
                  </w:pPr>
                </w:p>
              </w:tc>
              <w:tc>
                <w:tcPr>
                  <w:tcW w:w="718" w:type="dxa"/>
                  <w:vMerge w:val="continue"/>
                  <w:vAlign w:val="center"/>
                </w:tcPr>
                <w:p w14:paraId="05BEE394">
                  <w:pPr>
                    <w:suppressAutoHyphens/>
                    <w:jc w:val="center"/>
                    <w:rPr>
                      <w:snapToGrid w:val="0"/>
                      <w:color w:val="auto"/>
                      <w:kern w:val="0"/>
                      <w:szCs w:val="21"/>
                    </w:rPr>
                  </w:pPr>
                </w:p>
              </w:tc>
              <w:tc>
                <w:tcPr>
                  <w:tcW w:w="414" w:type="dxa"/>
                  <w:vMerge w:val="continue"/>
                  <w:vAlign w:val="center"/>
                </w:tcPr>
                <w:p w14:paraId="71CEB476">
                  <w:pPr>
                    <w:suppressAutoHyphens/>
                    <w:jc w:val="center"/>
                    <w:rPr>
                      <w:snapToGrid w:val="0"/>
                      <w:color w:val="auto"/>
                      <w:kern w:val="0"/>
                      <w:szCs w:val="21"/>
                    </w:rPr>
                  </w:pPr>
                </w:p>
              </w:tc>
              <w:tc>
                <w:tcPr>
                  <w:tcW w:w="765" w:type="dxa"/>
                  <w:vMerge w:val="continue"/>
                  <w:vAlign w:val="center"/>
                </w:tcPr>
                <w:p w14:paraId="4E0FCE3C">
                  <w:pPr>
                    <w:suppressAutoHyphens/>
                    <w:jc w:val="center"/>
                    <w:rPr>
                      <w:snapToGrid w:val="0"/>
                      <w:color w:val="auto"/>
                      <w:kern w:val="0"/>
                      <w:szCs w:val="21"/>
                    </w:rPr>
                  </w:pPr>
                </w:p>
              </w:tc>
              <w:tc>
                <w:tcPr>
                  <w:tcW w:w="807" w:type="dxa"/>
                  <w:vAlign w:val="center"/>
                </w:tcPr>
                <w:p w14:paraId="34EDA914">
                  <w:pPr>
                    <w:suppressAutoHyphens/>
                    <w:jc w:val="center"/>
                    <w:rPr>
                      <w:snapToGrid w:val="0"/>
                      <w:color w:val="auto"/>
                      <w:kern w:val="0"/>
                      <w:szCs w:val="21"/>
                    </w:rPr>
                  </w:pPr>
                  <w:r>
                    <w:rPr>
                      <w:rFonts w:hint="eastAsia"/>
                      <w:snapToGrid w:val="0"/>
                      <w:color w:val="auto"/>
                      <w:kern w:val="0"/>
                      <w:szCs w:val="21"/>
                    </w:rPr>
                    <w:t>2</w:t>
                  </w:r>
                </w:p>
              </w:tc>
              <w:tc>
                <w:tcPr>
                  <w:tcW w:w="714" w:type="dxa"/>
                  <w:vAlign w:val="center"/>
                </w:tcPr>
                <w:p w14:paraId="5F44ABFE">
                  <w:pPr>
                    <w:suppressAutoHyphens/>
                    <w:jc w:val="center"/>
                    <w:rPr>
                      <w:rFonts w:hint="default" w:eastAsia="宋体"/>
                      <w:snapToGrid w:val="0"/>
                      <w:color w:val="auto"/>
                      <w:kern w:val="0"/>
                      <w:szCs w:val="21"/>
                      <w:lang w:val="en-US" w:eastAsia="zh-CN"/>
                    </w:rPr>
                  </w:pPr>
                  <w:r>
                    <w:rPr>
                      <w:rFonts w:hint="eastAsia"/>
                      <w:snapToGrid w:val="0"/>
                      <w:color w:val="auto"/>
                      <w:kern w:val="0"/>
                      <w:szCs w:val="21"/>
                    </w:rPr>
                    <w:t>0.00</w:t>
                  </w:r>
                  <w:r>
                    <w:rPr>
                      <w:rFonts w:hint="eastAsia"/>
                      <w:snapToGrid w:val="0"/>
                      <w:color w:val="auto"/>
                      <w:kern w:val="0"/>
                      <w:szCs w:val="21"/>
                      <w:lang w:val="en-US" w:eastAsia="zh-CN"/>
                    </w:rPr>
                    <w:t>16</w:t>
                  </w:r>
                </w:p>
              </w:tc>
              <w:tc>
                <w:tcPr>
                  <w:tcW w:w="569" w:type="dxa"/>
                  <w:vMerge w:val="continue"/>
                  <w:vAlign w:val="center"/>
                </w:tcPr>
                <w:p w14:paraId="16896985">
                  <w:pPr>
                    <w:suppressAutoHyphens/>
                    <w:jc w:val="center"/>
                    <w:rPr>
                      <w:snapToGrid w:val="0"/>
                      <w:color w:val="auto"/>
                      <w:kern w:val="0"/>
                      <w:szCs w:val="21"/>
                    </w:rPr>
                  </w:pPr>
                </w:p>
              </w:tc>
            </w:tr>
          </w:tbl>
          <w:p w14:paraId="112937DC">
            <w:pPr>
              <w:pStyle w:val="116"/>
              <w:tabs>
                <w:tab w:val="left" w:pos="1470"/>
              </w:tabs>
              <w:spacing w:beforeLines="50" w:line="240" w:lineRule="auto"/>
              <w:ind w:firstLine="422"/>
              <w:jc w:val="center"/>
              <w:rPr>
                <w:rFonts w:hAnsi="宋体" w:eastAsia="宋体"/>
                <w:b/>
                <w:color w:val="auto"/>
                <w:sz w:val="21"/>
                <w:szCs w:val="24"/>
              </w:rPr>
            </w:pPr>
            <w:r>
              <w:rPr>
                <w:rFonts w:hAnsi="宋体" w:eastAsia="宋体"/>
                <w:b/>
                <w:color w:val="auto"/>
                <w:sz w:val="21"/>
                <w:szCs w:val="24"/>
              </w:rPr>
              <w:t>表</w:t>
            </w:r>
            <w:r>
              <w:rPr>
                <w:rFonts w:hint="eastAsia" w:hAnsi="宋体" w:eastAsia="宋体"/>
                <w:b/>
                <w:color w:val="auto"/>
                <w:sz w:val="21"/>
                <w:szCs w:val="24"/>
              </w:rPr>
              <w:t>4</w:t>
            </w:r>
            <w:r>
              <w:rPr>
                <w:rFonts w:hAnsi="宋体" w:eastAsia="宋体"/>
                <w:b/>
                <w:color w:val="auto"/>
                <w:sz w:val="21"/>
                <w:szCs w:val="24"/>
              </w:rPr>
              <w:t>-</w:t>
            </w:r>
            <w:r>
              <w:rPr>
                <w:rFonts w:hint="eastAsia" w:hAnsi="宋体" w:eastAsia="宋体"/>
                <w:b/>
                <w:color w:val="auto"/>
                <w:sz w:val="21"/>
                <w:szCs w:val="24"/>
              </w:rPr>
              <w:t>1</w:t>
            </w:r>
            <w:r>
              <w:rPr>
                <w:rFonts w:hint="eastAsia" w:hAnsi="宋体" w:eastAsia="宋体"/>
                <w:b/>
                <w:color w:val="auto"/>
                <w:sz w:val="21"/>
                <w:szCs w:val="24"/>
                <w:lang w:val="en-US" w:eastAsia="zh-CN"/>
              </w:rPr>
              <w:t>3</w:t>
            </w:r>
            <w:r>
              <w:rPr>
                <w:rFonts w:hint="eastAsia" w:hAnsi="宋体" w:eastAsia="宋体"/>
                <w:b/>
                <w:color w:val="auto"/>
                <w:sz w:val="21"/>
                <w:szCs w:val="24"/>
              </w:rPr>
              <w:t xml:space="preserve">  </w:t>
            </w:r>
            <w:r>
              <w:rPr>
                <w:rFonts w:hAnsi="宋体" w:eastAsia="宋体"/>
                <w:b/>
                <w:color w:val="auto"/>
                <w:sz w:val="21"/>
                <w:szCs w:val="24"/>
              </w:rPr>
              <w:t>废水类别、污染物及污染治理设施信息表</w:t>
            </w:r>
          </w:p>
          <w:tbl>
            <w:tblPr>
              <w:tblStyle w:val="37"/>
              <w:tblW w:w="862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504"/>
              <w:gridCol w:w="878"/>
              <w:gridCol w:w="686"/>
              <w:gridCol w:w="1061"/>
              <w:gridCol w:w="775"/>
              <w:gridCol w:w="737"/>
              <w:gridCol w:w="737"/>
              <w:gridCol w:w="643"/>
              <w:gridCol w:w="922"/>
              <w:gridCol w:w="1241"/>
            </w:tblGrid>
            <w:tr w14:paraId="09405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40" w:type="dxa"/>
                  <w:vMerge w:val="restart"/>
                  <w:tcBorders>
                    <w:left w:val="single" w:color="auto" w:sz="4" w:space="0"/>
                  </w:tcBorders>
                  <w:vAlign w:val="center"/>
                </w:tcPr>
                <w:p w14:paraId="462FEDA4">
                  <w:pPr>
                    <w:adjustRightInd w:val="0"/>
                    <w:snapToGrid w:val="0"/>
                    <w:jc w:val="center"/>
                    <w:rPr>
                      <w:b/>
                      <w:color w:val="auto"/>
                      <w:szCs w:val="21"/>
                    </w:rPr>
                  </w:pPr>
                  <w:r>
                    <w:rPr>
                      <w:rFonts w:hAnsi="宋体"/>
                      <w:b/>
                      <w:color w:val="auto"/>
                      <w:szCs w:val="21"/>
                    </w:rPr>
                    <w:t>序号</w:t>
                  </w:r>
                </w:p>
              </w:tc>
              <w:tc>
                <w:tcPr>
                  <w:tcW w:w="504" w:type="dxa"/>
                  <w:vMerge w:val="restart"/>
                  <w:vAlign w:val="center"/>
                </w:tcPr>
                <w:p w14:paraId="355277FB">
                  <w:pPr>
                    <w:adjustRightInd w:val="0"/>
                    <w:snapToGrid w:val="0"/>
                    <w:jc w:val="center"/>
                    <w:rPr>
                      <w:b/>
                      <w:color w:val="auto"/>
                      <w:szCs w:val="21"/>
                    </w:rPr>
                  </w:pPr>
                  <w:r>
                    <w:rPr>
                      <w:rFonts w:hAnsi="宋体"/>
                      <w:b/>
                      <w:color w:val="auto"/>
                      <w:szCs w:val="21"/>
                    </w:rPr>
                    <w:t>废水类别</w:t>
                  </w:r>
                </w:p>
              </w:tc>
              <w:tc>
                <w:tcPr>
                  <w:tcW w:w="878" w:type="dxa"/>
                  <w:vMerge w:val="restart"/>
                  <w:vAlign w:val="center"/>
                </w:tcPr>
                <w:p w14:paraId="4D65BEA3">
                  <w:pPr>
                    <w:adjustRightInd w:val="0"/>
                    <w:snapToGrid w:val="0"/>
                    <w:jc w:val="center"/>
                    <w:rPr>
                      <w:b/>
                      <w:color w:val="auto"/>
                      <w:szCs w:val="21"/>
                    </w:rPr>
                  </w:pPr>
                  <w:r>
                    <w:rPr>
                      <w:rFonts w:hAnsi="宋体"/>
                      <w:b/>
                      <w:color w:val="auto"/>
                      <w:szCs w:val="21"/>
                    </w:rPr>
                    <w:t>污染物</w:t>
                  </w:r>
                </w:p>
                <w:p w14:paraId="133D36BA">
                  <w:pPr>
                    <w:adjustRightInd w:val="0"/>
                    <w:snapToGrid w:val="0"/>
                    <w:jc w:val="center"/>
                    <w:rPr>
                      <w:b/>
                      <w:color w:val="auto"/>
                      <w:szCs w:val="21"/>
                    </w:rPr>
                  </w:pPr>
                  <w:r>
                    <w:rPr>
                      <w:rFonts w:hAnsi="宋体"/>
                      <w:b/>
                      <w:color w:val="auto"/>
                      <w:szCs w:val="21"/>
                    </w:rPr>
                    <w:t>种类</w:t>
                  </w:r>
                </w:p>
              </w:tc>
              <w:tc>
                <w:tcPr>
                  <w:tcW w:w="686" w:type="dxa"/>
                  <w:vMerge w:val="restart"/>
                  <w:vAlign w:val="center"/>
                </w:tcPr>
                <w:p w14:paraId="78D32B06">
                  <w:pPr>
                    <w:adjustRightInd w:val="0"/>
                    <w:snapToGrid w:val="0"/>
                    <w:jc w:val="center"/>
                    <w:rPr>
                      <w:b/>
                      <w:color w:val="auto"/>
                      <w:szCs w:val="21"/>
                    </w:rPr>
                  </w:pPr>
                  <w:r>
                    <w:rPr>
                      <w:rFonts w:hAnsi="宋体"/>
                      <w:b/>
                      <w:color w:val="auto"/>
                      <w:szCs w:val="21"/>
                    </w:rPr>
                    <w:t>排放去向</w:t>
                  </w:r>
                </w:p>
              </w:tc>
              <w:tc>
                <w:tcPr>
                  <w:tcW w:w="1061" w:type="dxa"/>
                  <w:vMerge w:val="restart"/>
                  <w:vAlign w:val="center"/>
                </w:tcPr>
                <w:p w14:paraId="1CE7AF30">
                  <w:pPr>
                    <w:adjustRightInd w:val="0"/>
                    <w:snapToGrid w:val="0"/>
                    <w:jc w:val="center"/>
                    <w:rPr>
                      <w:b/>
                      <w:color w:val="auto"/>
                      <w:szCs w:val="21"/>
                    </w:rPr>
                  </w:pPr>
                  <w:r>
                    <w:rPr>
                      <w:rFonts w:hAnsi="宋体"/>
                      <w:b/>
                      <w:color w:val="auto"/>
                      <w:szCs w:val="21"/>
                    </w:rPr>
                    <w:t>排放规律</w:t>
                  </w:r>
                </w:p>
              </w:tc>
              <w:tc>
                <w:tcPr>
                  <w:tcW w:w="2249" w:type="dxa"/>
                  <w:gridSpan w:val="3"/>
                  <w:vAlign w:val="center"/>
                </w:tcPr>
                <w:p w14:paraId="6A5074FF">
                  <w:pPr>
                    <w:adjustRightInd w:val="0"/>
                    <w:snapToGrid w:val="0"/>
                    <w:jc w:val="center"/>
                    <w:rPr>
                      <w:b/>
                      <w:color w:val="auto"/>
                      <w:szCs w:val="21"/>
                    </w:rPr>
                  </w:pPr>
                  <w:r>
                    <w:rPr>
                      <w:rFonts w:hAnsi="宋体"/>
                      <w:b/>
                      <w:color w:val="auto"/>
                      <w:szCs w:val="21"/>
                    </w:rPr>
                    <w:t>污染治理设施</w:t>
                  </w:r>
                </w:p>
              </w:tc>
              <w:tc>
                <w:tcPr>
                  <w:tcW w:w="643" w:type="dxa"/>
                  <w:vMerge w:val="restart"/>
                  <w:vAlign w:val="center"/>
                </w:tcPr>
                <w:p w14:paraId="3BAC4B24">
                  <w:pPr>
                    <w:adjustRightInd w:val="0"/>
                    <w:snapToGrid w:val="0"/>
                    <w:jc w:val="center"/>
                    <w:rPr>
                      <w:b/>
                      <w:color w:val="auto"/>
                      <w:szCs w:val="21"/>
                    </w:rPr>
                  </w:pPr>
                  <w:r>
                    <w:rPr>
                      <w:rFonts w:hAnsi="宋体"/>
                      <w:b/>
                      <w:color w:val="auto"/>
                      <w:szCs w:val="21"/>
                    </w:rPr>
                    <w:t>排放口编号</w:t>
                  </w:r>
                </w:p>
              </w:tc>
              <w:tc>
                <w:tcPr>
                  <w:tcW w:w="922" w:type="dxa"/>
                  <w:vMerge w:val="restart"/>
                  <w:vAlign w:val="center"/>
                </w:tcPr>
                <w:p w14:paraId="63A1C20A">
                  <w:pPr>
                    <w:adjustRightInd w:val="0"/>
                    <w:snapToGrid w:val="0"/>
                    <w:jc w:val="center"/>
                    <w:rPr>
                      <w:b/>
                      <w:color w:val="auto"/>
                      <w:szCs w:val="21"/>
                    </w:rPr>
                  </w:pPr>
                  <w:r>
                    <w:rPr>
                      <w:rFonts w:hAnsi="宋体"/>
                      <w:b/>
                      <w:color w:val="auto"/>
                      <w:szCs w:val="21"/>
                    </w:rPr>
                    <w:t>排放口设置是否符合要求</w:t>
                  </w:r>
                </w:p>
              </w:tc>
              <w:tc>
                <w:tcPr>
                  <w:tcW w:w="1241" w:type="dxa"/>
                  <w:vMerge w:val="restart"/>
                  <w:tcBorders>
                    <w:right w:val="single" w:color="auto" w:sz="4" w:space="0"/>
                  </w:tcBorders>
                  <w:vAlign w:val="center"/>
                </w:tcPr>
                <w:p w14:paraId="44BC6AF6">
                  <w:pPr>
                    <w:adjustRightInd w:val="0"/>
                    <w:snapToGrid w:val="0"/>
                    <w:jc w:val="center"/>
                    <w:rPr>
                      <w:b/>
                      <w:color w:val="auto"/>
                      <w:szCs w:val="21"/>
                    </w:rPr>
                  </w:pPr>
                  <w:r>
                    <w:rPr>
                      <w:rFonts w:hAnsi="宋体"/>
                      <w:b/>
                      <w:color w:val="auto"/>
                      <w:szCs w:val="21"/>
                    </w:rPr>
                    <w:t>排放口类型</w:t>
                  </w:r>
                </w:p>
              </w:tc>
            </w:tr>
            <w:tr w14:paraId="716192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40" w:type="dxa"/>
                  <w:vMerge w:val="continue"/>
                  <w:tcBorders>
                    <w:left w:val="single" w:color="auto" w:sz="4" w:space="0"/>
                  </w:tcBorders>
                  <w:vAlign w:val="center"/>
                </w:tcPr>
                <w:p w14:paraId="60B2578A">
                  <w:pPr>
                    <w:adjustRightInd w:val="0"/>
                    <w:snapToGrid w:val="0"/>
                    <w:jc w:val="center"/>
                    <w:rPr>
                      <w:b/>
                      <w:color w:val="auto"/>
                      <w:szCs w:val="21"/>
                    </w:rPr>
                  </w:pPr>
                </w:p>
              </w:tc>
              <w:tc>
                <w:tcPr>
                  <w:tcW w:w="504" w:type="dxa"/>
                  <w:vMerge w:val="continue"/>
                  <w:vAlign w:val="center"/>
                </w:tcPr>
                <w:p w14:paraId="340A9B0D">
                  <w:pPr>
                    <w:adjustRightInd w:val="0"/>
                    <w:snapToGrid w:val="0"/>
                    <w:jc w:val="center"/>
                    <w:rPr>
                      <w:b/>
                      <w:color w:val="auto"/>
                      <w:szCs w:val="21"/>
                    </w:rPr>
                  </w:pPr>
                </w:p>
              </w:tc>
              <w:tc>
                <w:tcPr>
                  <w:tcW w:w="878" w:type="dxa"/>
                  <w:vMerge w:val="continue"/>
                  <w:vAlign w:val="center"/>
                </w:tcPr>
                <w:p w14:paraId="7B1E58D6">
                  <w:pPr>
                    <w:adjustRightInd w:val="0"/>
                    <w:snapToGrid w:val="0"/>
                    <w:jc w:val="center"/>
                    <w:rPr>
                      <w:b/>
                      <w:color w:val="auto"/>
                      <w:szCs w:val="21"/>
                    </w:rPr>
                  </w:pPr>
                </w:p>
              </w:tc>
              <w:tc>
                <w:tcPr>
                  <w:tcW w:w="686" w:type="dxa"/>
                  <w:vMerge w:val="continue"/>
                  <w:vAlign w:val="center"/>
                </w:tcPr>
                <w:p w14:paraId="1C688ED1">
                  <w:pPr>
                    <w:adjustRightInd w:val="0"/>
                    <w:snapToGrid w:val="0"/>
                    <w:jc w:val="center"/>
                    <w:rPr>
                      <w:b/>
                      <w:color w:val="auto"/>
                      <w:szCs w:val="21"/>
                    </w:rPr>
                  </w:pPr>
                </w:p>
              </w:tc>
              <w:tc>
                <w:tcPr>
                  <w:tcW w:w="1061" w:type="dxa"/>
                  <w:vMerge w:val="continue"/>
                  <w:vAlign w:val="center"/>
                </w:tcPr>
                <w:p w14:paraId="035B304F">
                  <w:pPr>
                    <w:adjustRightInd w:val="0"/>
                    <w:snapToGrid w:val="0"/>
                    <w:jc w:val="center"/>
                    <w:rPr>
                      <w:b/>
                      <w:color w:val="auto"/>
                      <w:szCs w:val="21"/>
                    </w:rPr>
                  </w:pPr>
                </w:p>
              </w:tc>
              <w:tc>
                <w:tcPr>
                  <w:tcW w:w="775" w:type="dxa"/>
                  <w:vAlign w:val="center"/>
                </w:tcPr>
                <w:p w14:paraId="53B25E3C">
                  <w:pPr>
                    <w:adjustRightInd w:val="0"/>
                    <w:snapToGrid w:val="0"/>
                    <w:jc w:val="center"/>
                    <w:rPr>
                      <w:b/>
                      <w:color w:val="auto"/>
                      <w:szCs w:val="21"/>
                    </w:rPr>
                  </w:pPr>
                  <w:r>
                    <w:rPr>
                      <w:rFonts w:hAnsi="宋体"/>
                      <w:b/>
                      <w:color w:val="auto"/>
                      <w:szCs w:val="21"/>
                    </w:rPr>
                    <w:t>污染治理设施编号</w:t>
                  </w:r>
                </w:p>
              </w:tc>
              <w:tc>
                <w:tcPr>
                  <w:tcW w:w="737" w:type="dxa"/>
                  <w:vAlign w:val="center"/>
                </w:tcPr>
                <w:p w14:paraId="0D0BA783">
                  <w:pPr>
                    <w:adjustRightInd w:val="0"/>
                    <w:snapToGrid w:val="0"/>
                    <w:jc w:val="center"/>
                    <w:rPr>
                      <w:b/>
                      <w:color w:val="auto"/>
                      <w:szCs w:val="21"/>
                    </w:rPr>
                  </w:pPr>
                  <w:r>
                    <w:rPr>
                      <w:rFonts w:hAnsi="宋体"/>
                      <w:b/>
                      <w:color w:val="auto"/>
                      <w:szCs w:val="21"/>
                    </w:rPr>
                    <w:t>污染治理设施名称</w:t>
                  </w:r>
                </w:p>
              </w:tc>
              <w:tc>
                <w:tcPr>
                  <w:tcW w:w="737" w:type="dxa"/>
                  <w:vAlign w:val="center"/>
                </w:tcPr>
                <w:p w14:paraId="31D83504">
                  <w:pPr>
                    <w:adjustRightInd w:val="0"/>
                    <w:snapToGrid w:val="0"/>
                    <w:jc w:val="center"/>
                    <w:rPr>
                      <w:b/>
                      <w:color w:val="auto"/>
                      <w:szCs w:val="21"/>
                    </w:rPr>
                  </w:pPr>
                  <w:r>
                    <w:rPr>
                      <w:rFonts w:hAnsi="宋体"/>
                      <w:b/>
                      <w:color w:val="auto"/>
                      <w:szCs w:val="21"/>
                    </w:rPr>
                    <w:t>污染治理设施工艺</w:t>
                  </w:r>
                </w:p>
              </w:tc>
              <w:tc>
                <w:tcPr>
                  <w:tcW w:w="643" w:type="dxa"/>
                  <w:vMerge w:val="continue"/>
                  <w:vAlign w:val="center"/>
                </w:tcPr>
                <w:p w14:paraId="17E1F941">
                  <w:pPr>
                    <w:adjustRightInd w:val="0"/>
                    <w:snapToGrid w:val="0"/>
                    <w:jc w:val="center"/>
                    <w:rPr>
                      <w:color w:val="auto"/>
                      <w:szCs w:val="21"/>
                    </w:rPr>
                  </w:pPr>
                </w:p>
              </w:tc>
              <w:tc>
                <w:tcPr>
                  <w:tcW w:w="922" w:type="dxa"/>
                  <w:vMerge w:val="continue"/>
                  <w:vAlign w:val="center"/>
                </w:tcPr>
                <w:p w14:paraId="235E0511">
                  <w:pPr>
                    <w:adjustRightInd w:val="0"/>
                    <w:snapToGrid w:val="0"/>
                    <w:jc w:val="center"/>
                    <w:rPr>
                      <w:color w:val="auto"/>
                      <w:szCs w:val="21"/>
                    </w:rPr>
                  </w:pPr>
                </w:p>
              </w:tc>
              <w:tc>
                <w:tcPr>
                  <w:tcW w:w="1241" w:type="dxa"/>
                  <w:vMerge w:val="continue"/>
                  <w:tcBorders>
                    <w:right w:val="single" w:color="auto" w:sz="4" w:space="0"/>
                  </w:tcBorders>
                  <w:vAlign w:val="center"/>
                </w:tcPr>
                <w:p w14:paraId="452E8E50">
                  <w:pPr>
                    <w:adjustRightInd w:val="0"/>
                    <w:snapToGrid w:val="0"/>
                    <w:jc w:val="left"/>
                    <w:rPr>
                      <w:color w:val="auto"/>
                      <w:szCs w:val="21"/>
                    </w:rPr>
                  </w:pPr>
                </w:p>
              </w:tc>
            </w:tr>
            <w:tr w14:paraId="27998A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0" w:type="dxa"/>
                  <w:tcBorders>
                    <w:left w:val="single" w:color="auto" w:sz="4" w:space="0"/>
                    <w:bottom w:val="single" w:color="auto" w:sz="4" w:space="0"/>
                  </w:tcBorders>
                  <w:vAlign w:val="center"/>
                </w:tcPr>
                <w:p w14:paraId="3F824F35">
                  <w:pPr>
                    <w:adjustRightInd w:val="0"/>
                    <w:snapToGrid w:val="0"/>
                    <w:jc w:val="center"/>
                    <w:rPr>
                      <w:color w:val="auto"/>
                      <w:szCs w:val="21"/>
                    </w:rPr>
                  </w:pPr>
                  <w:r>
                    <w:rPr>
                      <w:color w:val="auto"/>
                      <w:szCs w:val="21"/>
                    </w:rPr>
                    <w:t>1</w:t>
                  </w:r>
                </w:p>
              </w:tc>
              <w:tc>
                <w:tcPr>
                  <w:tcW w:w="504" w:type="dxa"/>
                  <w:tcBorders>
                    <w:bottom w:val="single" w:color="auto" w:sz="4" w:space="0"/>
                  </w:tcBorders>
                  <w:vAlign w:val="center"/>
                </w:tcPr>
                <w:p w14:paraId="7A1AC647">
                  <w:pPr>
                    <w:adjustRightInd w:val="0"/>
                    <w:snapToGrid w:val="0"/>
                    <w:jc w:val="center"/>
                    <w:rPr>
                      <w:color w:val="auto"/>
                      <w:szCs w:val="21"/>
                    </w:rPr>
                  </w:pPr>
                  <w:r>
                    <w:rPr>
                      <w:rFonts w:hAnsi="宋体"/>
                      <w:color w:val="auto"/>
                      <w:szCs w:val="21"/>
                    </w:rPr>
                    <w:t>生活</w:t>
                  </w:r>
                  <w:r>
                    <w:rPr>
                      <w:rFonts w:hint="eastAsia" w:hAnsi="宋体"/>
                      <w:color w:val="auto"/>
                      <w:szCs w:val="21"/>
                    </w:rPr>
                    <w:t>污</w:t>
                  </w:r>
                  <w:r>
                    <w:rPr>
                      <w:rFonts w:hAnsi="宋体"/>
                      <w:color w:val="auto"/>
                      <w:szCs w:val="21"/>
                    </w:rPr>
                    <w:t>水</w:t>
                  </w:r>
                </w:p>
              </w:tc>
              <w:tc>
                <w:tcPr>
                  <w:tcW w:w="878" w:type="dxa"/>
                  <w:tcBorders>
                    <w:bottom w:val="single" w:color="auto" w:sz="4" w:space="0"/>
                  </w:tcBorders>
                  <w:vAlign w:val="center"/>
                </w:tcPr>
                <w:p w14:paraId="79937946">
                  <w:pPr>
                    <w:adjustRightInd w:val="0"/>
                    <w:snapToGrid w:val="0"/>
                    <w:jc w:val="center"/>
                    <w:rPr>
                      <w:color w:val="auto"/>
                      <w:szCs w:val="21"/>
                    </w:rPr>
                  </w:pPr>
                  <w:r>
                    <w:rPr>
                      <w:color w:val="auto"/>
                      <w:szCs w:val="21"/>
                    </w:rPr>
                    <w:t>COD</w:t>
                  </w:r>
                  <w:r>
                    <w:rPr>
                      <w:color w:val="auto"/>
                      <w:spacing w:val="-2"/>
                      <w:kern w:val="0"/>
                      <w:szCs w:val="21"/>
                      <w:vertAlign w:val="subscript"/>
                    </w:rPr>
                    <w:t>Cr</w:t>
                  </w:r>
                </w:p>
                <w:p w14:paraId="00D54823">
                  <w:pPr>
                    <w:adjustRightInd w:val="0"/>
                    <w:snapToGrid w:val="0"/>
                    <w:jc w:val="center"/>
                    <w:rPr>
                      <w:color w:val="auto"/>
                      <w:szCs w:val="20"/>
                    </w:rPr>
                  </w:pPr>
                  <w:r>
                    <w:rPr>
                      <w:bCs/>
                      <w:color w:val="auto"/>
                      <w:szCs w:val="21"/>
                    </w:rPr>
                    <w:t>NH</w:t>
                  </w:r>
                  <w:r>
                    <w:rPr>
                      <w:bCs/>
                      <w:color w:val="auto"/>
                      <w:szCs w:val="21"/>
                      <w:vertAlign w:val="subscript"/>
                    </w:rPr>
                    <w:t>3</w:t>
                  </w:r>
                  <w:r>
                    <w:rPr>
                      <w:bCs/>
                      <w:color w:val="auto"/>
                      <w:szCs w:val="21"/>
                    </w:rPr>
                    <w:t>-N</w:t>
                  </w:r>
                </w:p>
              </w:tc>
              <w:tc>
                <w:tcPr>
                  <w:tcW w:w="686" w:type="dxa"/>
                  <w:tcBorders>
                    <w:bottom w:val="single" w:color="auto" w:sz="4" w:space="0"/>
                  </w:tcBorders>
                  <w:vAlign w:val="center"/>
                </w:tcPr>
                <w:p w14:paraId="7268B4DF">
                  <w:pPr>
                    <w:adjustRightInd w:val="0"/>
                    <w:snapToGrid w:val="0"/>
                    <w:jc w:val="center"/>
                    <w:rPr>
                      <w:color w:val="auto"/>
                      <w:szCs w:val="21"/>
                    </w:rPr>
                  </w:pPr>
                  <w:r>
                    <w:rPr>
                      <w:rFonts w:hAnsi="宋体"/>
                      <w:color w:val="auto"/>
                      <w:szCs w:val="21"/>
                    </w:rPr>
                    <w:t>进入城市污水处理厂</w:t>
                  </w:r>
                </w:p>
              </w:tc>
              <w:tc>
                <w:tcPr>
                  <w:tcW w:w="1061" w:type="dxa"/>
                  <w:tcBorders>
                    <w:bottom w:val="single" w:color="auto" w:sz="4" w:space="0"/>
                  </w:tcBorders>
                  <w:vAlign w:val="center"/>
                </w:tcPr>
                <w:p w14:paraId="1356DD34">
                  <w:pPr>
                    <w:adjustRightInd w:val="0"/>
                    <w:snapToGrid w:val="0"/>
                    <w:jc w:val="left"/>
                    <w:rPr>
                      <w:rFonts w:hAnsi="宋体"/>
                      <w:color w:val="auto"/>
                      <w:szCs w:val="21"/>
                    </w:rPr>
                  </w:pPr>
                  <w:r>
                    <w:rPr>
                      <w:rFonts w:hint="eastAsia" w:hAnsi="宋体"/>
                      <w:color w:val="auto"/>
                      <w:szCs w:val="21"/>
                    </w:rPr>
                    <w:t>间断排放，排放期间流量不稳定且无规律，但不属于冲击型排放</w:t>
                  </w:r>
                </w:p>
              </w:tc>
              <w:tc>
                <w:tcPr>
                  <w:tcW w:w="775" w:type="dxa"/>
                  <w:tcBorders>
                    <w:bottom w:val="single" w:color="auto" w:sz="4" w:space="0"/>
                  </w:tcBorders>
                  <w:vAlign w:val="center"/>
                </w:tcPr>
                <w:p w14:paraId="58C8F430">
                  <w:pPr>
                    <w:adjustRightInd w:val="0"/>
                    <w:snapToGrid w:val="0"/>
                    <w:jc w:val="center"/>
                    <w:rPr>
                      <w:color w:val="auto"/>
                      <w:szCs w:val="21"/>
                    </w:rPr>
                  </w:pPr>
                  <w:r>
                    <w:rPr>
                      <w:rFonts w:hint="eastAsia"/>
                      <w:color w:val="auto"/>
                      <w:szCs w:val="21"/>
                    </w:rPr>
                    <w:t>TW</w:t>
                  </w:r>
                </w:p>
                <w:p w14:paraId="21952537">
                  <w:pPr>
                    <w:adjustRightInd w:val="0"/>
                    <w:snapToGrid w:val="0"/>
                    <w:jc w:val="center"/>
                    <w:rPr>
                      <w:color w:val="auto"/>
                      <w:szCs w:val="21"/>
                    </w:rPr>
                  </w:pPr>
                  <w:r>
                    <w:rPr>
                      <w:rFonts w:hint="eastAsia"/>
                      <w:color w:val="auto"/>
                      <w:szCs w:val="21"/>
                    </w:rPr>
                    <w:t>001</w:t>
                  </w:r>
                </w:p>
              </w:tc>
              <w:tc>
                <w:tcPr>
                  <w:tcW w:w="737" w:type="dxa"/>
                  <w:tcBorders>
                    <w:bottom w:val="single" w:color="auto" w:sz="4" w:space="0"/>
                  </w:tcBorders>
                  <w:vAlign w:val="center"/>
                </w:tcPr>
                <w:p w14:paraId="6B0C5E7A">
                  <w:pPr>
                    <w:adjustRightInd w:val="0"/>
                    <w:snapToGrid w:val="0"/>
                    <w:jc w:val="center"/>
                    <w:rPr>
                      <w:color w:val="auto"/>
                      <w:szCs w:val="21"/>
                    </w:rPr>
                  </w:pPr>
                  <w:r>
                    <w:rPr>
                      <w:color w:val="auto"/>
                      <w:szCs w:val="21"/>
                    </w:rPr>
                    <w:t>生活污水处理系统</w:t>
                  </w:r>
                </w:p>
              </w:tc>
              <w:tc>
                <w:tcPr>
                  <w:tcW w:w="737" w:type="dxa"/>
                  <w:tcBorders>
                    <w:bottom w:val="single" w:color="auto" w:sz="4" w:space="0"/>
                  </w:tcBorders>
                  <w:vAlign w:val="center"/>
                </w:tcPr>
                <w:p w14:paraId="4877D99C">
                  <w:pPr>
                    <w:adjustRightInd w:val="0"/>
                    <w:snapToGrid w:val="0"/>
                    <w:jc w:val="center"/>
                    <w:rPr>
                      <w:color w:val="auto"/>
                      <w:szCs w:val="21"/>
                    </w:rPr>
                  </w:pPr>
                  <w:r>
                    <w:rPr>
                      <w:color w:val="auto"/>
                      <w:szCs w:val="21"/>
                    </w:rPr>
                    <w:t>化粪池</w:t>
                  </w:r>
                </w:p>
              </w:tc>
              <w:tc>
                <w:tcPr>
                  <w:tcW w:w="643" w:type="dxa"/>
                  <w:tcBorders>
                    <w:bottom w:val="single" w:color="auto" w:sz="4" w:space="0"/>
                  </w:tcBorders>
                  <w:vAlign w:val="center"/>
                </w:tcPr>
                <w:p w14:paraId="3780CC9F">
                  <w:pPr>
                    <w:adjustRightInd w:val="0"/>
                    <w:snapToGrid w:val="0"/>
                    <w:jc w:val="center"/>
                    <w:rPr>
                      <w:color w:val="auto"/>
                      <w:szCs w:val="21"/>
                    </w:rPr>
                  </w:pPr>
                  <w:r>
                    <w:rPr>
                      <w:color w:val="auto"/>
                      <w:szCs w:val="21"/>
                    </w:rPr>
                    <w:t>DW001</w:t>
                  </w:r>
                </w:p>
              </w:tc>
              <w:tc>
                <w:tcPr>
                  <w:tcW w:w="922" w:type="dxa"/>
                  <w:tcBorders>
                    <w:bottom w:val="single" w:color="auto" w:sz="4" w:space="0"/>
                  </w:tcBorders>
                  <w:vAlign w:val="center"/>
                </w:tcPr>
                <w:p w14:paraId="5E707B95">
                  <w:pPr>
                    <w:adjustRightInd w:val="0"/>
                    <w:snapToGrid w:val="0"/>
                    <w:jc w:val="center"/>
                    <w:rPr>
                      <w:color w:val="auto"/>
                      <w:kern w:val="20"/>
                      <w:szCs w:val="21"/>
                    </w:rPr>
                  </w:pPr>
                  <w:r>
                    <w:rPr>
                      <w:color w:val="auto"/>
                      <w:szCs w:val="21"/>
                    </w:rPr>
                    <w:fldChar w:fldCharType="begin"/>
                  </w:r>
                  <w:r>
                    <w:rPr>
                      <w:color w:val="auto"/>
                      <w:szCs w:val="21"/>
                    </w:rPr>
                    <w:instrText xml:space="preserve"> eq \o\ac(□,</w:instrText>
                  </w:r>
                  <w:r>
                    <w:rPr>
                      <w:color w:val="auto"/>
                      <w:position w:val="1"/>
                      <w:szCs w:val="21"/>
                    </w:rPr>
                    <w:instrText xml:space="preserve">√</w:instrText>
                  </w:r>
                  <w:r>
                    <w:rPr>
                      <w:color w:val="auto"/>
                      <w:szCs w:val="21"/>
                    </w:rPr>
                    <w:instrText xml:space="preserve">)</w:instrText>
                  </w:r>
                  <w:r>
                    <w:rPr>
                      <w:color w:val="auto"/>
                      <w:szCs w:val="21"/>
                    </w:rPr>
                    <w:fldChar w:fldCharType="end"/>
                  </w:r>
                  <w:r>
                    <w:rPr>
                      <w:rFonts w:hAnsi="宋体"/>
                      <w:color w:val="auto"/>
                      <w:szCs w:val="21"/>
                    </w:rPr>
                    <w:t>是</w:t>
                  </w:r>
                </w:p>
                <w:p w14:paraId="36404CD7">
                  <w:pPr>
                    <w:adjustRightInd w:val="0"/>
                    <w:snapToGrid w:val="0"/>
                    <w:jc w:val="center"/>
                    <w:rPr>
                      <w:color w:val="auto"/>
                      <w:szCs w:val="21"/>
                    </w:rPr>
                  </w:pPr>
                  <w:r>
                    <w:rPr>
                      <w:color w:val="auto"/>
                      <w:szCs w:val="21"/>
                    </w:rPr>
                    <w:t>□</w:t>
                  </w:r>
                  <w:r>
                    <w:rPr>
                      <w:rFonts w:hAnsi="宋体"/>
                      <w:color w:val="auto"/>
                      <w:szCs w:val="21"/>
                    </w:rPr>
                    <w:t>否</w:t>
                  </w:r>
                </w:p>
              </w:tc>
              <w:tc>
                <w:tcPr>
                  <w:tcW w:w="1241" w:type="dxa"/>
                  <w:tcBorders>
                    <w:bottom w:val="single" w:color="auto" w:sz="4" w:space="0"/>
                    <w:right w:val="single" w:color="auto" w:sz="4" w:space="0"/>
                  </w:tcBorders>
                  <w:vAlign w:val="center"/>
                </w:tcPr>
                <w:p w14:paraId="714AB19F">
                  <w:pPr>
                    <w:adjustRightInd w:val="0"/>
                    <w:snapToGrid w:val="0"/>
                    <w:jc w:val="left"/>
                    <w:rPr>
                      <w:color w:val="auto"/>
                      <w:kern w:val="20"/>
                      <w:szCs w:val="21"/>
                    </w:rPr>
                  </w:pPr>
                  <w:r>
                    <w:rPr>
                      <w:color w:val="auto"/>
                      <w:szCs w:val="21"/>
                    </w:rPr>
                    <w:fldChar w:fldCharType="begin"/>
                  </w:r>
                  <w:r>
                    <w:rPr>
                      <w:color w:val="auto"/>
                      <w:szCs w:val="21"/>
                    </w:rPr>
                    <w:instrText xml:space="preserve"> eq \o\ac(□,</w:instrText>
                  </w:r>
                  <w:r>
                    <w:rPr>
                      <w:color w:val="auto"/>
                      <w:position w:val="1"/>
                      <w:szCs w:val="21"/>
                    </w:rPr>
                    <w:instrText xml:space="preserve">√</w:instrText>
                  </w:r>
                  <w:r>
                    <w:rPr>
                      <w:color w:val="auto"/>
                      <w:szCs w:val="21"/>
                    </w:rPr>
                    <w:instrText xml:space="preserve">)</w:instrText>
                  </w:r>
                  <w:r>
                    <w:rPr>
                      <w:color w:val="auto"/>
                      <w:szCs w:val="21"/>
                    </w:rPr>
                    <w:fldChar w:fldCharType="end"/>
                  </w:r>
                  <w:r>
                    <w:rPr>
                      <w:rFonts w:hAnsi="宋体"/>
                      <w:color w:val="auto"/>
                      <w:szCs w:val="21"/>
                    </w:rPr>
                    <w:t>企业总排</w:t>
                  </w:r>
                </w:p>
                <w:p w14:paraId="41CA28DA">
                  <w:pPr>
                    <w:adjustRightInd w:val="0"/>
                    <w:snapToGrid w:val="0"/>
                    <w:jc w:val="left"/>
                    <w:rPr>
                      <w:color w:val="auto"/>
                      <w:szCs w:val="21"/>
                    </w:rPr>
                  </w:pPr>
                  <w:r>
                    <w:rPr>
                      <w:color w:val="auto"/>
                      <w:szCs w:val="21"/>
                    </w:rPr>
                    <w:t>□</w:t>
                  </w:r>
                  <w:r>
                    <w:rPr>
                      <w:rFonts w:hAnsi="宋体"/>
                      <w:color w:val="auto"/>
                      <w:szCs w:val="21"/>
                    </w:rPr>
                    <w:t>雨水排放</w:t>
                  </w:r>
                </w:p>
                <w:p w14:paraId="69D72205">
                  <w:pPr>
                    <w:adjustRightInd w:val="0"/>
                    <w:snapToGrid w:val="0"/>
                    <w:jc w:val="left"/>
                    <w:rPr>
                      <w:color w:val="auto"/>
                      <w:szCs w:val="21"/>
                    </w:rPr>
                  </w:pPr>
                  <w:r>
                    <w:rPr>
                      <w:color w:val="auto"/>
                      <w:szCs w:val="21"/>
                    </w:rPr>
                    <w:t>□</w:t>
                  </w:r>
                  <w:r>
                    <w:rPr>
                      <w:rFonts w:hAnsi="宋体"/>
                      <w:color w:val="auto"/>
                      <w:spacing w:val="-10"/>
                      <w:szCs w:val="21"/>
                    </w:rPr>
                    <w:t>清净下水排放</w:t>
                  </w:r>
                </w:p>
                <w:p w14:paraId="1A19B24D">
                  <w:pPr>
                    <w:adjustRightInd w:val="0"/>
                    <w:snapToGrid w:val="0"/>
                    <w:jc w:val="left"/>
                    <w:rPr>
                      <w:color w:val="auto"/>
                      <w:szCs w:val="21"/>
                    </w:rPr>
                  </w:pPr>
                  <w:r>
                    <w:rPr>
                      <w:color w:val="auto"/>
                      <w:szCs w:val="21"/>
                    </w:rPr>
                    <w:t>□</w:t>
                  </w:r>
                  <w:r>
                    <w:rPr>
                      <w:rFonts w:hAnsi="宋体"/>
                      <w:color w:val="auto"/>
                      <w:szCs w:val="21"/>
                    </w:rPr>
                    <w:t>温排水排放</w:t>
                  </w:r>
                </w:p>
                <w:p w14:paraId="08F61F75">
                  <w:pPr>
                    <w:adjustRightInd w:val="0"/>
                    <w:snapToGrid w:val="0"/>
                    <w:jc w:val="left"/>
                    <w:rPr>
                      <w:color w:val="auto"/>
                      <w:szCs w:val="21"/>
                    </w:rPr>
                  </w:pPr>
                  <w:r>
                    <w:rPr>
                      <w:color w:val="auto"/>
                      <w:szCs w:val="21"/>
                    </w:rPr>
                    <w:t>□</w:t>
                  </w:r>
                  <w:r>
                    <w:rPr>
                      <w:rFonts w:hAnsi="宋体"/>
                      <w:color w:val="auto"/>
                      <w:szCs w:val="21"/>
                    </w:rPr>
                    <w:t>车间或车间处理设施排放口</w:t>
                  </w:r>
                </w:p>
              </w:tc>
            </w:tr>
          </w:tbl>
          <w:p w14:paraId="291A5D11">
            <w:pPr>
              <w:pStyle w:val="116"/>
              <w:tabs>
                <w:tab w:val="left" w:pos="1470"/>
              </w:tabs>
              <w:spacing w:beforeLines="50" w:line="240" w:lineRule="auto"/>
              <w:ind w:firstLine="422"/>
              <w:jc w:val="center"/>
              <w:rPr>
                <w:rFonts w:hAnsi="宋体" w:eastAsia="宋体"/>
                <w:b/>
                <w:color w:val="auto"/>
                <w:sz w:val="21"/>
                <w:szCs w:val="24"/>
              </w:rPr>
            </w:pPr>
            <w:r>
              <w:rPr>
                <w:rFonts w:hAnsi="宋体" w:eastAsia="宋体"/>
                <w:b/>
                <w:color w:val="auto"/>
                <w:sz w:val="21"/>
                <w:szCs w:val="24"/>
              </w:rPr>
              <w:t>表</w:t>
            </w:r>
            <w:r>
              <w:rPr>
                <w:rFonts w:hint="eastAsia" w:hAnsi="宋体" w:eastAsia="宋体"/>
                <w:b/>
                <w:color w:val="auto"/>
                <w:sz w:val="21"/>
                <w:szCs w:val="24"/>
              </w:rPr>
              <w:t>4</w:t>
            </w:r>
            <w:r>
              <w:rPr>
                <w:rFonts w:hAnsi="宋体" w:eastAsia="宋体"/>
                <w:b/>
                <w:color w:val="auto"/>
                <w:sz w:val="21"/>
                <w:szCs w:val="24"/>
              </w:rPr>
              <w:t>-</w:t>
            </w:r>
            <w:r>
              <w:rPr>
                <w:rFonts w:hint="eastAsia" w:hAnsi="宋体" w:eastAsia="宋体"/>
                <w:b/>
                <w:color w:val="auto"/>
                <w:sz w:val="21"/>
                <w:szCs w:val="24"/>
              </w:rPr>
              <w:t>1</w:t>
            </w:r>
            <w:r>
              <w:rPr>
                <w:rFonts w:hint="eastAsia" w:hAnsi="宋体" w:eastAsia="宋体"/>
                <w:b/>
                <w:color w:val="auto"/>
                <w:sz w:val="21"/>
                <w:szCs w:val="24"/>
                <w:lang w:val="en-US" w:eastAsia="zh-CN"/>
              </w:rPr>
              <w:t>4</w:t>
            </w:r>
            <w:r>
              <w:rPr>
                <w:rFonts w:hint="eastAsia" w:hAnsi="宋体" w:eastAsia="宋体"/>
                <w:b/>
                <w:color w:val="auto"/>
                <w:sz w:val="21"/>
                <w:szCs w:val="24"/>
              </w:rPr>
              <w:t xml:space="preserve">  </w:t>
            </w:r>
            <w:r>
              <w:rPr>
                <w:rFonts w:hAnsi="宋体" w:eastAsia="宋体"/>
                <w:b/>
                <w:color w:val="auto"/>
                <w:sz w:val="21"/>
                <w:szCs w:val="24"/>
              </w:rPr>
              <w:t>废水间接排放口基本情况表</w:t>
            </w:r>
          </w:p>
          <w:tbl>
            <w:tblPr>
              <w:tblStyle w:val="37"/>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663"/>
              <w:gridCol w:w="1057"/>
              <w:gridCol w:w="1093"/>
              <w:gridCol w:w="685"/>
              <w:gridCol w:w="504"/>
              <w:gridCol w:w="461"/>
              <w:gridCol w:w="653"/>
              <w:gridCol w:w="1093"/>
              <w:gridCol w:w="793"/>
              <w:gridCol w:w="1074"/>
            </w:tblGrid>
            <w:tr w14:paraId="349883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8" w:type="dxa"/>
                  <w:vMerge w:val="restart"/>
                  <w:tcBorders>
                    <w:left w:val="single" w:color="auto" w:sz="4" w:space="0"/>
                  </w:tcBorders>
                  <w:vAlign w:val="center"/>
                </w:tcPr>
                <w:p w14:paraId="40C74815">
                  <w:pPr>
                    <w:adjustRightInd w:val="0"/>
                    <w:snapToGrid w:val="0"/>
                    <w:jc w:val="center"/>
                    <w:rPr>
                      <w:b/>
                      <w:color w:val="auto"/>
                      <w:szCs w:val="21"/>
                    </w:rPr>
                  </w:pPr>
                  <w:r>
                    <w:rPr>
                      <w:rFonts w:hAnsi="宋体"/>
                      <w:b/>
                      <w:color w:val="auto"/>
                      <w:szCs w:val="21"/>
                    </w:rPr>
                    <w:t>序号</w:t>
                  </w:r>
                </w:p>
              </w:tc>
              <w:tc>
                <w:tcPr>
                  <w:tcW w:w="663" w:type="dxa"/>
                  <w:vMerge w:val="restart"/>
                  <w:vAlign w:val="center"/>
                </w:tcPr>
                <w:p w14:paraId="6CAD0440">
                  <w:pPr>
                    <w:adjustRightInd w:val="0"/>
                    <w:snapToGrid w:val="0"/>
                    <w:jc w:val="center"/>
                    <w:rPr>
                      <w:b/>
                      <w:color w:val="auto"/>
                      <w:szCs w:val="21"/>
                    </w:rPr>
                  </w:pPr>
                  <w:r>
                    <w:rPr>
                      <w:rFonts w:hAnsi="宋体"/>
                      <w:b/>
                      <w:color w:val="auto"/>
                      <w:szCs w:val="21"/>
                    </w:rPr>
                    <w:t>排放口</w:t>
                  </w:r>
                </w:p>
                <w:p w14:paraId="5B389135">
                  <w:pPr>
                    <w:adjustRightInd w:val="0"/>
                    <w:snapToGrid w:val="0"/>
                    <w:jc w:val="center"/>
                    <w:rPr>
                      <w:b/>
                      <w:color w:val="auto"/>
                      <w:szCs w:val="21"/>
                    </w:rPr>
                  </w:pPr>
                  <w:r>
                    <w:rPr>
                      <w:rFonts w:hAnsi="宋体"/>
                      <w:b/>
                      <w:color w:val="auto"/>
                      <w:szCs w:val="21"/>
                    </w:rPr>
                    <w:t>编号</w:t>
                  </w:r>
                </w:p>
              </w:tc>
              <w:tc>
                <w:tcPr>
                  <w:tcW w:w="2150" w:type="dxa"/>
                  <w:gridSpan w:val="2"/>
                  <w:vAlign w:val="center"/>
                </w:tcPr>
                <w:p w14:paraId="2111ACEC">
                  <w:pPr>
                    <w:adjustRightInd w:val="0"/>
                    <w:snapToGrid w:val="0"/>
                    <w:jc w:val="center"/>
                    <w:rPr>
                      <w:b/>
                      <w:color w:val="auto"/>
                      <w:szCs w:val="21"/>
                    </w:rPr>
                  </w:pPr>
                  <w:r>
                    <w:rPr>
                      <w:rFonts w:hAnsi="宋体"/>
                      <w:b/>
                      <w:color w:val="auto"/>
                      <w:szCs w:val="21"/>
                    </w:rPr>
                    <w:t>排放口地理坐标（</w:t>
                  </w:r>
                  <w:r>
                    <w:rPr>
                      <w:b/>
                      <w:color w:val="auto"/>
                      <w:szCs w:val="21"/>
                    </w:rPr>
                    <w:t>a</w:t>
                  </w:r>
                  <w:r>
                    <w:rPr>
                      <w:rFonts w:hAnsi="宋体"/>
                      <w:b/>
                      <w:color w:val="auto"/>
                      <w:szCs w:val="21"/>
                    </w:rPr>
                    <w:t>）</w:t>
                  </w:r>
                </w:p>
              </w:tc>
              <w:tc>
                <w:tcPr>
                  <w:tcW w:w="685" w:type="dxa"/>
                  <w:vMerge w:val="restart"/>
                  <w:vAlign w:val="center"/>
                </w:tcPr>
                <w:p w14:paraId="0097C6F9">
                  <w:pPr>
                    <w:adjustRightInd w:val="0"/>
                    <w:snapToGrid w:val="0"/>
                    <w:jc w:val="center"/>
                    <w:rPr>
                      <w:b/>
                      <w:color w:val="auto"/>
                      <w:szCs w:val="21"/>
                    </w:rPr>
                  </w:pPr>
                  <w:r>
                    <w:rPr>
                      <w:rFonts w:hAnsi="宋体"/>
                      <w:b/>
                      <w:color w:val="auto"/>
                      <w:szCs w:val="21"/>
                    </w:rPr>
                    <w:t>废水排放量</w:t>
                  </w:r>
                  <w:r>
                    <w:rPr>
                      <w:b/>
                      <w:color w:val="auto"/>
                      <w:szCs w:val="21"/>
                    </w:rPr>
                    <w:t>/</w:t>
                  </w:r>
                  <w:r>
                    <w:rPr>
                      <w:rFonts w:hAnsi="宋体"/>
                      <w:b/>
                      <w:color w:val="auto"/>
                      <w:szCs w:val="21"/>
                    </w:rPr>
                    <w:t>（万</w:t>
                  </w:r>
                  <w:r>
                    <w:rPr>
                      <w:b/>
                      <w:color w:val="auto"/>
                      <w:szCs w:val="21"/>
                    </w:rPr>
                    <w:t>t/a</w:t>
                  </w:r>
                  <w:r>
                    <w:rPr>
                      <w:rFonts w:hAnsi="宋体"/>
                      <w:b/>
                      <w:color w:val="auto"/>
                      <w:szCs w:val="21"/>
                    </w:rPr>
                    <w:t>）</w:t>
                  </w:r>
                </w:p>
              </w:tc>
              <w:tc>
                <w:tcPr>
                  <w:tcW w:w="504" w:type="dxa"/>
                  <w:vMerge w:val="restart"/>
                  <w:vAlign w:val="center"/>
                </w:tcPr>
                <w:p w14:paraId="3F0114D3">
                  <w:pPr>
                    <w:adjustRightInd w:val="0"/>
                    <w:snapToGrid w:val="0"/>
                    <w:jc w:val="center"/>
                    <w:rPr>
                      <w:b/>
                      <w:color w:val="auto"/>
                      <w:szCs w:val="21"/>
                    </w:rPr>
                  </w:pPr>
                  <w:r>
                    <w:rPr>
                      <w:rFonts w:hAnsi="宋体"/>
                      <w:b/>
                      <w:color w:val="auto"/>
                      <w:szCs w:val="21"/>
                    </w:rPr>
                    <w:t>排放</w:t>
                  </w:r>
                </w:p>
                <w:p w14:paraId="72DE40B5">
                  <w:pPr>
                    <w:adjustRightInd w:val="0"/>
                    <w:snapToGrid w:val="0"/>
                    <w:jc w:val="center"/>
                    <w:rPr>
                      <w:b/>
                      <w:color w:val="auto"/>
                      <w:szCs w:val="21"/>
                    </w:rPr>
                  </w:pPr>
                  <w:r>
                    <w:rPr>
                      <w:rFonts w:hAnsi="宋体"/>
                      <w:b/>
                      <w:color w:val="auto"/>
                      <w:szCs w:val="21"/>
                    </w:rPr>
                    <w:t>去向</w:t>
                  </w:r>
                </w:p>
              </w:tc>
              <w:tc>
                <w:tcPr>
                  <w:tcW w:w="461" w:type="dxa"/>
                  <w:vMerge w:val="restart"/>
                  <w:vAlign w:val="center"/>
                </w:tcPr>
                <w:p w14:paraId="060F662A">
                  <w:pPr>
                    <w:adjustRightInd w:val="0"/>
                    <w:snapToGrid w:val="0"/>
                    <w:jc w:val="center"/>
                    <w:rPr>
                      <w:b/>
                      <w:color w:val="auto"/>
                      <w:szCs w:val="21"/>
                    </w:rPr>
                  </w:pPr>
                  <w:r>
                    <w:rPr>
                      <w:rFonts w:hAnsi="宋体"/>
                      <w:b/>
                      <w:color w:val="auto"/>
                      <w:szCs w:val="21"/>
                    </w:rPr>
                    <w:t>排放</w:t>
                  </w:r>
                </w:p>
                <w:p w14:paraId="5EA52972">
                  <w:pPr>
                    <w:adjustRightInd w:val="0"/>
                    <w:snapToGrid w:val="0"/>
                    <w:jc w:val="center"/>
                    <w:rPr>
                      <w:b/>
                      <w:color w:val="auto"/>
                      <w:szCs w:val="21"/>
                    </w:rPr>
                  </w:pPr>
                  <w:r>
                    <w:rPr>
                      <w:rFonts w:hAnsi="宋体"/>
                      <w:b/>
                      <w:color w:val="auto"/>
                      <w:szCs w:val="21"/>
                    </w:rPr>
                    <w:t>规律</w:t>
                  </w:r>
                </w:p>
              </w:tc>
              <w:tc>
                <w:tcPr>
                  <w:tcW w:w="653" w:type="dxa"/>
                  <w:vMerge w:val="restart"/>
                  <w:vAlign w:val="center"/>
                </w:tcPr>
                <w:p w14:paraId="1F586C71">
                  <w:pPr>
                    <w:adjustRightInd w:val="0"/>
                    <w:snapToGrid w:val="0"/>
                    <w:jc w:val="center"/>
                    <w:rPr>
                      <w:b/>
                      <w:color w:val="auto"/>
                      <w:szCs w:val="21"/>
                    </w:rPr>
                  </w:pPr>
                  <w:r>
                    <w:rPr>
                      <w:rFonts w:hAnsi="宋体"/>
                      <w:b/>
                      <w:color w:val="auto"/>
                      <w:szCs w:val="21"/>
                    </w:rPr>
                    <w:t>间歇排放时段</w:t>
                  </w:r>
                </w:p>
              </w:tc>
              <w:tc>
                <w:tcPr>
                  <w:tcW w:w="2960" w:type="dxa"/>
                  <w:gridSpan w:val="3"/>
                  <w:tcBorders>
                    <w:right w:val="single" w:color="auto" w:sz="4" w:space="0"/>
                  </w:tcBorders>
                  <w:vAlign w:val="center"/>
                </w:tcPr>
                <w:p w14:paraId="00426CFD">
                  <w:pPr>
                    <w:adjustRightInd w:val="0"/>
                    <w:snapToGrid w:val="0"/>
                    <w:jc w:val="center"/>
                    <w:rPr>
                      <w:b/>
                      <w:color w:val="auto"/>
                      <w:szCs w:val="21"/>
                    </w:rPr>
                  </w:pPr>
                  <w:r>
                    <w:rPr>
                      <w:rFonts w:hAnsi="宋体"/>
                      <w:b/>
                      <w:color w:val="auto"/>
                      <w:szCs w:val="21"/>
                    </w:rPr>
                    <w:t>受纳污水处理厂信息</w:t>
                  </w:r>
                </w:p>
              </w:tc>
            </w:tr>
            <w:tr w14:paraId="7937BC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8" w:type="dxa"/>
                  <w:vMerge w:val="continue"/>
                  <w:tcBorders>
                    <w:left w:val="single" w:color="auto" w:sz="4" w:space="0"/>
                  </w:tcBorders>
                  <w:vAlign w:val="center"/>
                </w:tcPr>
                <w:p w14:paraId="77DB4A97">
                  <w:pPr>
                    <w:adjustRightInd w:val="0"/>
                    <w:snapToGrid w:val="0"/>
                    <w:jc w:val="center"/>
                    <w:rPr>
                      <w:b/>
                      <w:color w:val="auto"/>
                      <w:szCs w:val="21"/>
                    </w:rPr>
                  </w:pPr>
                </w:p>
              </w:tc>
              <w:tc>
                <w:tcPr>
                  <w:tcW w:w="663" w:type="dxa"/>
                  <w:vMerge w:val="continue"/>
                  <w:vAlign w:val="center"/>
                </w:tcPr>
                <w:p w14:paraId="625E19DA">
                  <w:pPr>
                    <w:adjustRightInd w:val="0"/>
                    <w:snapToGrid w:val="0"/>
                    <w:jc w:val="center"/>
                    <w:rPr>
                      <w:b/>
                      <w:color w:val="auto"/>
                      <w:szCs w:val="21"/>
                    </w:rPr>
                  </w:pPr>
                </w:p>
              </w:tc>
              <w:tc>
                <w:tcPr>
                  <w:tcW w:w="1057" w:type="dxa"/>
                  <w:vAlign w:val="center"/>
                </w:tcPr>
                <w:p w14:paraId="22DB1499">
                  <w:pPr>
                    <w:adjustRightInd w:val="0"/>
                    <w:snapToGrid w:val="0"/>
                    <w:jc w:val="center"/>
                    <w:rPr>
                      <w:b/>
                      <w:color w:val="auto"/>
                      <w:szCs w:val="21"/>
                    </w:rPr>
                  </w:pPr>
                  <w:r>
                    <w:rPr>
                      <w:rFonts w:hAnsi="宋体"/>
                      <w:b/>
                      <w:color w:val="auto"/>
                      <w:szCs w:val="21"/>
                    </w:rPr>
                    <w:t>经度</w:t>
                  </w:r>
                </w:p>
              </w:tc>
              <w:tc>
                <w:tcPr>
                  <w:tcW w:w="1093" w:type="dxa"/>
                  <w:vAlign w:val="center"/>
                </w:tcPr>
                <w:p w14:paraId="22701ED4">
                  <w:pPr>
                    <w:adjustRightInd w:val="0"/>
                    <w:snapToGrid w:val="0"/>
                    <w:jc w:val="center"/>
                    <w:rPr>
                      <w:b/>
                      <w:color w:val="auto"/>
                      <w:szCs w:val="21"/>
                    </w:rPr>
                  </w:pPr>
                  <w:r>
                    <w:rPr>
                      <w:rFonts w:hAnsi="宋体"/>
                      <w:b/>
                      <w:color w:val="auto"/>
                      <w:szCs w:val="21"/>
                    </w:rPr>
                    <w:t>纬度</w:t>
                  </w:r>
                </w:p>
              </w:tc>
              <w:tc>
                <w:tcPr>
                  <w:tcW w:w="685" w:type="dxa"/>
                  <w:vMerge w:val="continue"/>
                  <w:vAlign w:val="center"/>
                </w:tcPr>
                <w:p w14:paraId="1E7E09D4">
                  <w:pPr>
                    <w:adjustRightInd w:val="0"/>
                    <w:snapToGrid w:val="0"/>
                    <w:jc w:val="center"/>
                    <w:rPr>
                      <w:b/>
                      <w:color w:val="auto"/>
                      <w:szCs w:val="21"/>
                    </w:rPr>
                  </w:pPr>
                </w:p>
              </w:tc>
              <w:tc>
                <w:tcPr>
                  <w:tcW w:w="504" w:type="dxa"/>
                  <w:vMerge w:val="continue"/>
                  <w:vAlign w:val="center"/>
                </w:tcPr>
                <w:p w14:paraId="166E8DE0">
                  <w:pPr>
                    <w:adjustRightInd w:val="0"/>
                    <w:snapToGrid w:val="0"/>
                    <w:jc w:val="center"/>
                    <w:rPr>
                      <w:b/>
                      <w:color w:val="auto"/>
                      <w:szCs w:val="21"/>
                    </w:rPr>
                  </w:pPr>
                </w:p>
              </w:tc>
              <w:tc>
                <w:tcPr>
                  <w:tcW w:w="461" w:type="dxa"/>
                  <w:vMerge w:val="continue"/>
                  <w:vAlign w:val="center"/>
                </w:tcPr>
                <w:p w14:paraId="574CF838">
                  <w:pPr>
                    <w:adjustRightInd w:val="0"/>
                    <w:snapToGrid w:val="0"/>
                    <w:jc w:val="center"/>
                    <w:rPr>
                      <w:b/>
                      <w:color w:val="auto"/>
                      <w:szCs w:val="21"/>
                    </w:rPr>
                  </w:pPr>
                </w:p>
              </w:tc>
              <w:tc>
                <w:tcPr>
                  <w:tcW w:w="653" w:type="dxa"/>
                  <w:vMerge w:val="continue"/>
                  <w:vAlign w:val="center"/>
                </w:tcPr>
                <w:p w14:paraId="33040CD8">
                  <w:pPr>
                    <w:adjustRightInd w:val="0"/>
                    <w:snapToGrid w:val="0"/>
                    <w:jc w:val="center"/>
                    <w:rPr>
                      <w:b/>
                      <w:color w:val="auto"/>
                      <w:szCs w:val="21"/>
                    </w:rPr>
                  </w:pPr>
                </w:p>
              </w:tc>
              <w:tc>
                <w:tcPr>
                  <w:tcW w:w="1093" w:type="dxa"/>
                  <w:vAlign w:val="center"/>
                </w:tcPr>
                <w:p w14:paraId="7127092E">
                  <w:pPr>
                    <w:adjustRightInd w:val="0"/>
                    <w:snapToGrid w:val="0"/>
                    <w:jc w:val="center"/>
                    <w:rPr>
                      <w:b/>
                      <w:color w:val="auto"/>
                      <w:szCs w:val="21"/>
                    </w:rPr>
                  </w:pPr>
                  <w:r>
                    <w:rPr>
                      <w:rFonts w:hAnsi="宋体"/>
                      <w:b/>
                      <w:color w:val="auto"/>
                      <w:szCs w:val="21"/>
                    </w:rPr>
                    <w:t>名称（</w:t>
                  </w:r>
                  <w:r>
                    <w:rPr>
                      <w:b/>
                      <w:color w:val="auto"/>
                      <w:szCs w:val="21"/>
                    </w:rPr>
                    <w:t>b</w:t>
                  </w:r>
                  <w:r>
                    <w:rPr>
                      <w:rFonts w:hAnsi="宋体"/>
                      <w:b/>
                      <w:color w:val="auto"/>
                      <w:szCs w:val="21"/>
                    </w:rPr>
                    <w:t>）</w:t>
                  </w:r>
                </w:p>
              </w:tc>
              <w:tc>
                <w:tcPr>
                  <w:tcW w:w="793" w:type="dxa"/>
                  <w:vAlign w:val="center"/>
                </w:tcPr>
                <w:p w14:paraId="565E0690">
                  <w:pPr>
                    <w:adjustRightInd w:val="0"/>
                    <w:snapToGrid w:val="0"/>
                    <w:jc w:val="center"/>
                    <w:rPr>
                      <w:b/>
                      <w:color w:val="auto"/>
                      <w:szCs w:val="21"/>
                    </w:rPr>
                  </w:pPr>
                  <w:r>
                    <w:rPr>
                      <w:rFonts w:hAnsi="宋体"/>
                      <w:b/>
                      <w:color w:val="auto"/>
                      <w:szCs w:val="21"/>
                    </w:rPr>
                    <w:t>污染物</w:t>
                  </w:r>
                </w:p>
                <w:p w14:paraId="2FB3DFAF">
                  <w:pPr>
                    <w:adjustRightInd w:val="0"/>
                    <w:snapToGrid w:val="0"/>
                    <w:jc w:val="center"/>
                    <w:rPr>
                      <w:b/>
                      <w:color w:val="auto"/>
                      <w:szCs w:val="21"/>
                    </w:rPr>
                  </w:pPr>
                  <w:r>
                    <w:rPr>
                      <w:rFonts w:hAnsi="宋体"/>
                      <w:b/>
                      <w:color w:val="auto"/>
                      <w:szCs w:val="21"/>
                    </w:rPr>
                    <w:t>种类</w:t>
                  </w:r>
                </w:p>
              </w:tc>
              <w:tc>
                <w:tcPr>
                  <w:tcW w:w="1074" w:type="dxa"/>
                  <w:tcBorders>
                    <w:right w:val="single" w:color="auto" w:sz="4" w:space="0"/>
                  </w:tcBorders>
                  <w:vAlign w:val="center"/>
                </w:tcPr>
                <w:p w14:paraId="5BCFFB9E">
                  <w:pPr>
                    <w:adjustRightInd w:val="0"/>
                    <w:snapToGrid w:val="0"/>
                    <w:jc w:val="center"/>
                    <w:rPr>
                      <w:b/>
                      <w:color w:val="auto"/>
                      <w:szCs w:val="21"/>
                    </w:rPr>
                  </w:pPr>
                  <w:r>
                    <w:rPr>
                      <w:rFonts w:hAnsi="宋体"/>
                      <w:b/>
                      <w:color w:val="auto"/>
                      <w:szCs w:val="21"/>
                    </w:rPr>
                    <w:t>国家或地方污染物排放标准浓度限值</w:t>
                  </w:r>
                  <w:r>
                    <w:rPr>
                      <w:b/>
                      <w:color w:val="auto"/>
                      <w:szCs w:val="21"/>
                    </w:rPr>
                    <w:t>/(mg/L)</w:t>
                  </w:r>
                </w:p>
              </w:tc>
            </w:tr>
            <w:tr w14:paraId="5497F1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restart"/>
                  <w:tcBorders>
                    <w:left w:val="single" w:color="auto" w:sz="4" w:space="0"/>
                  </w:tcBorders>
                  <w:vAlign w:val="center"/>
                </w:tcPr>
                <w:p w14:paraId="595AA64E">
                  <w:pPr>
                    <w:adjustRightInd w:val="0"/>
                    <w:snapToGrid w:val="0"/>
                    <w:jc w:val="center"/>
                    <w:rPr>
                      <w:color w:val="auto"/>
                      <w:szCs w:val="21"/>
                    </w:rPr>
                  </w:pPr>
                  <w:r>
                    <w:rPr>
                      <w:color w:val="auto"/>
                      <w:szCs w:val="21"/>
                    </w:rPr>
                    <w:t>1</w:t>
                  </w:r>
                </w:p>
              </w:tc>
              <w:tc>
                <w:tcPr>
                  <w:tcW w:w="663" w:type="dxa"/>
                  <w:vMerge w:val="restart"/>
                  <w:vAlign w:val="center"/>
                </w:tcPr>
                <w:p w14:paraId="05C2C8BA">
                  <w:pPr>
                    <w:adjustRightInd w:val="0"/>
                    <w:snapToGrid w:val="0"/>
                    <w:jc w:val="center"/>
                    <w:rPr>
                      <w:color w:val="auto"/>
                      <w:szCs w:val="21"/>
                    </w:rPr>
                  </w:pPr>
                  <w:r>
                    <w:rPr>
                      <w:color w:val="auto"/>
                      <w:szCs w:val="21"/>
                    </w:rPr>
                    <w:t>DW001</w:t>
                  </w:r>
                </w:p>
              </w:tc>
              <w:tc>
                <w:tcPr>
                  <w:tcW w:w="1057" w:type="dxa"/>
                  <w:vMerge w:val="restart"/>
                  <w:vAlign w:val="center"/>
                </w:tcPr>
                <w:p w14:paraId="0F742142">
                  <w:pPr>
                    <w:widowControl/>
                    <w:jc w:val="center"/>
                    <w:rPr>
                      <w:rFonts w:hAnsi="宋体"/>
                      <w:color w:val="auto"/>
                      <w:szCs w:val="21"/>
                    </w:rPr>
                  </w:pPr>
                  <w:r>
                    <w:rPr>
                      <w:rFonts w:hint="eastAsia" w:hAnsi="宋体"/>
                      <w:color w:val="auto"/>
                      <w:szCs w:val="21"/>
                    </w:rPr>
                    <w:t>119.</w:t>
                  </w:r>
                </w:p>
                <w:p w14:paraId="5A753C8E">
                  <w:pPr>
                    <w:widowControl/>
                    <w:jc w:val="center"/>
                    <w:rPr>
                      <w:rFonts w:hAnsi="宋体"/>
                      <w:color w:val="auto"/>
                      <w:szCs w:val="21"/>
                    </w:rPr>
                  </w:pPr>
                  <w:r>
                    <w:rPr>
                      <w:rFonts w:hint="eastAsia" w:hAnsi="宋体"/>
                      <w:color w:val="auto"/>
                      <w:szCs w:val="21"/>
                    </w:rPr>
                    <w:t>383195°</w:t>
                  </w:r>
                </w:p>
              </w:tc>
              <w:tc>
                <w:tcPr>
                  <w:tcW w:w="1093" w:type="dxa"/>
                  <w:vMerge w:val="restart"/>
                  <w:vAlign w:val="center"/>
                </w:tcPr>
                <w:p w14:paraId="42836285">
                  <w:pPr>
                    <w:widowControl/>
                    <w:jc w:val="center"/>
                    <w:rPr>
                      <w:rFonts w:hAnsi="宋体"/>
                      <w:color w:val="auto"/>
                      <w:szCs w:val="21"/>
                    </w:rPr>
                  </w:pPr>
                  <w:r>
                    <w:rPr>
                      <w:rFonts w:hint="eastAsia" w:hAnsi="宋体"/>
                      <w:color w:val="auto"/>
                      <w:szCs w:val="21"/>
                    </w:rPr>
                    <w:t>30.</w:t>
                  </w:r>
                </w:p>
                <w:p w14:paraId="534D1278">
                  <w:pPr>
                    <w:widowControl/>
                    <w:jc w:val="center"/>
                    <w:rPr>
                      <w:rFonts w:hAnsi="宋体"/>
                      <w:color w:val="auto"/>
                      <w:szCs w:val="21"/>
                    </w:rPr>
                  </w:pPr>
                  <w:r>
                    <w:rPr>
                      <w:rFonts w:hint="eastAsia" w:hAnsi="宋体"/>
                      <w:color w:val="auto"/>
                      <w:szCs w:val="21"/>
                    </w:rPr>
                    <w:t>334194°</w:t>
                  </w:r>
                </w:p>
              </w:tc>
              <w:tc>
                <w:tcPr>
                  <w:tcW w:w="685" w:type="dxa"/>
                  <w:vMerge w:val="restart"/>
                  <w:vAlign w:val="center"/>
                </w:tcPr>
                <w:p w14:paraId="491F829B">
                  <w:pPr>
                    <w:adjustRightInd w:val="0"/>
                    <w:snapToGrid w:val="0"/>
                    <w:jc w:val="center"/>
                    <w:rPr>
                      <w:color w:val="auto"/>
                      <w:szCs w:val="21"/>
                    </w:rPr>
                  </w:pPr>
                  <w:r>
                    <w:rPr>
                      <w:color w:val="auto"/>
                      <w:kern w:val="0"/>
                      <w:szCs w:val="21"/>
                    </w:rPr>
                    <w:t>0.</w:t>
                  </w:r>
                  <w:r>
                    <w:rPr>
                      <w:rFonts w:hint="eastAsia"/>
                      <w:color w:val="auto"/>
                      <w:kern w:val="0"/>
                      <w:szCs w:val="21"/>
                    </w:rPr>
                    <w:t>06</w:t>
                  </w:r>
                </w:p>
              </w:tc>
              <w:tc>
                <w:tcPr>
                  <w:tcW w:w="504" w:type="dxa"/>
                  <w:vMerge w:val="restart"/>
                  <w:vAlign w:val="center"/>
                </w:tcPr>
                <w:p w14:paraId="6F44F932">
                  <w:pPr>
                    <w:adjustRightInd w:val="0"/>
                    <w:snapToGrid w:val="0"/>
                    <w:jc w:val="center"/>
                    <w:rPr>
                      <w:color w:val="auto"/>
                      <w:szCs w:val="21"/>
                    </w:rPr>
                  </w:pPr>
                  <w:r>
                    <w:rPr>
                      <w:rFonts w:hAnsi="宋体"/>
                      <w:color w:val="auto"/>
                      <w:szCs w:val="21"/>
                    </w:rPr>
                    <w:t>纳管</w:t>
                  </w:r>
                </w:p>
              </w:tc>
              <w:tc>
                <w:tcPr>
                  <w:tcW w:w="461" w:type="dxa"/>
                  <w:vMerge w:val="restart"/>
                  <w:vAlign w:val="center"/>
                </w:tcPr>
                <w:p w14:paraId="33DA7102">
                  <w:pPr>
                    <w:adjustRightInd w:val="0"/>
                    <w:snapToGrid w:val="0"/>
                    <w:jc w:val="center"/>
                    <w:rPr>
                      <w:color w:val="auto"/>
                      <w:szCs w:val="21"/>
                    </w:rPr>
                  </w:pPr>
                  <w:r>
                    <w:rPr>
                      <w:color w:val="auto"/>
                      <w:szCs w:val="21"/>
                    </w:rPr>
                    <w:t>间断排放</w:t>
                  </w:r>
                </w:p>
              </w:tc>
              <w:tc>
                <w:tcPr>
                  <w:tcW w:w="653" w:type="dxa"/>
                  <w:vMerge w:val="restart"/>
                  <w:vAlign w:val="center"/>
                </w:tcPr>
                <w:p w14:paraId="2CE12FE5">
                  <w:pPr>
                    <w:adjustRightInd w:val="0"/>
                    <w:snapToGrid w:val="0"/>
                    <w:jc w:val="center"/>
                    <w:rPr>
                      <w:color w:val="auto"/>
                      <w:szCs w:val="21"/>
                    </w:rPr>
                  </w:pPr>
                  <w:r>
                    <w:rPr>
                      <w:rFonts w:hint="eastAsia"/>
                      <w:color w:val="auto"/>
                      <w:kern w:val="0"/>
                      <w:szCs w:val="21"/>
                    </w:rPr>
                    <w:t>8h/d</w:t>
                  </w:r>
                </w:p>
              </w:tc>
              <w:tc>
                <w:tcPr>
                  <w:tcW w:w="1093" w:type="dxa"/>
                  <w:vMerge w:val="restart"/>
                  <w:vAlign w:val="center"/>
                </w:tcPr>
                <w:p w14:paraId="65D655D7">
                  <w:pPr>
                    <w:adjustRightInd w:val="0"/>
                    <w:snapToGrid w:val="0"/>
                    <w:jc w:val="center"/>
                    <w:rPr>
                      <w:color w:val="auto"/>
                      <w:szCs w:val="21"/>
                    </w:rPr>
                  </w:pPr>
                  <w:r>
                    <w:rPr>
                      <w:color w:val="auto"/>
                      <w:szCs w:val="21"/>
                    </w:rPr>
                    <w:t>安吉净源污水处理有限公司城北污水处理厂</w:t>
                  </w:r>
                </w:p>
              </w:tc>
              <w:tc>
                <w:tcPr>
                  <w:tcW w:w="793" w:type="dxa"/>
                  <w:vAlign w:val="center"/>
                </w:tcPr>
                <w:p w14:paraId="73148497">
                  <w:pPr>
                    <w:adjustRightInd w:val="0"/>
                    <w:snapToGrid w:val="0"/>
                    <w:jc w:val="center"/>
                    <w:rPr>
                      <w:color w:val="auto"/>
                      <w:szCs w:val="21"/>
                    </w:rPr>
                  </w:pPr>
                  <w:r>
                    <w:rPr>
                      <w:color w:val="auto"/>
                      <w:szCs w:val="21"/>
                    </w:rPr>
                    <w:t>COD</w:t>
                  </w:r>
                  <w:r>
                    <w:rPr>
                      <w:color w:val="auto"/>
                      <w:spacing w:val="-2"/>
                      <w:kern w:val="0"/>
                      <w:szCs w:val="21"/>
                      <w:vertAlign w:val="subscript"/>
                    </w:rPr>
                    <w:t>Cr</w:t>
                  </w:r>
                </w:p>
              </w:tc>
              <w:tc>
                <w:tcPr>
                  <w:tcW w:w="1074" w:type="dxa"/>
                  <w:tcBorders>
                    <w:right w:val="single" w:color="auto" w:sz="4" w:space="0"/>
                  </w:tcBorders>
                  <w:vAlign w:val="center"/>
                </w:tcPr>
                <w:p w14:paraId="7B66379A">
                  <w:pPr>
                    <w:adjustRightInd w:val="0"/>
                    <w:snapToGrid w:val="0"/>
                    <w:jc w:val="center"/>
                    <w:rPr>
                      <w:color w:val="auto"/>
                      <w:szCs w:val="21"/>
                    </w:rPr>
                  </w:pPr>
                  <w:r>
                    <w:rPr>
                      <w:rFonts w:hint="eastAsia"/>
                      <w:color w:val="auto"/>
                      <w:szCs w:val="21"/>
                    </w:rPr>
                    <w:t>40</w:t>
                  </w:r>
                </w:p>
              </w:tc>
            </w:tr>
            <w:tr w14:paraId="4F4E5B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tcBorders>
                    <w:left w:val="single" w:color="auto" w:sz="4" w:space="0"/>
                  </w:tcBorders>
                  <w:vAlign w:val="center"/>
                </w:tcPr>
                <w:p w14:paraId="32CCC91F">
                  <w:pPr>
                    <w:adjustRightInd w:val="0"/>
                    <w:snapToGrid w:val="0"/>
                    <w:jc w:val="center"/>
                    <w:rPr>
                      <w:color w:val="auto"/>
                      <w:szCs w:val="21"/>
                    </w:rPr>
                  </w:pPr>
                </w:p>
              </w:tc>
              <w:tc>
                <w:tcPr>
                  <w:tcW w:w="663" w:type="dxa"/>
                  <w:vMerge w:val="continue"/>
                  <w:vAlign w:val="center"/>
                </w:tcPr>
                <w:p w14:paraId="0EAD6A36">
                  <w:pPr>
                    <w:adjustRightInd w:val="0"/>
                    <w:snapToGrid w:val="0"/>
                    <w:jc w:val="center"/>
                    <w:rPr>
                      <w:color w:val="auto"/>
                      <w:szCs w:val="21"/>
                    </w:rPr>
                  </w:pPr>
                </w:p>
              </w:tc>
              <w:tc>
                <w:tcPr>
                  <w:tcW w:w="1057" w:type="dxa"/>
                  <w:vMerge w:val="continue"/>
                  <w:vAlign w:val="center"/>
                </w:tcPr>
                <w:p w14:paraId="41FDBC16">
                  <w:pPr>
                    <w:widowControl/>
                    <w:jc w:val="center"/>
                    <w:rPr>
                      <w:rFonts w:hAnsi="宋体"/>
                      <w:color w:val="auto"/>
                      <w:szCs w:val="21"/>
                    </w:rPr>
                  </w:pPr>
                </w:p>
              </w:tc>
              <w:tc>
                <w:tcPr>
                  <w:tcW w:w="1093" w:type="dxa"/>
                  <w:vMerge w:val="continue"/>
                  <w:vAlign w:val="center"/>
                </w:tcPr>
                <w:p w14:paraId="3B94FA48">
                  <w:pPr>
                    <w:widowControl/>
                    <w:jc w:val="center"/>
                    <w:rPr>
                      <w:rFonts w:hAnsi="宋体"/>
                      <w:color w:val="auto"/>
                      <w:szCs w:val="21"/>
                    </w:rPr>
                  </w:pPr>
                </w:p>
              </w:tc>
              <w:tc>
                <w:tcPr>
                  <w:tcW w:w="685" w:type="dxa"/>
                  <w:vMerge w:val="continue"/>
                  <w:vAlign w:val="center"/>
                </w:tcPr>
                <w:p w14:paraId="6B53D54F">
                  <w:pPr>
                    <w:adjustRightInd w:val="0"/>
                    <w:snapToGrid w:val="0"/>
                    <w:jc w:val="center"/>
                    <w:rPr>
                      <w:color w:val="auto"/>
                      <w:kern w:val="0"/>
                      <w:szCs w:val="21"/>
                    </w:rPr>
                  </w:pPr>
                </w:p>
              </w:tc>
              <w:tc>
                <w:tcPr>
                  <w:tcW w:w="504" w:type="dxa"/>
                  <w:vMerge w:val="continue"/>
                  <w:vAlign w:val="center"/>
                </w:tcPr>
                <w:p w14:paraId="7967BAAD">
                  <w:pPr>
                    <w:adjustRightInd w:val="0"/>
                    <w:snapToGrid w:val="0"/>
                    <w:jc w:val="center"/>
                    <w:rPr>
                      <w:rFonts w:hAnsi="宋体"/>
                      <w:color w:val="auto"/>
                      <w:szCs w:val="21"/>
                    </w:rPr>
                  </w:pPr>
                </w:p>
              </w:tc>
              <w:tc>
                <w:tcPr>
                  <w:tcW w:w="461" w:type="dxa"/>
                  <w:vMerge w:val="continue"/>
                  <w:vAlign w:val="center"/>
                </w:tcPr>
                <w:p w14:paraId="01CEAA0F">
                  <w:pPr>
                    <w:adjustRightInd w:val="0"/>
                    <w:snapToGrid w:val="0"/>
                    <w:jc w:val="center"/>
                    <w:rPr>
                      <w:rFonts w:hAnsi="宋体"/>
                      <w:color w:val="auto"/>
                      <w:szCs w:val="21"/>
                    </w:rPr>
                  </w:pPr>
                </w:p>
              </w:tc>
              <w:tc>
                <w:tcPr>
                  <w:tcW w:w="653" w:type="dxa"/>
                  <w:vMerge w:val="continue"/>
                  <w:vAlign w:val="center"/>
                </w:tcPr>
                <w:p w14:paraId="39AC3D39">
                  <w:pPr>
                    <w:widowControl/>
                    <w:jc w:val="center"/>
                    <w:rPr>
                      <w:color w:val="auto"/>
                      <w:kern w:val="0"/>
                      <w:szCs w:val="21"/>
                    </w:rPr>
                  </w:pPr>
                </w:p>
              </w:tc>
              <w:tc>
                <w:tcPr>
                  <w:tcW w:w="1093" w:type="dxa"/>
                  <w:vMerge w:val="continue"/>
                  <w:vAlign w:val="center"/>
                </w:tcPr>
                <w:p w14:paraId="4544FBCE">
                  <w:pPr>
                    <w:adjustRightInd w:val="0"/>
                    <w:snapToGrid w:val="0"/>
                    <w:jc w:val="center"/>
                    <w:rPr>
                      <w:rFonts w:hAnsi="宋体"/>
                      <w:color w:val="auto"/>
                      <w:szCs w:val="21"/>
                    </w:rPr>
                  </w:pPr>
                </w:p>
              </w:tc>
              <w:tc>
                <w:tcPr>
                  <w:tcW w:w="793" w:type="dxa"/>
                  <w:vAlign w:val="center"/>
                </w:tcPr>
                <w:p w14:paraId="4245E28E">
                  <w:pPr>
                    <w:adjustRightInd w:val="0"/>
                    <w:snapToGrid w:val="0"/>
                    <w:jc w:val="center"/>
                    <w:rPr>
                      <w:color w:val="auto"/>
                      <w:szCs w:val="21"/>
                    </w:rPr>
                  </w:pPr>
                  <w:r>
                    <w:rPr>
                      <w:bCs/>
                      <w:color w:val="auto"/>
                      <w:szCs w:val="21"/>
                    </w:rPr>
                    <w:t>NH</w:t>
                  </w:r>
                  <w:r>
                    <w:rPr>
                      <w:bCs/>
                      <w:color w:val="auto"/>
                      <w:szCs w:val="21"/>
                      <w:vertAlign w:val="subscript"/>
                    </w:rPr>
                    <w:t>3</w:t>
                  </w:r>
                  <w:r>
                    <w:rPr>
                      <w:bCs/>
                      <w:color w:val="auto"/>
                      <w:szCs w:val="21"/>
                    </w:rPr>
                    <w:t>-N</w:t>
                  </w:r>
                </w:p>
              </w:tc>
              <w:tc>
                <w:tcPr>
                  <w:tcW w:w="1074" w:type="dxa"/>
                  <w:tcBorders>
                    <w:right w:val="single" w:color="auto" w:sz="4" w:space="0"/>
                  </w:tcBorders>
                  <w:vAlign w:val="center"/>
                </w:tcPr>
                <w:p w14:paraId="25925493">
                  <w:pPr>
                    <w:adjustRightInd w:val="0"/>
                    <w:snapToGrid w:val="0"/>
                    <w:jc w:val="center"/>
                    <w:rPr>
                      <w:color w:val="auto"/>
                      <w:szCs w:val="21"/>
                    </w:rPr>
                  </w:pPr>
                  <w:r>
                    <w:rPr>
                      <w:rFonts w:hint="eastAsia"/>
                      <w:color w:val="auto"/>
                      <w:szCs w:val="21"/>
                    </w:rPr>
                    <w:t>2</w:t>
                  </w:r>
                </w:p>
              </w:tc>
            </w:tr>
            <w:tr w14:paraId="5F0421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04" w:type="dxa"/>
                  <w:gridSpan w:val="11"/>
                  <w:tcBorders>
                    <w:left w:val="single" w:color="auto" w:sz="4" w:space="0"/>
                    <w:right w:val="single" w:color="auto" w:sz="4" w:space="0"/>
                  </w:tcBorders>
                  <w:vAlign w:val="center"/>
                </w:tcPr>
                <w:p w14:paraId="50B9F447">
                  <w:pPr>
                    <w:pStyle w:val="251"/>
                    <w:rPr>
                      <w:color w:val="auto"/>
                      <w:szCs w:val="21"/>
                    </w:rPr>
                  </w:pPr>
                  <w:r>
                    <w:rPr>
                      <w:color w:val="auto"/>
                      <w:szCs w:val="21"/>
                      <w:vertAlign w:val="superscript"/>
                    </w:rPr>
                    <w:t xml:space="preserve">a </w:t>
                  </w:r>
                  <w:r>
                    <w:rPr>
                      <w:rFonts w:hAnsi="宋体"/>
                      <w:color w:val="auto"/>
                      <w:szCs w:val="21"/>
                    </w:rPr>
                    <w:t>对于排至厂外公共污水处理系统的排放口，指废水排出厂界处经纬度坐标。</w:t>
                  </w:r>
                </w:p>
                <w:p w14:paraId="285847E9">
                  <w:pPr>
                    <w:pStyle w:val="251"/>
                    <w:rPr>
                      <w:color w:val="auto"/>
                      <w:szCs w:val="21"/>
                    </w:rPr>
                  </w:pPr>
                  <w:r>
                    <w:rPr>
                      <w:color w:val="auto"/>
                      <w:szCs w:val="21"/>
                      <w:vertAlign w:val="superscript"/>
                    </w:rPr>
                    <w:t xml:space="preserve">b </w:t>
                  </w:r>
                  <w:r>
                    <w:rPr>
                      <w:rFonts w:hAnsi="宋体"/>
                      <w:color w:val="auto"/>
                      <w:szCs w:val="21"/>
                    </w:rPr>
                    <w:t>指厂外城镇或工业污水集中处理设施名称，如</w:t>
                  </w:r>
                  <w:r>
                    <w:rPr>
                      <w:color w:val="auto"/>
                      <w:szCs w:val="21"/>
                    </w:rPr>
                    <w:t>×××</w:t>
                  </w:r>
                  <w:r>
                    <w:rPr>
                      <w:rFonts w:hAnsi="宋体"/>
                      <w:color w:val="auto"/>
                      <w:szCs w:val="21"/>
                    </w:rPr>
                    <w:t>生活污水处理厂、</w:t>
                  </w:r>
                  <w:r>
                    <w:rPr>
                      <w:color w:val="auto"/>
                      <w:szCs w:val="21"/>
                    </w:rPr>
                    <w:t>×××</w:t>
                  </w:r>
                  <w:r>
                    <w:rPr>
                      <w:rFonts w:hAnsi="宋体"/>
                      <w:color w:val="auto"/>
                      <w:szCs w:val="21"/>
                    </w:rPr>
                    <w:t>化工园区污水处理厂等。</w:t>
                  </w:r>
                </w:p>
              </w:tc>
            </w:tr>
          </w:tbl>
          <w:p w14:paraId="534CB32E">
            <w:pPr>
              <w:adjustRightInd w:val="0"/>
              <w:snapToGrid w:val="0"/>
              <w:spacing w:line="440" w:lineRule="exact"/>
              <w:ind w:firstLine="480" w:firstLineChars="200"/>
              <w:rPr>
                <w:bCs/>
                <w:color w:val="auto"/>
                <w:sz w:val="24"/>
              </w:rPr>
            </w:pPr>
            <w:r>
              <w:rPr>
                <w:bCs/>
                <w:color w:val="auto"/>
                <w:sz w:val="24"/>
              </w:rPr>
              <w:t>废水污染物排放执行标准</w:t>
            </w:r>
            <w:r>
              <w:rPr>
                <w:rFonts w:hint="eastAsia"/>
                <w:bCs/>
                <w:color w:val="auto"/>
                <w:sz w:val="24"/>
              </w:rPr>
              <w:t>见</w:t>
            </w:r>
            <w:r>
              <w:rPr>
                <w:bCs/>
                <w:color w:val="auto"/>
                <w:sz w:val="24"/>
              </w:rPr>
              <w:t>下表</w:t>
            </w:r>
            <w:r>
              <w:rPr>
                <w:rFonts w:hint="eastAsia"/>
                <w:bCs/>
                <w:color w:val="auto"/>
                <w:sz w:val="24"/>
              </w:rPr>
              <w:t>。</w:t>
            </w:r>
          </w:p>
          <w:p w14:paraId="71F9E904">
            <w:pPr>
              <w:spacing w:line="440" w:lineRule="exact"/>
              <w:jc w:val="center"/>
              <w:rPr>
                <w:b/>
                <w:color w:val="auto"/>
                <w:szCs w:val="21"/>
              </w:rPr>
            </w:pPr>
            <w:r>
              <w:rPr>
                <w:b/>
                <w:color w:val="auto"/>
                <w:szCs w:val="21"/>
              </w:rPr>
              <w:t>表</w:t>
            </w:r>
            <w:r>
              <w:rPr>
                <w:rFonts w:hint="eastAsia"/>
                <w:b/>
                <w:color w:val="auto"/>
                <w:szCs w:val="21"/>
              </w:rPr>
              <w:t>4</w:t>
            </w:r>
            <w:r>
              <w:rPr>
                <w:b/>
                <w:color w:val="auto"/>
                <w:szCs w:val="21"/>
              </w:rPr>
              <w:t>-</w:t>
            </w:r>
            <w:r>
              <w:rPr>
                <w:rFonts w:hint="eastAsia"/>
                <w:b/>
                <w:color w:val="auto"/>
                <w:szCs w:val="21"/>
              </w:rPr>
              <w:t>1</w:t>
            </w:r>
            <w:r>
              <w:rPr>
                <w:rFonts w:hint="eastAsia"/>
                <w:b/>
                <w:color w:val="auto"/>
                <w:szCs w:val="21"/>
                <w:lang w:val="en-US" w:eastAsia="zh-CN"/>
              </w:rPr>
              <w:t>5</w:t>
            </w:r>
            <w:r>
              <w:rPr>
                <w:b/>
                <w:color w:val="auto"/>
                <w:szCs w:val="21"/>
              </w:rPr>
              <w:t xml:space="preserve"> </w:t>
            </w:r>
            <w:r>
              <w:rPr>
                <w:rFonts w:hint="eastAsia"/>
                <w:b/>
                <w:color w:val="auto"/>
                <w:szCs w:val="21"/>
              </w:rPr>
              <w:t xml:space="preserve"> </w:t>
            </w:r>
            <w:r>
              <w:rPr>
                <w:b/>
                <w:color w:val="auto"/>
                <w:szCs w:val="21"/>
              </w:rPr>
              <w:t>废水污染物排放执行标准表</w:t>
            </w:r>
          </w:p>
          <w:tbl>
            <w:tblPr>
              <w:tblStyle w:val="3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79"/>
              <w:gridCol w:w="1028"/>
              <w:gridCol w:w="3442"/>
              <w:gridCol w:w="2075"/>
            </w:tblGrid>
            <w:tr w14:paraId="52C0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0" w:type="dxa"/>
                  <w:vMerge w:val="restart"/>
                  <w:vAlign w:val="center"/>
                </w:tcPr>
                <w:p w14:paraId="2F25FE21">
                  <w:pPr>
                    <w:adjustRightInd w:val="0"/>
                    <w:snapToGrid w:val="0"/>
                    <w:jc w:val="center"/>
                    <w:rPr>
                      <w:b/>
                      <w:color w:val="auto"/>
                      <w:szCs w:val="21"/>
                    </w:rPr>
                  </w:pPr>
                  <w:r>
                    <w:rPr>
                      <w:b/>
                      <w:color w:val="auto"/>
                      <w:szCs w:val="21"/>
                    </w:rPr>
                    <w:t>序号</w:t>
                  </w:r>
                </w:p>
              </w:tc>
              <w:tc>
                <w:tcPr>
                  <w:tcW w:w="1279" w:type="dxa"/>
                  <w:vMerge w:val="restart"/>
                  <w:vAlign w:val="center"/>
                </w:tcPr>
                <w:p w14:paraId="2B1F44F7">
                  <w:pPr>
                    <w:adjustRightInd w:val="0"/>
                    <w:snapToGrid w:val="0"/>
                    <w:jc w:val="center"/>
                    <w:rPr>
                      <w:b/>
                      <w:color w:val="auto"/>
                      <w:szCs w:val="21"/>
                    </w:rPr>
                  </w:pPr>
                  <w:r>
                    <w:rPr>
                      <w:b/>
                      <w:color w:val="auto"/>
                      <w:szCs w:val="21"/>
                    </w:rPr>
                    <w:t>排放口编号</w:t>
                  </w:r>
                </w:p>
              </w:tc>
              <w:tc>
                <w:tcPr>
                  <w:tcW w:w="1028" w:type="dxa"/>
                  <w:vMerge w:val="restart"/>
                  <w:vAlign w:val="center"/>
                </w:tcPr>
                <w:p w14:paraId="282AC221">
                  <w:pPr>
                    <w:adjustRightInd w:val="0"/>
                    <w:snapToGrid w:val="0"/>
                    <w:jc w:val="center"/>
                    <w:rPr>
                      <w:b/>
                      <w:color w:val="auto"/>
                      <w:szCs w:val="21"/>
                    </w:rPr>
                  </w:pPr>
                  <w:r>
                    <w:rPr>
                      <w:b/>
                      <w:color w:val="auto"/>
                      <w:szCs w:val="21"/>
                    </w:rPr>
                    <w:t>污染物种类</w:t>
                  </w:r>
                </w:p>
              </w:tc>
              <w:tc>
                <w:tcPr>
                  <w:tcW w:w="5517" w:type="dxa"/>
                  <w:gridSpan w:val="2"/>
                  <w:vAlign w:val="center"/>
                </w:tcPr>
                <w:p w14:paraId="6E6CC5A9">
                  <w:pPr>
                    <w:jc w:val="center"/>
                    <w:rPr>
                      <w:rFonts w:eastAsia="黑体"/>
                      <w:color w:val="auto"/>
                      <w:sz w:val="24"/>
                    </w:rPr>
                  </w:pPr>
                  <w:r>
                    <w:rPr>
                      <w:b/>
                      <w:color w:val="auto"/>
                      <w:szCs w:val="21"/>
                    </w:rPr>
                    <w:t>国家或地方污染物排放标准及其他按规定商定的排放协议</w:t>
                  </w:r>
                </w:p>
              </w:tc>
            </w:tr>
            <w:tr w14:paraId="5AB6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0" w:type="dxa"/>
                  <w:vMerge w:val="continue"/>
                  <w:vAlign w:val="center"/>
                </w:tcPr>
                <w:p w14:paraId="46E1C742">
                  <w:pPr>
                    <w:jc w:val="center"/>
                    <w:rPr>
                      <w:rFonts w:eastAsia="黑体"/>
                      <w:color w:val="auto"/>
                      <w:sz w:val="24"/>
                    </w:rPr>
                  </w:pPr>
                </w:p>
              </w:tc>
              <w:tc>
                <w:tcPr>
                  <w:tcW w:w="1279" w:type="dxa"/>
                  <w:vMerge w:val="continue"/>
                  <w:vAlign w:val="center"/>
                </w:tcPr>
                <w:p w14:paraId="6E47D7ED">
                  <w:pPr>
                    <w:jc w:val="center"/>
                    <w:rPr>
                      <w:rFonts w:eastAsia="黑体"/>
                      <w:color w:val="auto"/>
                      <w:sz w:val="24"/>
                    </w:rPr>
                  </w:pPr>
                </w:p>
              </w:tc>
              <w:tc>
                <w:tcPr>
                  <w:tcW w:w="1028" w:type="dxa"/>
                  <w:vMerge w:val="continue"/>
                  <w:vAlign w:val="center"/>
                </w:tcPr>
                <w:p w14:paraId="1329C5F7">
                  <w:pPr>
                    <w:jc w:val="center"/>
                    <w:rPr>
                      <w:rFonts w:eastAsia="黑体"/>
                      <w:color w:val="auto"/>
                      <w:sz w:val="24"/>
                    </w:rPr>
                  </w:pPr>
                </w:p>
              </w:tc>
              <w:tc>
                <w:tcPr>
                  <w:tcW w:w="3442" w:type="dxa"/>
                  <w:vAlign w:val="center"/>
                </w:tcPr>
                <w:p w14:paraId="1EB173F1">
                  <w:pPr>
                    <w:adjustRightInd w:val="0"/>
                    <w:snapToGrid w:val="0"/>
                    <w:jc w:val="center"/>
                    <w:rPr>
                      <w:b/>
                      <w:color w:val="auto"/>
                      <w:szCs w:val="21"/>
                    </w:rPr>
                  </w:pPr>
                  <w:r>
                    <w:rPr>
                      <w:b/>
                      <w:color w:val="auto"/>
                      <w:szCs w:val="21"/>
                    </w:rPr>
                    <w:t>名称</w:t>
                  </w:r>
                </w:p>
              </w:tc>
              <w:tc>
                <w:tcPr>
                  <w:tcW w:w="2075" w:type="dxa"/>
                  <w:vAlign w:val="center"/>
                </w:tcPr>
                <w:p w14:paraId="6685C9A2">
                  <w:pPr>
                    <w:adjustRightInd w:val="0"/>
                    <w:snapToGrid w:val="0"/>
                    <w:jc w:val="center"/>
                    <w:rPr>
                      <w:b/>
                      <w:color w:val="auto"/>
                      <w:szCs w:val="21"/>
                    </w:rPr>
                  </w:pPr>
                  <w:r>
                    <w:rPr>
                      <w:b/>
                      <w:color w:val="auto"/>
                      <w:szCs w:val="21"/>
                    </w:rPr>
                    <w:t>浓度限值/(mg/L)</w:t>
                  </w:r>
                </w:p>
              </w:tc>
            </w:tr>
            <w:tr w14:paraId="2D49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0" w:type="dxa"/>
                  <w:vMerge w:val="restart"/>
                  <w:vAlign w:val="center"/>
                </w:tcPr>
                <w:p w14:paraId="0A6DCC5A">
                  <w:pPr>
                    <w:jc w:val="center"/>
                    <w:rPr>
                      <w:rFonts w:eastAsia="黑体"/>
                      <w:color w:val="auto"/>
                      <w:sz w:val="24"/>
                    </w:rPr>
                  </w:pPr>
                  <w:r>
                    <w:rPr>
                      <w:rFonts w:eastAsia="黑体"/>
                      <w:color w:val="auto"/>
                      <w:sz w:val="24"/>
                    </w:rPr>
                    <w:t>1</w:t>
                  </w:r>
                </w:p>
              </w:tc>
              <w:tc>
                <w:tcPr>
                  <w:tcW w:w="1279" w:type="dxa"/>
                  <w:vMerge w:val="restart"/>
                  <w:vAlign w:val="center"/>
                </w:tcPr>
                <w:p w14:paraId="11EE2099">
                  <w:pPr>
                    <w:jc w:val="center"/>
                    <w:rPr>
                      <w:rFonts w:eastAsia="黑体"/>
                      <w:color w:val="auto"/>
                      <w:sz w:val="24"/>
                    </w:rPr>
                  </w:pPr>
                  <w:r>
                    <w:rPr>
                      <w:color w:val="auto"/>
                      <w:szCs w:val="21"/>
                    </w:rPr>
                    <w:t>DW001</w:t>
                  </w:r>
                </w:p>
              </w:tc>
              <w:tc>
                <w:tcPr>
                  <w:tcW w:w="1028" w:type="dxa"/>
                  <w:vAlign w:val="center"/>
                </w:tcPr>
                <w:p w14:paraId="64594831">
                  <w:pPr>
                    <w:adjustRightInd w:val="0"/>
                    <w:snapToGrid w:val="0"/>
                    <w:ind w:left="-63" w:leftChars="-30" w:right="-63" w:rightChars="-30"/>
                    <w:jc w:val="center"/>
                    <w:rPr>
                      <w:color w:val="auto"/>
                      <w:szCs w:val="21"/>
                    </w:rPr>
                  </w:pPr>
                  <w:r>
                    <w:rPr>
                      <w:color w:val="auto"/>
                      <w:szCs w:val="21"/>
                    </w:rPr>
                    <w:t>COD</w:t>
                  </w:r>
                  <w:r>
                    <w:rPr>
                      <w:color w:val="auto"/>
                      <w:szCs w:val="21"/>
                      <w:vertAlign w:val="subscript"/>
                    </w:rPr>
                    <w:t>Cr</w:t>
                  </w:r>
                </w:p>
              </w:tc>
              <w:tc>
                <w:tcPr>
                  <w:tcW w:w="3442" w:type="dxa"/>
                  <w:vMerge w:val="restart"/>
                  <w:vAlign w:val="center"/>
                </w:tcPr>
                <w:p w14:paraId="3A5EAD3D">
                  <w:pPr>
                    <w:jc w:val="center"/>
                    <w:rPr>
                      <w:color w:val="auto"/>
                    </w:rPr>
                  </w:pPr>
                  <w:r>
                    <w:rPr>
                      <w:color w:val="auto"/>
                    </w:rPr>
                    <w:t>安吉净源污水处理有限公司</w:t>
                  </w:r>
                </w:p>
                <w:p w14:paraId="6A0507CD">
                  <w:pPr>
                    <w:jc w:val="center"/>
                    <w:rPr>
                      <w:rFonts w:eastAsia="黑体"/>
                      <w:color w:val="auto"/>
                      <w:sz w:val="24"/>
                    </w:rPr>
                  </w:pPr>
                  <w:r>
                    <w:rPr>
                      <w:color w:val="auto"/>
                    </w:rPr>
                    <w:t>城北污水处理厂纳管标准</w:t>
                  </w:r>
                </w:p>
              </w:tc>
              <w:tc>
                <w:tcPr>
                  <w:tcW w:w="2075" w:type="dxa"/>
                  <w:vAlign w:val="center"/>
                </w:tcPr>
                <w:p w14:paraId="0503C30E">
                  <w:pPr>
                    <w:adjustRightInd w:val="0"/>
                    <w:snapToGrid w:val="0"/>
                    <w:ind w:left="-63" w:leftChars="-30" w:right="-63" w:rightChars="-30"/>
                    <w:jc w:val="center"/>
                    <w:rPr>
                      <w:color w:val="auto"/>
                      <w:szCs w:val="21"/>
                    </w:rPr>
                  </w:pPr>
                  <w:r>
                    <w:rPr>
                      <w:color w:val="auto"/>
                      <w:szCs w:val="21"/>
                    </w:rPr>
                    <w:t>450</w:t>
                  </w:r>
                </w:p>
              </w:tc>
            </w:tr>
            <w:tr w14:paraId="0511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0" w:type="dxa"/>
                  <w:vMerge w:val="continue"/>
                  <w:vAlign w:val="center"/>
                </w:tcPr>
                <w:p w14:paraId="4179F554">
                  <w:pPr>
                    <w:jc w:val="center"/>
                    <w:rPr>
                      <w:rFonts w:eastAsia="黑体"/>
                      <w:color w:val="auto"/>
                      <w:sz w:val="24"/>
                    </w:rPr>
                  </w:pPr>
                </w:p>
              </w:tc>
              <w:tc>
                <w:tcPr>
                  <w:tcW w:w="1279" w:type="dxa"/>
                  <w:vMerge w:val="continue"/>
                  <w:vAlign w:val="center"/>
                </w:tcPr>
                <w:p w14:paraId="67604B44">
                  <w:pPr>
                    <w:jc w:val="center"/>
                    <w:rPr>
                      <w:rFonts w:eastAsia="黑体"/>
                      <w:color w:val="auto"/>
                      <w:sz w:val="24"/>
                    </w:rPr>
                  </w:pPr>
                </w:p>
              </w:tc>
              <w:tc>
                <w:tcPr>
                  <w:tcW w:w="1028" w:type="dxa"/>
                  <w:vAlign w:val="center"/>
                </w:tcPr>
                <w:p w14:paraId="1350A6E4">
                  <w:pPr>
                    <w:adjustRightInd w:val="0"/>
                    <w:snapToGrid w:val="0"/>
                    <w:ind w:left="-63" w:leftChars="-30" w:right="-63" w:rightChars="-30"/>
                    <w:jc w:val="center"/>
                    <w:rPr>
                      <w:color w:val="auto"/>
                      <w:szCs w:val="21"/>
                    </w:rPr>
                  </w:pPr>
                  <w:r>
                    <w:rPr>
                      <w:color w:val="auto"/>
                      <w:szCs w:val="21"/>
                    </w:rPr>
                    <w:t>NH</w:t>
                  </w:r>
                  <w:r>
                    <w:rPr>
                      <w:color w:val="auto"/>
                      <w:szCs w:val="21"/>
                      <w:vertAlign w:val="subscript"/>
                    </w:rPr>
                    <w:t>3</w:t>
                  </w:r>
                  <w:r>
                    <w:rPr>
                      <w:color w:val="auto"/>
                      <w:szCs w:val="21"/>
                    </w:rPr>
                    <w:t>-N</w:t>
                  </w:r>
                </w:p>
              </w:tc>
              <w:tc>
                <w:tcPr>
                  <w:tcW w:w="3442" w:type="dxa"/>
                  <w:vMerge w:val="continue"/>
                  <w:vAlign w:val="center"/>
                </w:tcPr>
                <w:p w14:paraId="4676E736">
                  <w:pPr>
                    <w:jc w:val="center"/>
                    <w:rPr>
                      <w:rFonts w:eastAsia="黑体"/>
                      <w:color w:val="auto"/>
                      <w:sz w:val="24"/>
                    </w:rPr>
                  </w:pPr>
                </w:p>
              </w:tc>
              <w:tc>
                <w:tcPr>
                  <w:tcW w:w="2075" w:type="dxa"/>
                  <w:vAlign w:val="center"/>
                </w:tcPr>
                <w:p w14:paraId="3D8FBBC0">
                  <w:pPr>
                    <w:adjustRightInd w:val="0"/>
                    <w:snapToGrid w:val="0"/>
                    <w:ind w:left="-63" w:leftChars="-30" w:right="-63" w:rightChars="-30"/>
                    <w:jc w:val="center"/>
                    <w:rPr>
                      <w:color w:val="auto"/>
                      <w:szCs w:val="21"/>
                    </w:rPr>
                  </w:pPr>
                  <w:r>
                    <w:rPr>
                      <w:rFonts w:hint="eastAsia"/>
                      <w:color w:val="auto"/>
                      <w:szCs w:val="21"/>
                    </w:rPr>
                    <w:t>2</w:t>
                  </w:r>
                  <w:r>
                    <w:rPr>
                      <w:color w:val="auto"/>
                      <w:szCs w:val="21"/>
                    </w:rPr>
                    <w:t>0</w:t>
                  </w:r>
                </w:p>
              </w:tc>
            </w:tr>
            <w:tr w14:paraId="52B4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0" w:type="dxa"/>
                  <w:vMerge w:val="continue"/>
                  <w:vAlign w:val="center"/>
                </w:tcPr>
                <w:p w14:paraId="3A6A1C66">
                  <w:pPr>
                    <w:jc w:val="center"/>
                    <w:rPr>
                      <w:rFonts w:eastAsia="黑体"/>
                      <w:color w:val="auto"/>
                      <w:sz w:val="24"/>
                    </w:rPr>
                  </w:pPr>
                </w:p>
              </w:tc>
              <w:tc>
                <w:tcPr>
                  <w:tcW w:w="1279" w:type="dxa"/>
                  <w:vMerge w:val="continue"/>
                  <w:vAlign w:val="center"/>
                </w:tcPr>
                <w:p w14:paraId="2668B018">
                  <w:pPr>
                    <w:jc w:val="center"/>
                    <w:rPr>
                      <w:rFonts w:eastAsia="黑体"/>
                      <w:color w:val="auto"/>
                      <w:sz w:val="24"/>
                    </w:rPr>
                  </w:pPr>
                </w:p>
              </w:tc>
              <w:tc>
                <w:tcPr>
                  <w:tcW w:w="1028" w:type="dxa"/>
                  <w:vAlign w:val="center"/>
                </w:tcPr>
                <w:p w14:paraId="5D442A9E">
                  <w:pPr>
                    <w:adjustRightInd w:val="0"/>
                    <w:snapToGrid w:val="0"/>
                    <w:ind w:left="-63" w:leftChars="-30" w:right="-63" w:rightChars="-30"/>
                    <w:jc w:val="center"/>
                    <w:rPr>
                      <w:color w:val="auto"/>
                      <w:szCs w:val="21"/>
                    </w:rPr>
                  </w:pPr>
                  <w:r>
                    <w:rPr>
                      <w:color w:val="auto"/>
                      <w:szCs w:val="21"/>
                    </w:rPr>
                    <w:t>COD</w:t>
                  </w:r>
                  <w:r>
                    <w:rPr>
                      <w:color w:val="auto"/>
                      <w:szCs w:val="21"/>
                      <w:vertAlign w:val="subscript"/>
                    </w:rPr>
                    <w:t>Cr</w:t>
                  </w:r>
                </w:p>
              </w:tc>
              <w:tc>
                <w:tcPr>
                  <w:tcW w:w="3442" w:type="dxa"/>
                  <w:vAlign w:val="center"/>
                </w:tcPr>
                <w:p w14:paraId="0BD22190">
                  <w:pPr>
                    <w:jc w:val="center"/>
                    <w:rPr>
                      <w:rFonts w:eastAsia="黑体"/>
                      <w:color w:val="auto"/>
                      <w:sz w:val="24"/>
                    </w:rPr>
                  </w:pPr>
                  <w:r>
                    <w:rPr>
                      <w:rFonts w:hint="eastAsia"/>
                      <w:color w:val="auto"/>
                      <w:lang w:val="en-GB"/>
                    </w:rPr>
                    <w:t>《污水综合排放标准》(GB8978-1996) 三级标准</w:t>
                  </w:r>
                </w:p>
              </w:tc>
              <w:tc>
                <w:tcPr>
                  <w:tcW w:w="2075" w:type="dxa"/>
                  <w:vAlign w:val="center"/>
                </w:tcPr>
                <w:p w14:paraId="2D95A0F6">
                  <w:pPr>
                    <w:adjustRightInd w:val="0"/>
                    <w:snapToGrid w:val="0"/>
                    <w:ind w:left="-63" w:leftChars="-30" w:right="-63" w:rightChars="-30"/>
                    <w:jc w:val="center"/>
                    <w:rPr>
                      <w:color w:val="auto"/>
                      <w:szCs w:val="21"/>
                    </w:rPr>
                  </w:pPr>
                  <w:r>
                    <w:rPr>
                      <w:rFonts w:hint="eastAsia"/>
                      <w:color w:val="auto"/>
                      <w:szCs w:val="21"/>
                    </w:rPr>
                    <w:t>500</w:t>
                  </w:r>
                </w:p>
              </w:tc>
            </w:tr>
            <w:tr w14:paraId="53C5C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0" w:type="dxa"/>
                  <w:vMerge w:val="continue"/>
                  <w:vAlign w:val="center"/>
                </w:tcPr>
                <w:p w14:paraId="4D2E8717">
                  <w:pPr>
                    <w:jc w:val="center"/>
                    <w:rPr>
                      <w:rFonts w:eastAsia="黑体"/>
                      <w:color w:val="auto"/>
                      <w:sz w:val="24"/>
                    </w:rPr>
                  </w:pPr>
                </w:p>
              </w:tc>
              <w:tc>
                <w:tcPr>
                  <w:tcW w:w="1279" w:type="dxa"/>
                  <w:vMerge w:val="continue"/>
                  <w:vAlign w:val="center"/>
                </w:tcPr>
                <w:p w14:paraId="50C486CF">
                  <w:pPr>
                    <w:jc w:val="center"/>
                    <w:rPr>
                      <w:rFonts w:eastAsia="黑体"/>
                      <w:color w:val="auto"/>
                      <w:sz w:val="24"/>
                    </w:rPr>
                  </w:pPr>
                </w:p>
              </w:tc>
              <w:tc>
                <w:tcPr>
                  <w:tcW w:w="1028" w:type="dxa"/>
                  <w:vAlign w:val="center"/>
                </w:tcPr>
                <w:p w14:paraId="03504474">
                  <w:pPr>
                    <w:adjustRightInd w:val="0"/>
                    <w:snapToGrid w:val="0"/>
                    <w:ind w:left="-63" w:leftChars="-30" w:right="-63" w:rightChars="-30"/>
                    <w:jc w:val="center"/>
                    <w:rPr>
                      <w:color w:val="auto"/>
                      <w:szCs w:val="21"/>
                    </w:rPr>
                  </w:pPr>
                  <w:r>
                    <w:rPr>
                      <w:color w:val="auto"/>
                      <w:szCs w:val="21"/>
                    </w:rPr>
                    <w:t>NH</w:t>
                  </w:r>
                  <w:r>
                    <w:rPr>
                      <w:color w:val="auto"/>
                      <w:szCs w:val="21"/>
                      <w:vertAlign w:val="subscript"/>
                    </w:rPr>
                    <w:t>3</w:t>
                  </w:r>
                  <w:r>
                    <w:rPr>
                      <w:color w:val="auto"/>
                      <w:szCs w:val="21"/>
                    </w:rPr>
                    <w:t>-N</w:t>
                  </w:r>
                </w:p>
              </w:tc>
              <w:tc>
                <w:tcPr>
                  <w:tcW w:w="3442" w:type="dxa"/>
                  <w:vAlign w:val="center"/>
                </w:tcPr>
                <w:p w14:paraId="419A2A6C">
                  <w:pPr>
                    <w:jc w:val="center"/>
                    <w:rPr>
                      <w:rFonts w:eastAsia="黑体"/>
                      <w:color w:val="auto"/>
                      <w:sz w:val="24"/>
                    </w:rPr>
                  </w:pPr>
                  <w:r>
                    <w:rPr>
                      <w:rFonts w:hint="eastAsia"/>
                      <w:color w:val="auto"/>
                      <w:lang w:val="en-GB"/>
                    </w:rPr>
                    <w:t>《工业企业</w:t>
                  </w:r>
                  <w:r>
                    <w:rPr>
                      <w:rFonts w:hint="eastAsia"/>
                      <w:color w:val="auto"/>
                    </w:rPr>
                    <w:t>废</w:t>
                  </w:r>
                  <w:r>
                    <w:rPr>
                      <w:rFonts w:hint="eastAsia"/>
                      <w:color w:val="auto"/>
                      <w:lang w:val="en-GB"/>
                    </w:rPr>
                    <w:t>水</w:t>
                  </w:r>
                  <w:r>
                    <w:rPr>
                      <w:rFonts w:hint="eastAsia"/>
                      <w:color w:val="auto"/>
                    </w:rPr>
                    <w:t>氮</w:t>
                  </w:r>
                  <w:r>
                    <w:rPr>
                      <w:rFonts w:hint="eastAsia"/>
                      <w:color w:val="auto"/>
                      <w:lang w:val="en-GB"/>
                    </w:rPr>
                    <w:t>、</w:t>
                  </w:r>
                  <w:r>
                    <w:rPr>
                      <w:rFonts w:hint="eastAsia"/>
                      <w:color w:val="auto"/>
                    </w:rPr>
                    <w:t>磷</w:t>
                  </w:r>
                  <w:r>
                    <w:rPr>
                      <w:rFonts w:hint="eastAsia"/>
                      <w:color w:val="auto"/>
                      <w:lang w:val="en-GB"/>
                    </w:rPr>
                    <w:t>污染物间接排放限值》(DB33/887-2013</w:t>
                  </w:r>
                  <w:r>
                    <w:rPr>
                      <w:rFonts w:hint="eastAsia"/>
                      <w:color w:val="auto"/>
                    </w:rPr>
                    <w:t>)</w:t>
                  </w:r>
                </w:p>
              </w:tc>
              <w:tc>
                <w:tcPr>
                  <w:tcW w:w="2075" w:type="dxa"/>
                  <w:vAlign w:val="center"/>
                </w:tcPr>
                <w:p w14:paraId="777D9C6B">
                  <w:pPr>
                    <w:adjustRightInd w:val="0"/>
                    <w:snapToGrid w:val="0"/>
                    <w:ind w:left="-63" w:leftChars="-30" w:right="-63" w:rightChars="-30"/>
                    <w:jc w:val="center"/>
                    <w:rPr>
                      <w:color w:val="auto"/>
                      <w:szCs w:val="21"/>
                    </w:rPr>
                  </w:pPr>
                  <w:r>
                    <w:rPr>
                      <w:rFonts w:hint="eastAsia"/>
                      <w:color w:val="auto"/>
                      <w:szCs w:val="21"/>
                    </w:rPr>
                    <w:t>35</w:t>
                  </w:r>
                </w:p>
              </w:tc>
            </w:tr>
          </w:tbl>
          <w:p w14:paraId="54F07A69">
            <w:pPr>
              <w:widowControl/>
              <w:spacing w:line="440" w:lineRule="exact"/>
              <w:ind w:firstLine="482"/>
              <w:rPr>
                <w:color w:val="auto"/>
                <w:kern w:val="0"/>
                <w:szCs w:val="21"/>
              </w:rPr>
            </w:pPr>
            <w:r>
              <w:rPr>
                <w:rFonts w:hAnsi="宋体"/>
                <w:color w:val="auto"/>
                <w:kern w:val="0"/>
                <w:sz w:val="24"/>
              </w:rPr>
              <w:t>废水污染物排放信息</w:t>
            </w:r>
            <w:r>
              <w:rPr>
                <w:rFonts w:hint="eastAsia" w:hAnsi="宋体"/>
                <w:color w:val="auto"/>
                <w:kern w:val="0"/>
                <w:sz w:val="24"/>
              </w:rPr>
              <w:t>见</w:t>
            </w:r>
            <w:r>
              <w:rPr>
                <w:rFonts w:hAnsi="宋体"/>
                <w:color w:val="auto"/>
                <w:kern w:val="0"/>
                <w:sz w:val="24"/>
              </w:rPr>
              <w:t>下表</w:t>
            </w:r>
            <w:r>
              <w:rPr>
                <w:rFonts w:hint="eastAsia" w:hAnsi="宋体"/>
                <w:color w:val="auto"/>
                <w:kern w:val="0"/>
                <w:sz w:val="24"/>
              </w:rPr>
              <w:t>。</w:t>
            </w:r>
          </w:p>
          <w:p w14:paraId="4C30C926">
            <w:pPr>
              <w:spacing w:line="440" w:lineRule="exact"/>
              <w:jc w:val="center"/>
              <w:rPr>
                <w:b/>
                <w:color w:val="auto"/>
                <w:szCs w:val="21"/>
              </w:rPr>
            </w:pPr>
            <w:r>
              <w:rPr>
                <w:b/>
                <w:color w:val="auto"/>
                <w:szCs w:val="21"/>
              </w:rPr>
              <w:t>表</w:t>
            </w:r>
            <w:r>
              <w:rPr>
                <w:rFonts w:hint="eastAsia"/>
                <w:b/>
                <w:color w:val="auto"/>
                <w:szCs w:val="21"/>
              </w:rPr>
              <w:t>4-1</w:t>
            </w:r>
            <w:r>
              <w:rPr>
                <w:rFonts w:hint="eastAsia"/>
                <w:b/>
                <w:color w:val="auto"/>
                <w:szCs w:val="21"/>
                <w:lang w:val="en-US" w:eastAsia="zh-CN"/>
              </w:rPr>
              <w:t>6</w:t>
            </w:r>
            <w:r>
              <w:rPr>
                <w:b/>
                <w:color w:val="auto"/>
                <w:szCs w:val="21"/>
              </w:rPr>
              <w:t xml:space="preserve">  废水污染物排放信息表</w:t>
            </w:r>
          </w:p>
          <w:tbl>
            <w:tblPr>
              <w:tblStyle w:val="3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405"/>
              <w:gridCol w:w="1418"/>
              <w:gridCol w:w="1684"/>
              <w:gridCol w:w="1551"/>
              <w:gridCol w:w="1683"/>
            </w:tblGrid>
            <w:tr w14:paraId="0374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60" w:type="dxa"/>
                  <w:vAlign w:val="center"/>
                </w:tcPr>
                <w:p w14:paraId="71C763CE">
                  <w:pPr>
                    <w:adjustRightInd w:val="0"/>
                    <w:snapToGrid w:val="0"/>
                    <w:jc w:val="center"/>
                    <w:rPr>
                      <w:b/>
                      <w:color w:val="auto"/>
                      <w:szCs w:val="21"/>
                    </w:rPr>
                  </w:pPr>
                  <w:r>
                    <w:rPr>
                      <w:b/>
                      <w:color w:val="auto"/>
                      <w:szCs w:val="21"/>
                    </w:rPr>
                    <w:t>序号</w:t>
                  </w:r>
                </w:p>
              </w:tc>
              <w:tc>
                <w:tcPr>
                  <w:tcW w:w="2059" w:type="dxa"/>
                  <w:vAlign w:val="center"/>
                </w:tcPr>
                <w:p w14:paraId="1B3A726B">
                  <w:pPr>
                    <w:adjustRightInd w:val="0"/>
                    <w:snapToGrid w:val="0"/>
                    <w:jc w:val="center"/>
                    <w:rPr>
                      <w:b/>
                      <w:color w:val="auto"/>
                      <w:szCs w:val="21"/>
                    </w:rPr>
                  </w:pPr>
                  <w:r>
                    <w:rPr>
                      <w:b/>
                      <w:color w:val="auto"/>
                      <w:szCs w:val="21"/>
                    </w:rPr>
                    <w:t>排放口编号</w:t>
                  </w:r>
                </w:p>
              </w:tc>
              <w:tc>
                <w:tcPr>
                  <w:tcW w:w="2080" w:type="dxa"/>
                  <w:vAlign w:val="center"/>
                </w:tcPr>
                <w:p w14:paraId="2188D41F">
                  <w:pPr>
                    <w:adjustRightInd w:val="0"/>
                    <w:snapToGrid w:val="0"/>
                    <w:jc w:val="center"/>
                    <w:rPr>
                      <w:b/>
                      <w:color w:val="auto"/>
                      <w:szCs w:val="21"/>
                    </w:rPr>
                  </w:pPr>
                  <w:r>
                    <w:rPr>
                      <w:b/>
                      <w:color w:val="auto"/>
                      <w:szCs w:val="21"/>
                    </w:rPr>
                    <w:t>污染物种类</w:t>
                  </w:r>
                </w:p>
              </w:tc>
              <w:tc>
                <w:tcPr>
                  <w:tcW w:w="2495" w:type="dxa"/>
                  <w:vAlign w:val="center"/>
                </w:tcPr>
                <w:p w14:paraId="0095D382">
                  <w:pPr>
                    <w:adjustRightInd w:val="0"/>
                    <w:snapToGrid w:val="0"/>
                    <w:jc w:val="center"/>
                    <w:rPr>
                      <w:b/>
                      <w:color w:val="auto"/>
                      <w:szCs w:val="21"/>
                    </w:rPr>
                  </w:pPr>
                  <w:r>
                    <w:rPr>
                      <w:b/>
                      <w:color w:val="auto"/>
                      <w:szCs w:val="21"/>
                    </w:rPr>
                    <w:t>排放浓度/（mg/L）</w:t>
                  </w:r>
                </w:p>
              </w:tc>
              <w:tc>
                <w:tcPr>
                  <w:tcW w:w="2287" w:type="dxa"/>
                  <w:vAlign w:val="center"/>
                </w:tcPr>
                <w:p w14:paraId="6BFE0A02">
                  <w:pPr>
                    <w:adjustRightInd w:val="0"/>
                    <w:snapToGrid w:val="0"/>
                    <w:jc w:val="center"/>
                    <w:rPr>
                      <w:b/>
                      <w:color w:val="auto"/>
                      <w:szCs w:val="21"/>
                    </w:rPr>
                  </w:pPr>
                  <w:r>
                    <w:rPr>
                      <w:b/>
                      <w:color w:val="auto"/>
                      <w:szCs w:val="21"/>
                    </w:rPr>
                    <w:t>日排放量/（kg/d）</w:t>
                  </w:r>
                </w:p>
              </w:tc>
              <w:tc>
                <w:tcPr>
                  <w:tcW w:w="2493" w:type="dxa"/>
                  <w:vAlign w:val="center"/>
                </w:tcPr>
                <w:p w14:paraId="67AEE169">
                  <w:pPr>
                    <w:adjustRightInd w:val="0"/>
                    <w:snapToGrid w:val="0"/>
                    <w:jc w:val="center"/>
                    <w:rPr>
                      <w:b/>
                      <w:color w:val="auto"/>
                      <w:szCs w:val="21"/>
                    </w:rPr>
                  </w:pPr>
                  <w:r>
                    <w:rPr>
                      <w:b/>
                      <w:color w:val="auto"/>
                      <w:szCs w:val="21"/>
                    </w:rPr>
                    <w:t>年排放量/</w:t>
                  </w:r>
                </w:p>
                <w:p w14:paraId="46704B8F">
                  <w:pPr>
                    <w:adjustRightInd w:val="0"/>
                    <w:snapToGrid w:val="0"/>
                    <w:jc w:val="center"/>
                    <w:rPr>
                      <w:b/>
                      <w:color w:val="auto"/>
                      <w:szCs w:val="21"/>
                    </w:rPr>
                  </w:pPr>
                  <w:r>
                    <w:rPr>
                      <w:b/>
                      <w:color w:val="auto"/>
                      <w:szCs w:val="21"/>
                    </w:rPr>
                    <w:t>（t/a）</w:t>
                  </w:r>
                </w:p>
              </w:tc>
            </w:tr>
            <w:tr w14:paraId="07EA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60" w:type="dxa"/>
                  <w:vMerge w:val="restart"/>
                  <w:vAlign w:val="center"/>
                </w:tcPr>
                <w:p w14:paraId="5E36D0A3">
                  <w:pPr>
                    <w:adjustRightInd w:val="0"/>
                    <w:snapToGrid w:val="0"/>
                    <w:jc w:val="center"/>
                    <w:rPr>
                      <w:color w:val="auto"/>
                      <w:szCs w:val="21"/>
                    </w:rPr>
                  </w:pPr>
                  <w:r>
                    <w:rPr>
                      <w:color w:val="auto"/>
                      <w:szCs w:val="21"/>
                    </w:rPr>
                    <w:t>1</w:t>
                  </w:r>
                </w:p>
              </w:tc>
              <w:tc>
                <w:tcPr>
                  <w:tcW w:w="2059" w:type="dxa"/>
                  <w:vMerge w:val="restart"/>
                  <w:vAlign w:val="center"/>
                </w:tcPr>
                <w:p w14:paraId="4A7BAFB6">
                  <w:pPr>
                    <w:adjustRightInd w:val="0"/>
                    <w:snapToGrid w:val="0"/>
                    <w:jc w:val="center"/>
                    <w:rPr>
                      <w:color w:val="auto"/>
                      <w:szCs w:val="21"/>
                    </w:rPr>
                  </w:pPr>
                  <w:r>
                    <w:rPr>
                      <w:color w:val="auto"/>
                      <w:szCs w:val="21"/>
                    </w:rPr>
                    <w:t>DW001</w:t>
                  </w:r>
                </w:p>
              </w:tc>
              <w:tc>
                <w:tcPr>
                  <w:tcW w:w="2080" w:type="dxa"/>
                  <w:vAlign w:val="center"/>
                </w:tcPr>
                <w:p w14:paraId="543CD77A">
                  <w:pPr>
                    <w:adjustRightInd w:val="0"/>
                    <w:snapToGrid w:val="0"/>
                    <w:ind w:left="-63" w:leftChars="-30" w:right="-63" w:rightChars="-30"/>
                    <w:jc w:val="center"/>
                    <w:rPr>
                      <w:color w:val="auto"/>
                      <w:szCs w:val="21"/>
                    </w:rPr>
                  </w:pPr>
                  <w:r>
                    <w:rPr>
                      <w:color w:val="auto"/>
                      <w:szCs w:val="21"/>
                    </w:rPr>
                    <w:t>COD</w:t>
                  </w:r>
                  <w:r>
                    <w:rPr>
                      <w:rFonts w:hint="eastAsia"/>
                      <w:color w:val="auto"/>
                      <w:szCs w:val="21"/>
                      <w:vertAlign w:val="subscript"/>
                    </w:rPr>
                    <w:t>C</w:t>
                  </w:r>
                  <w:r>
                    <w:rPr>
                      <w:color w:val="auto"/>
                      <w:szCs w:val="21"/>
                      <w:vertAlign w:val="subscript"/>
                    </w:rPr>
                    <w:t>r</w:t>
                  </w:r>
                </w:p>
              </w:tc>
              <w:tc>
                <w:tcPr>
                  <w:tcW w:w="2495" w:type="dxa"/>
                  <w:vAlign w:val="center"/>
                </w:tcPr>
                <w:p w14:paraId="7F7EDE6F">
                  <w:pPr>
                    <w:adjustRightInd w:val="0"/>
                    <w:snapToGrid w:val="0"/>
                    <w:jc w:val="center"/>
                    <w:rPr>
                      <w:color w:val="auto"/>
                      <w:szCs w:val="21"/>
                    </w:rPr>
                  </w:pPr>
                  <w:r>
                    <w:rPr>
                      <w:rFonts w:hint="eastAsia"/>
                      <w:color w:val="auto"/>
                      <w:szCs w:val="21"/>
                    </w:rPr>
                    <w:t>450</w:t>
                  </w:r>
                </w:p>
              </w:tc>
              <w:tc>
                <w:tcPr>
                  <w:tcW w:w="2287" w:type="dxa"/>
                  <w:vAlign w:val="center"/>
                </w:tcPr>
                <w:p w14:paraId="23FF2A1E">
                  <w:pPr>
                    <w:adjustRightInd w:val="0"/>
                    <w:snapToGrid w:val="0"/>
                    <w:jc w:val="center"/>
                    <w:rPr>
                      <w:rFonts w:hint="default" w:eastAsia="宋体"/>
                      <w:color w:val="auto"/>
                      <w:szCs w:val="21"/>
                      <w:lang w:val="en-US" w:eastAsia="zh-CN"/>
                    </w:rPr>
                  </w:pPr>
                  <w:r>
                    <w:rPr>
                      <w:color w:val="auto"/>
                      <w:szCs w:val="21"/>
                    </w:rPr>
                    <w:t>0.</w:t>
                  </w:r>
                  <w:r>
                    <w:rPr>
                      <w:rFonts w:hint="eastAsia"/>
                      <w:color w:val="auto"/>
                      <w:szCs w:val="21"/>
                      <w:lang w:val="en-US" w:eastAsia="zh-CN"/>
                    </w:rPr>
                    <w:t>36</w:t>
                  </w:r>
                </w:p>
              </w:tc>
              <w:tc>
                <w:tcPr>
                  <w:tcW w:w="2493" w:type="dxa"/>
                  <w:vAlign w:val="center"/>
                </w:tcPr>
                <w:p w14:paraId="58D18A8D">
                  <w:pPr>
                    <w:adjustRightInd w:val="0"/>
                    <w:snapToGrid w:val="0"/>
                    <w:jc w:val="center"/>
                    <w:rPr>
                      <w:color w:val="auto"/>
                      <w:szCs w:val="21"/>
                    </w:rPr>
                  </w:pPr>
                  <w:r>
                    <w:rPr>
                      <w:color w:val="auto"/>
                      <w:szCs w:val="21"/>
                    </w:rPr>
                    <w:t>0.</w:t>
                  </w:r>
                  <w:r>
                    <w:rPr>
                      <w:rFonts w:hint="eastAsia"/>
                      <w:color w:val="auto"/>
                      <w:szCs w:val="21"/>
                    </w:rPr>
                    <w:t>1</w:t>
                  </w:r>
                  <w:r>
                    <w:rPr>
                      <w:rFonts w:hint="eastAsia"/>
                      <w:color w:val="auto"/>
                      <w:szCs w:val="21"/>
                      <w:lang w:val="en-US" w:eastAsia="zh-CN"/>
                    </w:rPr>
                    <w:t>0</w:t>
                  </w:r>
                  <w:r>
                    <w:rPr>
                      <w:rFonts w:hint="eastAsia"/>
                      <w:color w:val="auto"/>
                      <w:szCs w:val="21"/>
                    </w:rPr>
                    <w:t>8</w:t>
                  </w:r>
                </w:p>
              </w:tc>
            </w:tr>
            <w:tr w14:paraId="7111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60" w:type="dxa"/>
                  <w:vMerge w:val="continue"/>
                  <w:vAlign w:val="center"/>
                </w:tcPr>
                <w:p w14:paraId="6F7F4498">
                  <w:pPr>
                    <w:adjustRightInd w:val="0"/>
                    <w:snapToGrid w:val="0"/>
                    <w:jc w:val="center"/>
                    <w:rPr>
                      <w:color w:val="auto"/>
                      <w:szCs w:val="21"/>
                    </w:rPr>
                  </w:pPr>
                </w:p>
              </w:tc>
              <w:tc>
                <w:tcPr>
                  <w:tcW w:w="2059" w:type="dxa"/>
                  <w:vMerge w:val="continue"/>
                  <w:vAlign w:val="center"/>
                </w:tcPr>
                <w:p w14:paraId="6327BEE3">
                  <w:pPr>
                    <w:adjustRightInd w:val="0"/>
                    <w:snapToGrid w:val="0"/>
                    <w:jc w:val="center"/>
                    <w:rPr>
                      <w:color w:val="auto"/>
                      <w:szCs w:val="21"/>
                    </w:rPr>
                  </w:pPr>
                </w:p>
              </w:tc>
              <w:tc>
                <w:tcPr>
                  <w:tcW w:w="2080" w:type="dxa"/>
                  <w:vAlign w:val="center"/>
                </w:tcPr>
                <w:p w14:paraId="30DCFA98">
                  <w:pPr>
                    <w:adjustRightInd w:val="0"/>
                    <w:snapToGrid w:val="0"/>
                    <w:ind w:left="-63" w:leftChars="-30" w:right="-63" w:rightChars="-30"/>
                    <w:jc w:val="center"/>
                    <w:rPr>
                      <w:color w:val="auto"/>
                      <w:szCs w:val="21"/>
                    </w:rPr>
                  </w:pPr>
                  <w:r>
                    <w:rPr>
                      <w:color w:val="auto"/>
                      <w:szCs w:val="21"/>
                    </w:rPr>
                    <w:t>NH</w:t>
                  </w:r>
                  <w:r>
                    <w:rPr>
                      <w:color w:val="auto"/>
                      <w:szCs w:val="21"/>
                      <w:vertAlign w:val="subscript"/>
                    </w:rPr>
                    <w:t>3</w:t>
                  </w:r>
                  <w:r>
                    <w:rPr>
                      <w:color w:val="auto"/>
                      <w:szCs w:val="21"/>
                    </w:rPr>
                    <w:t>-N</w:t>
                  </w:r>
                </w:p>
              </w:tc>
              <w:tc>
                <w:tcPr>
                  <w:tcW w:w="2495" w:type="dxa"/>
                  <w:vAlign w:val="center"/>
                </w:tcPr>
                <w:p w14:paraId="615A5C32">
                  <w:pPr>
                    <w:adjustRightInd w:val="0"/>
                    <w:snapToGrid w:val="0"/>
                    <w:jc w:val="center"/>
                    <w:rPr>
                      <w:color w:val="auto"/>
                      <w:szCs w:val="21"/>
                    </w:rPr>
                  </w:pPr>
                  <w:r>
                    <w:rPr>
                      <w:rFonts w:hint="eastAsia"/>
                      <w:color w:val="auto"/>
                      <w:szCs w:val="21"/>
                    </w:rPr>
                    <w:t>20</w:t>
                  </w:r>
                </w:p>
              </w:tc>
              <w:tc>
                <w:tcPr>
                  <w:tcW w:w="2287" w:type="dxa"/>
                  <w:vAlign w:val="center"/>
                </w:tcPr>
                <w:p w14:paraId="3D748C60">
                  <w:pPr>
                    <w:adjustRightInd w:val="0"/>
                    <w:snapToGrid w:val="0"/>
                    <w:jc w:val="center"/>
                    <w:rPr>
                      <w:rFonts w:hint="default" w:eastAsia="宋体"/>
                      <w:color w:val="auto"/>
                      <w:szCs w:val="21"/>
                      <w:lang w:val="en-US" w:eastAsia="zh-CN"/>
                    </w:rPr>
                  </w:pPr>
                  <w:r>
                    <w:rPr>
                      <w:color w:val="auto"/>
                      <w:szCs w:val="21"/>
                    </w:rPr>
                    <w:t>0.</w:t>
                  </w:r>
                  <w:r>
                    <w:rPr>
                      <w:rFonts w:hint="eastAsia"/>
                      <w:color w:val="auto"/>
                      <w:szCs w:val="21"/>
                    </w:rPr>
                    <w:t>0</w:t>
                  </w:r>
                  <w:r>
                    <w:rPr>
                      <w:rFonts w:hint="eastAsia"/>
                      <w:color w:val="auto"/>
                      <w:szCs w:val="21"/>
                      <w:lang w:val="en-US" w:eastAsia="zh-CN"/>
                    </w:rPr>
                    <w:t>016</w:t>
                  </w:r>
                </w:p>
              </w:tc>
              <w:tc>
                <w:tcPr>
                  <w:tcW w:w="2493" w:type="dxa"/>
                  <w:vAlign w:val="center"/>
                </w:tcPr>
                <w:p w14:paraId="3F0BDED2">
                  <w:pPr>
                    <w:adjustRightInd w:val="0"/>
                    <w:snapToGrid w:val="0"/>
                    <w:jc w:val="center"/>
                    <w:rPr>
                      <w:rFonts w:hint="default" w:eastAsia="宋体"/>
                      <w:color w:val="auto"/>
                      <w:szCs w:val="21"/>
                      <w:lang w:val="en-US" w:eastAsia="zh-CN"/>
                    </w:rPr>
                  </w:pPr>
                  <w:r>
                    <w:rPr>
                      <w:color w:val="auto"/>
                      <w:szCs w:val="21"/>
                    </w:rPr>
                    <w:t>0.0</w:t>
                  </w:r>
                  <w:r>
                    <w:rPr>
                      <w:rFonts w:hint="eastAsia"/>
                      <w:color w:val="auto"/>
                      <w:szCs w:val="21"/>
                      <w:lang w:val="en-US" w:eastAsia="zh-CN"/>
                    </w:rPr>
                    <w:t>005</w:t>
                  </w:r>
                </w:p>
              </w:tc>
            </w:tr>
            <w:tr w14:paraId="274B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19" w:type="dxa"/>
                  <w:gridSpan w:val="2"/>
                  <w:vMerge w:val="restart"/>
                  <w:vAlign w:val="center"/>
                </w:tcPr>
                <w:p w14:paraId="77C2A592">
                  <w:pPr>
                    <w:adjustRightInd w:val="0"/>
                    <w:snapToGrid w:val="0"/>
                    <w:jc w:val="center"/>
                    <w:rPr>
                      <w:color w:val="auto"/>
                      <w:szCs w:val="21"/>
                    </w:rPr>
                  </w:pPr>
                  <w:r>
                    <w:rPr>
                      <w:color w:val="auto"/>
                      <w:szCs w:val="21"/>
                    </w:rPr>
                    <w:t>全厂排放口合计</w:t>
                  </w:r>
                </w:p>
              </w:tc>
              <w:tc>
                <w:tcPr>
                  <w:tcW w:w="6862" w:type="dxa"/>
                  <w:gridSpan w:val="3"/>
                  <w:vAlign w:val="center"/>
                </w:tcPr>
                <w:p w14:paraId="4A508F49">
                  <w:pPr>
                    <w:adjustRightInd w:val="0"/>
                    <w:snapToGrid w:val="0"/>
                    <w:jc w:val="center"/>
                    <w:rPr>
                      <w:color w:val="auto"/>
                      <w:szCs w:val="21"/>
                    </w:rPr>
                  </w:pPr>
                  <w:r>
                    <w:rPr>
                      <w:color w:val="auto"/>
                      <w:szCs w:val="21"/>
                    </w:rPr>
                    <w:t>COD</w:t>
                  </w:r>
                  <w:r>
                    <w:rPr>
                      <w:color w:val="auto"/>
                      <w:szCs w:val="21"/>
                      <w:vertAlign w:val="subscript"/>
                    </w:rPr>
                    <w:t>Cr</w:t>
                  </w:r>
                </w:p>
              </w:tc>
              <w:tc>
                <w:tcPr>
                  <w:tcW w:w="2493" w:type="dxa"/>
                  <w:vAlign w:val="center"/>
                </w:tcPr>
                <w:p w14:paraId="724384C8">
                  <w:pPr>
                    <w:adjustRightInd w:val="0"/>
                    <w:snapToGrid w:val="0"/>
                    <w:jc w:val="center"/>
                    <w:rPr>
                      <w:color w:val="auto"/>
                      <w:szCs w:val="21"/>
                    </w:rPr>
                  </w:pPr>
                  <w:r>
                    <w:rPr>
                      <w:color w:val="auto"/>
                      <w:szCs w:val="21"/>
                    </w:rPr>
                    <w:t>0.</w:t>
                  </w:r>
                  <w:r>
                    <w:rPr>
                      <w:rFonts w:hint="eastAsia"/>
                      <w:color w:val="auto"/>
                      <w:szCs w:val="21"/>
                    </w:rPr>
                    <w:t>1</w:t>
                  </w:r>
                  <w:r>
                    <w:rPr>
                      <w:rFonts w:hint="eastAsia"/>
                      <w:color w:val="auto"/>
                      <w:szCs w:val="21"/>
                      <w:lang w:val="en-US" w:eastAsia="zh-CN"/>
                    </w:rPr>
                    <w:t>0</w:t>
                  </w:r>
                  <w:r>
                    <w:rPr>
                      <w:rFonts w:hint="eastAsia"/>
                      <w:color w:val="auto"/>
                      <w:szCs w:val="21"/>
                    </w:rPr>
                    <w:t>8</w:t>
                  </w:r>
                </w:p>
              </w:tc>
            </w:tr>
            <w:tr w14:paraId="15D8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119" w:type="dxa"/>
                  <w:gridSpan w:val="2"/>
                  <w:vMerge w:val="continue"/>
                  <w:vAlign w:val="center"/>
                </w:tcPr>
                <w:p w14:paraId="61CB52CB">
                  <w:pPr>
                    <w:adjustRightInd w:val="0"/>
                    <w:snapToGrid w:val="0"/>
                    <w:jc w:val="center"/>
                    <w:rPr>
                      <w:color w:val="auto"/>
                      <w:szCs w:val="21"/>
                    </w:rPr>
                  </w:pPr>
                </w:p>
              </w:tc>
              <w:tc>
                <w:tcPr>
                  <w:tcW w:w="6862" w:type="dxa"/>
                  <w:gridSpan w:val="3"/>
                  <w:vAlign w:val="center"/>
                </w:tcPr>
                <w:p w14:paraId="41EAB227">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2493" w:type="dxa"/>
                  <w:vAlign w:val="center"/>
                </w:tcPr>
                <w:p w14:paraId="5E6AAC56">
                  <w:pPr>
                    <w:adjustRightInd w:val="0"/>
                    <w:snapToGrid w:val="0"/>
                    <w:jc w:val="center"/>
                    <w:rPr>
                      <w:rFonts w:hint="default" w:eastAsia="宋体"/>
                      <w:color w:val="auto"/>
                      <w:szCs w:val="21"/>
                      <w:lang w:val="en-US" w:eastAsia="zh-CN"/>
                    </w:rPr>
                  </w:pPr>
                  <w:r>
                    <w:rPr>
                      <w:color w:val="auto"/>
                      <w:szCs w:val="21"/>
                    </w:rPr>
                    <w:t>0.0</w:t>
                  </w:r>
                  <w:r>
                    <w:rPr>
                      <w:rFonts w:hint="eastAsia"/>
                      <w:color w:val="auto"/>
                      <w:szCs w:val="21"/>
                      <w:lang w:val="en-US" w:eastAsia="zh-CN"/>
                    </w:rPr>
                    <w:t>005</w:t>
                  </w:r>
                </w:p>
              </w:tc>
            </w:tr>
          </w:tbl>
          <w:p w14:paraId="2D871487">
            <w:pPr>
              <w:spacing w:line="420" w:lineRule="exact"/>
              <w:rPr>
                <w:bCs/>
                <w:color w:val="auto"/>
                <w:spacing w:val="-10"/>
              </w:rPr>
            </w:pPr>
            <w:r>
              <w:rPr>
                <w:rFonts w:hint="eastAsia" w:ascii="宋体" w:hAnsi="宋体"/>
                <w:b/>
                <w:color w:val="auto"/>
                <w:sz w:val="24"/>
              </w:rPr>
              <w:t xml:space="preserve"> （</w:t>
            </w:r>
            <w:r>
              <w:rPr>
                <w:rFonts w:hint="eastAsia"/>
                <w:b/>
                <w:color w:val="auto"/>
                <w:sz w:val="24"/>
              </w:rPr>
              <w:t>2</w:t>
            </w:r>
            <w:r>
              <w:rPr>
                <w:rFonts w:hint="eastAsia" w:ascii="宋体" w:hAnsi="宋体"/>
                <w:b/>
                <w:color w:val="auto"/>
                <w:sz w:val="24"/>
              </w:rPr>
              <w:t>）</w:t>
            </w:r>
            <w:r>
              <w:rPr>
                <w:rFonts w:hAnsi="宋体"/>
                <w:b/>
                <w:bCs/>
                <w:color w:val="auto"/>
                <w:spacing w:val="-10"/>
                <w:sz w:val="24"/>
              </w:rPr>
              <w:t>废水类别、污染物种类及污染防治措施</w:t>
            </w:r>
          </w:p>
          <w:p w14:paraId="2E7FAA5B">
            <w:pPr>
              <w:pStyle w:val="108"/>
              <w:spacing w:line="420" w:lineRule="exact"/>
              <w:ind w:firstLine="480"/>
              <w:rPr>
                <w:rFonts w:eastAsia="宋体"/>
                <w:bCs/>
                <w:color w:val="auto"/>
                <w:spacing w:val="-10"/>
                <w:szCs w:val="24"/>
              </w:rPr>
            </w:pPr>
            <w:r>
              <w:rPr>
                <w:rFonts w:hAnsi="宋体" w:eastAsia="宋体"/>
                <w:color w:val="auto"/>
              </w:rPr>
              <w:t>结合项目情况</w:t>
            </w:r>
            <w:r>
              <w:rPr>
                <w:rFonts w:hint="eastAsia" w:hAnsi="宋体" w:eastAsia="宋体"/>
                <w:color w:val="auto"/>
              </w:rPr>
              <w:t>和</w:t>
            </w:r>
            <w:r>
              <w:rPr>
                <w:rFonts w:hint="eastAsia" w:hAnsi="新宋体" w:eastAsia="新宋体"/>
                <w:bCs/>
                <w:color w:val="auto"/>
                <w:szCs w:val="24"/>
              </w:rPr>
              <w:t>《排污单位自行监测技术指南 总则》（HJ819-2017）</w:t>
            </w:r>
            <w:r>
              <w:rPr>
                <w:rFonts w:hint="eastAsia" w:hAnsi="新宋体" w:eastAsia="新宋体"/>
                <w:bCs/>
                <w:color w:val="auto"/>
                <w:szCs w:val="24"/>
                <w:lang w:eastAsia="zh-CN"/>
              </w:rPr>
              <w:t>、</w:t>
            </w:r>
            <w:r>
              <w:rPr>
                <w:rFonts w:hint="eastAsia" w:eastAsia="宋体"/>
                <w:color w:val="auto"/>
              </w:rPr>
              <w:t>《排污单位自行监测技术指南 橡胶和塑料制品》（HJ1207-2021）</w:t>
            </w:r>
            <w:r>
              <w:rPr>
                <w:rFonts w:hAnsi="新宋体" w:eastAsia="新宋体"/>
                <w:bCs/>
                <w:color w:val="auto"/>
                <w:szCs w:val="24"/>
              </w:rPr>
              <w:t>，</w:t>
            </w:r>
            <w:r>
              <w:rPr>
                <w:rFonts w:hAnsi="宋体" w:eastAsia="宋体"/>
                <w:color w:val="auto"/>
              </w:rPr>
              <w:t>本项目废水类别</w:t>
            </w:r>
            <w:r>
              <w:rPr>
                <w:rFonts w:hAnsi="宋体" w:eastAsia="宋体"/>
                <w:bCs/>
                <w:color w:val="auto"/>
                <w:spacing w:val="-10"/>
                <w:szCs w:val="24"/>
              </w:rPr>
              <w:t>、污染物种类及污染防治措施一览见表</w:t>
            </w:r>
            <w:r>
              <w:rPr>
                <w:rFonts w:eastAsia="宋体"/>
                <w:bCs/>
                <w:color w:val="auto"/>
                <w:spacing w:val="-10"/>
                <w:szCs w:val="24"/>
              </w:rPr>
              <w:t>4-</w:t>
            </w:r>
            <w:r>
              <w:rPr>
                <w:rFonts w:hint="eastAsia" w:eastAsia="宋体"/>
                <w:bCs/>
                <w:color w:val="auto"/>
                <w:spacing w:val="-10"/>
                <w:szCs w:val="24"/>
              </w:rPr>
              <w:t>1</w:t>
            </w:r>
            <w:r>
              <w:rPr>
                <w:rFonts w:hint="eastAsia" w:eastAsia="宋体"/>
                <w:bCs/>
                <w:color w:val="auto"/>
                <w:spacing w:val="-10"/>
                <w:szCs w:val="24"/>
                <w:lang w:val="en-US" w:eastAsia="zh-CN"/>
              </w:rPr>
              <w:t>7</w:t>
            </w:r>
            <w:r>
              <w:rPr>
                <w:rFonts w:hAnsi="宋体" w:eastAsia="宋体"/>
                <w:bCs/>
                <w:color w:val="auto"/>
                <w:spacing w:val="-10"/>
                <w:szCs w:val="24"/>
              </w:rPr>
              <w:t>。</w:t>
            </w:r>
          </w:p>
          <w:p w14:paraId="2060640F">
            <w:pPr>
              <w:pStyle w:val="108"/>
              <w:ind w:firstLine="0" w:firstLineChars="0"/>
              <w:jc w:val="center"/>
              <w:rPr>
                <w:rFonts w:eastAsia="宋体"/>
                <w:b/>
                <w:color w:val="auto"/>
                <w:sz w:val="21"/>
              </w:rPr>
            </w:pPr>
            <w:r>
              <w:rPr>
                <w:rFonts w:hAnsi="宋体" w:eastAsia="宋体"/>
                <w:b/>
                <w:color w:val="auto"/>
                <w:sz w:val="21"/>
              </w:rPr>
              <w:t>表</w:t>
            </w:r>
            <w:r>
              <w:rPr>
                <w:rFonts w:eastAsia="宋体"/>
                <w:b/>
                <w:color w:val="auto"/>
                <w:sz w:val="21"/>
              </w:rPr>
              <w:t>4-</w:t>
            </w:r>
            <w:r>
              <w:rPr>
                <w:rFonts w:hint="eastAsia" w:eastAsia="宋体"/>
                <w:b/>
                <w:color w:val="auto"/>
                <w:sz w:val="21"/>
              </w:rPr>
              <w:t>1</w:t>
            </w:r>
            <w:r>
              <w:rPr>
                <w:rFonts w:hint="eastAsia" w:eastAsia="宋体"/>
                <w:b/>
                <w:color w:val="auto"/>
                <w:sz w:val="21"/>
                <w:lang w:val="en-US" w:eastAsia="zh-CN"/>
              </w:rPr>
              <w:t>7</w:t>
            </w:r>
            <w:r>
              <w:rPr>
                <w:rFonts w:hint="eastAsia" w:eastAsia="宋体"/>
                <w:b/>
                <w:color w:val="auto"/>
                <w:sz w:val="21"/>
              </w:rPr>
              <w:t xml:space="preserve">  </w:t>
            </w:r>
            <w:r>
              <w:rPr>
                <w:rFonts w:hAnsi="宋体" w:eastAsia="宋体"/>
                <w:b/>
                <w:color w:val="auto"/>
                <w:sz w:val="21"/>
              </w:rPr>
              <w:t>废水类别、污染物种类及污染防治措施一览表</w:t>
            </w:r>
          </w:p>
          <w:tbl>
            <w:tblPr>
              <w:tblStyle w:val="37"/>
              <w:tblW w:w="8516"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880"/>
              <w:gridCol w:w="2038"/>
              <w:gridCol w:w="1147"/>
              <w:gridCol w:w="1227"/>
              <w:gridCol w:w="1119"/>
            </w:tblGrid>
            <w:tr w14:paraId="53E1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vMerge w:val="restart"/>
                  <w:vAlign w:val="center"/>
                </w:tcPr>
                <w:p w14:paraId="75888CBF">
                  <w:pPr>
                    <w:pStyle w:val="109"/>
                    <w:autoSpaceDE/>
                    <w:autoSpaceDN/>
                    <w:adjustRightInd/>
                    <w:snapToGrid w:val="0"/>
                    <w:spacing w:before="0"/>
                    <w:rPr>
                      <w:b/>
                      <w:color w:val="auto"/>
                      <w:sz w:val="21"/>
                      <w:szCs w:val="21"/>
                    </w:rPr>
                  </w:pPr>
                  <w:r>
                    <w:rPr>
                      <w:rFonts w:hAnsi="宋体"/>
                      <w:b/>
                      <w:color w:val="auto"/>
                      <w:sz w:val="21"/>
                      <w:szCs w:val="21"/>
                    </w:rPr>
                    <w:t>废水类别或废水来源</w:t>
                  </w:r>
                </w:p>
              </w:tc>
              <w:tc>
                <w:tcPr>
                  <w:tcW w:w="1880" w:type="dxa"/>
                  <w:vMerge w:val="restart"/>
                  <w:vAlign w:val="center"/>
                </w:tcPr>
                <w:p w14:paraId="11ABF487">
                  <w:pPr>
                    <w:pStyle w:val="109"/>
                    <w:autoSpaceDE/>
                    <w:autoSpaceDN/>
                    <w:adjustRightInd/>
                    <w:snapToGrid w:val="0"/>
                    <w:spacing w:before="0"/>
                    <w:rPr>
                      <w:b/>
                      <w:color w:val="auto"/>
                      <w:sz w:val="21"/>
                      <w:szCs w:val="21"/>
                    </w:rPr>
                  </w:pPr>
                  <w:r>
                    <w:rPr>
                      <w:rFonts w:hAnsi="宋体"/>
                      <w:b/>
                      <w:color w:val="auto"/>
                      <w:sz w:val="21"/>
                      <w:szCs w:val="21"/>
                    </w:rPr>
                    <w:t>污染物种类</w:t>
                  </w:r>
                </w:p>
              </w:tc>
              <w:tc>
                <w:tcPr>
                  <w:tcW w:w="3185" w:type="dxa"/>
                  <w:gridSpan w:val="2"/>
                  <w:vAlign w:val="center"/>
                </w:tcPr>
                <w:p w14:paraId="7F34350B">
                  <w:pPr>
                    <w:pStyle w:val="109"/>
                    <w:autoSpaceDE/>
                    <w:autoSpaceDN/>
                    <w:adjustRightInd/>
                    <w:snapToGrid w:val="0"/>
                    <w:spacing w:before="0"/>
                    <w:rPr>
                      <w:b/>
                      <w:color w:val="auto"/>
                      <w:sz w:val="21"/>
                      <w:szCs w:val="21"/>
                    </w:rPr>
                  </w:pPr>
                  <w:r>
                    <w:rPr>
                      <w:rFonts w:hAnsi="宋体"/>
                      <w:b/>
                      <w:color w:val="auto"/>
                      <w:sz w:val="21"/>
                      <w:szCs w:val="21"/>
                    </w:rPr>
                    <w:t>污染防治设施</w:t>
                  </w:r>
                </w:p>
              </w:tc>
              <w:tc>
                <w:tcPr>
                  <w:tcW w:w="1227" w:type="dxa"/>
                  <w:vMerge w:val="restart"/>
                  <w:vAlign w:val="center"/>
                </w:tcPr>
                <w:p w14:paraId="0C8D50A8">
                  <w:pPr>
                    <w:pStyle w:val="109"/>
                    <w:autoSpaceDE/>
                    <w:autoSpaceDN/>
                    <w:adjustRightInd/>
                    <w:snapToGrid w:val="0"/>
                    <w:spacing w:before="0"/>
                    <w:rPr>
                      <w:b/>
                      <w:color w:val="auto"/>
                      <w:sz w:val="21"/>
                      <w:szCs w:val="21"/>
                    </w:rPr>
                  </w:pPr>
                  <w:r>
                    <w:rPr>
                      <w:rFonts w:hAnsi="宋体"/>
                      <w:b/>
                      <w:color w:val="auto"/>
                      <w:sz w:val="21"/>
                      <w:szCs w:val="21"/>
                    </w:rPr>
                    <w:t>排放去向</w:t>
                  </w:r>
                </w:p>
              </w:tc>
              <w:tc>
                <w:tcPr>
                  <w:tcW w:w="1119" w:type="dxa"/>
                  <w:vMerge w:val="restart"/>
                  <w:vAlign w:val="center"/>
                </w:tcPr>
                <w:p w14:paraId="4F7142BC">
                  <w:pPr>
                    <w:pStyle w:val="109"/>
                    <w:autoSpaceDE/>
                    <w:autoSpaceDN/>
                    <w:adjustRightInd/>
                    <w:snapToGrid w:val="0"/>
                    <w:spacing w:before="0"/>
                    <w:rPr>
                      <w:b/>
                      <w:color w:val="auto"/>
                      <w:sz w:val="21"/>
                      <w:szCs w:val="21"/>
                    </w:rPr>
                  </w:pPr>
                  <w:r>
                    <w:rPr>
                      <w:rFonts w:hAnsi="宋体"/>
                      <w:b/>
                      <w:color w:val="auto"/>
                      <w:sz w:val="21"/>
                      <w:szCs w:val="21"/>
                    </w:rPr>
                    <w:t>排放口类型</w:t>
                  </w:r>
                </w:p>
              </w:tc>
            </w:tr>
            <w:tr w14:paraId="1D19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vMerge w:val="continue"/>
                  <w:vAlign w:val="center"/>
                </w:tcPr>
                <w:p w14:paraId="25929812">
                  <w:pPr>
                    <w:pStyle w:val="109"/>
                    <w:autoSpaceDE/>
                    <w:autoSpaceDN/>
                    <w:adjustRightInd/>
                    <w:snapToGrid w:val="0"/>
                    <w:spacing w:before="0"/>
                    <w:rPr>
                      <w:b/>
                      <w:color w:val="auto"/>
                      <w:sz w:val="21"/>
                      <w:szCs w:val="21"/>
                    </w:rPr>
                  </w:pPr>
                </w:p>
              </w:tc>
              <w:tc>
                <w:tcPr>
                  <w:tcW w:w="1880" w:type="dxa"/>
                  <w:vMerge w:val="continue"/>
                  <w:vAlign w:val="center"/>
                </w:tcPr>
                <w:p w14:paraId="477C15E0">
                  <w:pPr>
                    <w:pStyle w:val="109"/>
                    <w:autoSpaceDE/>
                    <w:autoSpaceDN/>
                    <w:adjustRightInd/>
                    <w:snapToGrid w:val="0"/>
                    <w:spacing w:before="0"/>
                    <w:rPr>
                      <w:b/>
                      <w:color w:val="auto"/>
                      <w:sz w:val="21"/>
                      <w:szCs w:val="21"/>
                    </w:rPr>
                  </w:pPr>
                </w:p>
              </w:tc>
              <w:tc>
                <w:tcPr>
                  <w:tcW w:w="2038" w:type="dxa"/>
                  <w:vAlign w:val="center"/>
                </w:tcPr>
                <w:p w14:paraId="168E48C2">
                  <w:pPr>
                    <w:pStyle w:val="109"/>
                    <w:autoSpaceDE/>
                    <w:autoSpaceDN/>
                    <w:adjustRightInd/>
                    <w:snapToGrid w:val="0"/>
                    <w:spacing w:before="0"/>
                    <w:rPr>
                      <w:b/>
                      <w:color w:val="auto"/>
                      <w:sz w:val="21"/>
                      <w:szCs w:val="21"/>
                    </w:rPr>
                  </w:pPr>
                  <w:r>
                    <w:rPr>
                      <w:rFonts w:hAnsi="宋体"/>
                      <w:b/>
                      <w:color w:val="auto"/>
                      <w:sz w:val="21"/>
                      <w:szCs w:val="21"/>
                    </w:rPr>
                    <w:t>污染防治设施名称及工艺</w:t>
                  </w:r>
                </w:p>
              </w:tc>
              <w:tc>
                <w:tcPr>
                  <w:tcW w:w="1147" w:type="dxa"/>
                  <w:vAlign w:val="center"/>
                </w:tcPr>
                <w:p w14:paraId="26BB01F7">
                  <w:pPr>
                    <w:pStyle w:val="109"/>
                    <w:autoSpaceDE/>
                    <w:autoSpaceDN/>
                    <w:adjustRightInd/>
                    <w:snapToGrid w:val="0"/>
                    <w:spacing w:before="0"/>
                    <w:rPr>
                      <w:b/>
                      <w:color w:val="auto"/>
                      <w:sz w:val="21"/>
                      <w:szCs w:val="21"/>
                    </w:rPr>
                  </w:pPr>
                  <w:r>
                    <w:rPr>
                      <w:rFonts w:hAnsi="宋体"/>
                      <w:b/>
                      <w:color w:val="auto"/>
                      <w:sz w:val="21"/>
                      <w:szCs w:val="21"/>
                    </w:rPr>
                    <w:t>是否为可行技术</w:t>
                  </w:r>
                </w:p>
              </w:tc>
              <w:tc>
                <w:tcPr>
                  <w:tcW w:w="1227" w:type="dxa"/>
                  <w:vMerge w:val="continue"/>
                  <w:vAlign w:val="center"/>
                </w:tcPr>
                <w:p w14:paraId="02E64250">
                  <w:pPr>
                    <w:pStyle w:val="109"/>
                    <w:autoSpaceDE/>
                    <w:autoSpaceDN/>
                    <w:adjustRightInd/>
                    <w:snapToGrid w:val="0"/>
                    <w:spacing w:before="0"/>
                    <w:rPr>
                      <w:color w:val="auto"/>
                      <w:sz w:val="21"/>
                      <w:szCs w:val="21"/>
                    </w:rPr>
                  </w:pPr>
                </w:p>
              </w:tc>
              <w:tc>
                <w:tcPr>
                  <w:tcW w:w="1119" w:type="dxa"/>
                  <w:vMerge w:val="continue"/>
                  <w:vAlign w:val="center"/>
                </w:tcPr>
                <w:p w14:paraId="537A6DAD">
                  <w:pPr>
                    <w:pStyle w:val="109"/>
                    <w:autoSpaceDE/>
                    <w:autoSpaceDN/>
                    <w:adjustRightInd/>
                    <w:snapToGrid w:val="0"/>
                    <w:spacing w:before="0"/>
                    <w:rPr>
                      <w:color w:val="auto"/>
                      <w:sz w:val="21"/>
                      <w:szCs w:val="21"/>
                    </w:rPr>
                  </w:pPr>
                </w:p>
              </w:tc>
            </w:tr>
            <w:tr w14:paraId="1A77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vAlign w:val="center"/>
                </w:tcPr>
                <w:p w14:paraId="2F8301B7">
                  <w:pPr>
                    <w:pStyle w:val="109"/>
                    <w:autoSpaceDE/>
                    <w:autoSpaceDN/>
                    <w:adjustRightInd/>
                    <w:snapToGrid w:val="0"/>
                    <w:spacing w:before="0"/>
                    <w:rPr>
                      <w:color w:val="auto"/>
                      <w:sz w:val="21"/>
                      <w:szCs w:val="21"/>
                    </w:rPr>
                  </w:pPr>
                  <w:r>
                    <w:rPr>
                      <w:rFonts w:hAnsi="宋体"/>
                      <w:color w:val="auto"/>
                      <w:sz w:val="21"/>
                      <w:szCs w:val="21"/>
                    </w:rPr>
                    <w:t>生活污水</w:t>
                  </w:r>
                </w:p>
              </w:tc>
              <w:tc>
                <w:tcPr>
                  <w:tcW w:w="1880" w:type="dxa"/>
                  <w:vAlign w:val="center"/>
                </w:tcPr>
                <w:p w14:paraId="139F1864">
                  <w:pPr>
                    <w:pStyle w:val="109"/>
                    <w:autoSpaceDE/>
                    <w:autoSpaceDN/>
                    <w:adjustRightInd/>
                    <w:snapToGrid w:val="0"/>
                    <w:spacing w:before="0"/>
                    <w:jc w:val="left"/>
                    <w:rPr>
                      <w:color w:val="auto"/>
                      <w:sz w:val="21"/>
                      <w:szCs w:val="21"/>
                    </w:rPr>
                  </w:pPr>
                  <w:r>
                    <w:rPr>
                      <w:rFonts w:hint="eastAsia"/>
                      <w:color w:val="auto"/>
                      <w:sz w:val="21"/>
                      <w:szCs w:val="21"/>
                    </w:rPr>
                    <w:t>p</w:t>
                  </w:r>
                  <w:r>
                    <w:rPr>
                      <w:color w:val="auto"/>
                      <w:sz w:val="21"/>
                      <w:szCs w:val="21"/>
                    </w:rPr>
                    <w:t>H</w:t>
                  </w:r>
                  <w:r>
                    <w:rPr>
                      <w:rFonts w:hAnsi="宋体"/>
                      <w:color w:val="auto"/>
                      <w:sz w:val="21"/>
                      <w:szCs w:val="21"/>
                    </w:rPr>
                    <w:t>值、</w:t>
                  </w:r>
                  <w:r>
                    <w:rPr>
                      <w:rFonts w:hint="eastAsia" w:hAnsi="宋体"/>
                      <w:color w:val="auto"/>
                      <w:sz w:val="21"/>
                      <w:szCs w:val="21"/>
                    </w:rPr>
                    <w:t>COD</w:t>
                  </w:r>
                  <w:r>
                    <w:rPr>
                      <w:rFonts w:hint="eastAsia" w:hAnsi="宋体"/>
                      <w:color w:val="auto"/>
                      <w:sz w:val="21"/>
                      <w:szCs w:val="21"/>
                      <w:vertAlign w:val="subscript"/>
                    </w:rPr>
                    <w:t>Cr</w:t>
                  </w:r>
                  <w:r>
                    <w:rPr>
                      <w:rFonts w:hAnsi="宋体"/>
                      <w:color w:val="auto"/>
                      <w:sz w:val="21"/>
                      <w:szCs w:val="21"/>
                    </w:rPr>
                    <w:t>、氨氮</w:t>
                  </w:r>
                  <w:r>
                    <w:rPr>
                      <w:rFonts w:hint="eastAsia" w:hAnsi="宋体"/>
                      <w:color w:val="auto"/>
                      <w:sz w:val="21"/>
                      <w:szCs w:val="21"/>
                    </w:rPr>
                    <w:t>等</w:t>
                  </w:r>
                </w:p>
              </w:tc>
              <w:tc>
                <w:tcPr>
                  <w:tcW w:w="2038" w:type="dxa"/>
                  <w:vAlign w:val="center"/>
                </w:tcPr>
                <w:p w14:paraId="06922570">
                  <w:pPr>
                    <w:pStyle w:val="109"/>
                    <w:autoSpaceDE/>
                    <w:autoSpaceDN/>
                    <w:adjustRightInd/>
                    <w:snapToGrid w:val="0"/>
                    <w:spacing w:before="0"/>
                    <w:jc w:val="left"/>
                    <w:rPr>
                      <w:color w:val="auto"/>
                      <w:sz w:val="21"/>
                      <w:szCs w:val="21"/>
                    </w:rPr>
                  </w:pPr>
                  <w:r>
                    <w:rPr>
                      <w:rFonts w:hAnsi="宋体"/>
                      <w:color w:val="auto"/>
                      <w:sz w:val="21"/>
                      <w:szCs w:val="21"/>
                    </w:rPr>
                    <w:t>生活污水处理设施：化粪池</w:t>
                  </w:r>
                </w:p>
              </w:tc>
              <w:tc>
                <w:tcPr>
                  <w:tcW w:w="1147" w:type="dxa"/>
                  <w:vAlign w:val="center"/>
                </w:tcPr>
                <w:p w14:paraId="7A0395B7">
                  <w:pPr>
                    <w:pStyle w:val="109"/>
                    <w:autoSpaceDE/>
                    <w:autoSpaceDN/>
                    <w:adjustRightInd/>
                    <w:snapToGrid w:val="0"/>
                    <w:spacing w:before="0"/>
                    <w:rPr>
                      <w:color w:val="auto"/>
                      <w:sz w:val="21"/>
                      <w:szCs w:val="21"/>
                    </w:rPr>
                  </w:pPr>
                  <w:r>
                    <w:rPr>
                      <w:rFonts w:hAnsi="宋体"/>
                      <w:color w:val="auto"/>
                      <w:sz w:val="21"/>
                      <w:szCs w:val="21"/>
                    </w:rPr>
                    <w:t>是</w:t>
                  </w:r>
                </w:p>
              </w:tc>
              <w:tc>
                <w:tcPr>
                  <w:tcW w:w="1227" w:type="dxa"/>
                  <w:vAlign w:val="center"/>
                </w:tcPr>
                <w:p w14:paraId="24A5566B">
                  <w:pPr>
                    <w:pStyle w:val="109"/>
                    <w:autoSpaceDE/>
                    <w:autoSpaceDN/>
                    <w:adjustRightInd/>
                    <w:snapToGrid w:val="0"/>
                    <w:spacing w:before="0"/>
                    <w:rPr>
                      <w:color w:val="auto"/>
                      <w:sz w:val="21"/>
                      <w:szCs w:val="21"/>
                    </w:rPr>
                  </w:pPr>
                  <w:r>
                    <w:rPr>
                      <w:rFonts w:hAnsi="宋体"/>
                      <w:color w:val="auto"/>
                      <w:sz w:val="21"/>
                      <w:szCs w:val="21"/>
                    </w:rPr>
                    <w:t>市政污水处理厂</w:t>
                  </w:r>
                </w:p>
              </w:tc>
              <w:tc>
                <w:tcPr>
                  <w:tcW w:w="1119" w:type="dxa"/>
                  <w:vAlign w:val="center"/>
                </w:tcPr>
                <w:p w14:paraId="32DC8506">
                  <w:pPr>
                    <w:pStyle w:val="109"/>
                    <w:autoSpaceDE/>
                    <w:autoSpaceDN/>
                    <w:adjustRightInd/>
                    <w:snapToGrid w:val="0"/>
                    <w:spacing w:before="0"/>
                    <w:rPr>
                      <w:color w:val="auto"/>
                      <w:sz w:val="21"/>
                      <w:szCs w:val="21"/>
                    </w:rPr>
                  </w:pPr>
                  <w:r>
                    <w:rPr>
                      <w:rFonts w:hAnsi="宋体"/>
                      <w:color w:val="auto"/>
                      <w:sz w:val="21"/>
                      <w:szCs w:val="21"/>
                    </w:rPr>
                    <w:t>一般排放口</w:t>
                  </w:r>
                </w:p>
              </w:tc>
            </w:tr>
          </w:tbl>
          <w:p w14:paraId="4E8EF71B">
            <w:pPr>
              <w:pStyle w:val="108"/>
              <w:ind w:firstLine="0" w:firstLineChars="0"/>
              <w:rPr>
                <w:rFonts w:eastAsia="宋体"/>
                <w:b/>
                <w:bCs/>
                <w:color w:val="auto"/>
                <w:spacing w:val="-10"/>
                <w:szCs w:val="24"/>
              </w:rPr>
            </w:pPr>
            <w:r>
              <w:rPr>
                <w:rFonts w:eastAsia="宋体"/>
                <w:b/>
                <w:bCs/>
                <w:color w:val="auto"/>
                <w:spacing w:val="-10"/>
                <w:szCs w:val="24"/>
              </w:rPr>
              <w:t>（3）达标排放情况</w:t>
            </w:r>
          </w:p>
          <w:p w14:paraId="5D6E6570">
            <w:pPr>
              <w:pStyle w:val="108"/>
              <w:ind w:firstLine="480"/>
              <w:rPr>
                <w:rFonts w:eastAsia="宋体"/>
                <w:color w:val="auto"/>
                <w:szCs w:val="24"/>
              </w:rPr>
            </w:pPr>
            <w:r>
              <w:rPr>
                <w:rFonts w:eastAsia="宋体"/>
                <w:color w:val="auto"/>
                <w:szCs w:val="24"/>
              </w:rPr>
              <w:t>本项目废水达标情况从以下两方面进行：</w:t>
            </w:r>
          </w:p>
          <w:p w14:paraId="53BAB265">
            <w:pPr>
              <w:pStyle w:val="108"/>
              <w:ind w:left="480" w:firstLine="0" w:firstLineChars="0"/>
              <w:rPr>
                <w:rFonts w:eastAsia="宋体"/>
                <w:color w:val="auto"/>
                <w:szCs w:val="24"/>
              </w:rPr>
            </w:pPr>
            <w:r>
              <w:rPr>
                <w:rFonts w:eastAsia="宋体"/>
                <w:color w:val="auto"/>
                <w:szCs w:val="24"/>
              </w:rPr>
              <w:t>a、水污染控制和水环境影响减缓措施有效性评价。</w:t>
            </w:r>
          </w:p>
          <w:p w14:paraId="221FA9F2">
            <w:pPr>
              <w:pStyle w:val="108"/>
              <w:ind w:firstLine="0" w:firstLineChars="0"/>
              <w:rPr>
                <w:rFonts w:eastAsia="宋体"/>
                <w:color w:val="auto"/>
                <w:szCs w:val="24"/>
              </w:rPr>
            </w:pPr>
            <w:r>
              <w:rPr>
                <w:rFonts w:eastAsia="宋体"/>
                <w:color w:val="auto"/>
                <w:szCs w:val="24"/>
              </w:rPr>
              <w:t xml:space="preserve">    企业所在区域市政污水管网已经建成并接通使用，废水最终汇至安吉净源污水处理有限公司城北污水处理厂；项目营运过程中无相关生产废水产生，排放的废水仅为生活污水，其主要污染因子较为简单，主要为COD</w:t>
            </w:r>
            <w:r>
              <w:rPr>
                <w:rFonts w:eastAsia="宋体"/>
                <w:color w:val="auto"/>
                <w:szCs w:val="24"/>
                <w:vertAlign w:val="subscript"/>
              </w:rPr>
              <w:t>Cr</w:t>
            </w:r>
            <w:r>
              <w:rPr>
                <w:rFonts w:eastAsia="宋体"/>
                <w:color w:val="auto"/>
                <w:szCs w:val="24"/>
              </w:rPr>
              <w:t>、NH</w:t>
            </w:r>
            <w:r>
              <w:rPr>
                <w:rFonts w:eastAsia="宋体"/>
                <w:color w:val="auto"/>
                <w:szCs w:val="24"/>
                <w:vertAlign w:val="subscript"/>
              </w:rPr>
              <w:t>3</w:t>
            </w:r>
            <w:r>
              <w:rPr>
                <w:rFonts w:eastAsia="宋体"/>
                <w:color w:val="auto"/>
                <w:szCs w:val="24"/>
              </w:rPr>
              <w:t>-N等，经化粪池预处理后，可以达到安吉净源污水处理有限公司城北污水处理厂纳管标准。</w:t>
            </w:r>
          </w:p>
          <w:p w14:paraId="4D1016B6">
            <w:pPr>
              <w:pStyle w:val="108"/>
              <w:ind w:firstLine="480"/>
              <w:rPr>
                <w:rFonts w:eastAsia="宋体"/>
                <w:color w:val="auto"/>
                <w:szCs w:val="22"/>
              </w:rPr>
            </w:pPr>
            <w:r>
              <w:rPr>
                <w:rFonts w:eastAsia="宋体"/>
                <w:color w:val="auto"/>
                <w:szCs w:val="22"/>
              </w:rPr>
              <w:t>b、依托集中污水处理设施的环境可行性评价。</w:t>
            </w:r>
          </w:p>
          <w:p w14:paraId="30FEE6A4">
            <w:pPr>
              <w:pStyle w:val="274"/>
              <w:spacing w:line="440" w:lineRule="exact"/>
              <w:ind w:left="130" w:right="102" w:firstLine="459"/>
              <w:rPr>
                <w:rFonts w:ascii="Times New Roman" w:hAnsi="Times New Roman" w:cs="Times New Roman"/>
                <w:color w:val="auto"/>
                <w:lang w:eastAsia="zh-CN"/>
              </w:rPr>
            </w:pPr>
            <w:r>
              <w:rPr>
                <w:rFonts w:ascii="Times New Roman" w:hAnsi="Times New Roman" w:cs="Times New Roman"/>
                <w:color w:val="auto"/>
                <w:lang w:eastAsia="zh-CN"/>
              </w:rPr>
              <w:t>安吉净源污水处理有限公司城北污水处理厂位于安吉县城北新区经一路、灵峰北路和西港溪三者合围的区块内，一期以“微絮凝+V型滤池过滤+二氧化氯消毒”三级处理工艺；二期以“絮凝反应高效沉淀+纤维滤布过滤”三级处理工艺，三期采用“预处理+MABR+混凝沉淀+纤维滤布过滤+次氯酸钠消毒”工艺，目前该污水处理厂一期、二期、三期工程均已全部通过验收，废水处理设计总规模9.8万m</w:t>
            </w:r>
            <w:r>
              <w:rPr>
                <w:rFonts w:ascii="Times New Roman" w:hAnsi="Times New Roman" w:cs="Times New Roman"/>
                <w:color w:val="auto"/>
                <w:vertAlign w:val="superscript"/>
                <w:lang w:eastAsia="zh-CN"/>
              </w:rPr>
              <w:t>3</w:t>
            </w:r>
            <w:r>
              <w:rPr>
                <w:rFonts w:ascii="Times New Roman" w:hAnsi="Times New Roman" w:cs="Times New Roman"/>
                <w:color w:val="auto"/>
                <w:lang w:eastAsia="zh-CN"/>
              </w:rPr>
              <w:t>/d。根据浙江省重点排污单位自行监测信息公开平台数据可知，目前日处理量约5.9万m</w:t>
            </w:r>
            <w:r>
              <w:rPr>
                <w:rFonts w:ascii="Times New Roman" w:hAnsi="Times New Roman" w:cs="Times New Roman"/>
                <w:color w:val="auto"/>
                <w:vertAlign w:val="superscript"/>
                <w:lang w:eastAsia="zh-CN"/>
              </w:rPr>
              <w:t>3</w:t>
            </w:r>
            <w:r>
              <w:rPr>
                <w:rFonts w:ascii="Times New Roman" w:hAnsi="Times New Roman" w:cs="Times New Roman"/>
                <w:color w:val="auto"/>
                <w:lang w:eastAsia="zh-CN"/>
              </w:rPr>
              <w:t>/d，在其处理能力范围内，尾水排入西苕溪，执行《城镇污水处理厂污染物排放标准》(GB18918-2002)中的一级A标准</w:t>
            </w:r>
            <w:r>
              <w:rPr>
                <w:rFonts w:ascii="Times New Roman" w:hAnsi="Times New Roman" w:cs="Times New Roman"/>
                <w:color w:val="auto"/>
                <w:spacing w:val="-9"/>
                <w:lang w:eastAsia="zh-CN"/>
              </w:rPr>
              <w:t>（其中</w:t>
            </w:r>
            <w:r>
              <w:rPr>
                <w:rFonts w:ascii="Times New Roman" w:hAnsi="Times New Roman" w:cs="Times New Roman"/>
                <w:color w:val="auto"/>
                <w:spacing w:val="-51"/>
                <w:lang w:eastAsia="zh-CN"/>
              </w:rPr>
              <w:t xml:space="preserve"> </w:t>
            </w:r>
            <w:r>
              <w:rPr>
                <w:rFonts w:ascii="Times New Roman" w:hAnsi="Times New Roman" w:eastAsia="Times New Roman" w:cs="Times New Roman"/>
                <w:color w:val="auto"/>
                <w:spacing w:val="-9"/>
                <w:lang w:eastAsia="zh-CN"/>
              </w:rPr>
              <w:t>COD</w:t>
            </w:r>
            <w:r>
              <w:rPr>
                <w:rFonts w:hint="eastAsia" w:ascii="Times New Roman" w:hAnsi="Times New Roman" w:cs="Times New Roman"/>
                <w:color w:val="auto"/>
                <w:spacing w:val="-9"/>
                <w:vertAlign w:val="subscript"/>
                <w:lang w:eastAsia="zh-CN"/>
              </w:rPr>
              <w:t>C</w:t>
            </w:r>
            <w:r>
              <w:rPr>
                <w:rFonts w:ascii="Times New Roman" w:hAnsi="Times New Roman" w:eastAsia="Times New Roman" w:cs="Times New Roman"/>
                <w:color w:val="auto"/>
                <w:spacing w:val="-9"/>
                <w:vertAlign w:val="subscript"/>
                <w:lang w:eastAsia="zh-CN"/>
              </w:rPr>
              <w:t>r</w:t>
            </w:r>
            <w:r>
              <w:rPr>
                <w:rFonts w:ascii="Times New Roman" w:hAnsi="Times New Roman" w:cs="Times New Roman"/>
                <w:color w:val="auto"/>
                <w:spacing w:val="-9"/>
                <w:lang w:eastAsia="zh-CN"/>
              </w:rPr>
              <w:t>、氨氮、总氮、总磷，</w:t>
            </w:r>
            <w:r>
              <w:rPr>
                <w:rFonts w:ascii="Times New Roman" w:hAnsi="Times New Roman" w:eastAsia="Times New Roman" w:cs="Times New Roman"/>
                <w:color w:val="auto"/>
                <w:spacing w:val="-9"/>
                <w:lang w:eastAsia="zh-CN"/>
              </w:rPr>
              <w:t>2023</w:t>
            </w:r>
            <w:r>
              <w:rPr>
                <w:rFonts w:ascii="Times New Roman" w:hAnsi="Times New Roman" w:cs="Times New Roman"/>
                <w:color w:val="auto"/>
                <w:spacing w:val="-9"/>
                <w:lang w:eastAsia="zh-CN"/>
              </w:rPr>
              <w:t>年</w:t>
            </w:r>
            <w:r>
              <w:rPr>
                <w:rFonts w:ascii="Times New Roman" w:hAnsi="Times New Roman" w:cs="Times New Roman"/>
                <w:color w:val="auto"/>
                <w:spacing w:val="-50"/>
                <w:lang w:eastAsia="zh-CN"/>
              </w:rPr>
              <w:t xml:space="preserve"> </w:t>
            </w:r>
            <w:r>
              <w:rPr>
                <w:rFonts w:ascii="Times New Roman" w:hAnsi="Times New Roman" w:eastAsia="Times New Roman" w:cs="Times New Roman"/>
                <w:color w:val="auto"/>
                <w:spacing w:val="-9"/>
                <w:lang w:eastAsia="zh-CN"/>
              </w:rPr>
              <w:t>6</w:t>
            </w:r>
            <w:r>
              <w:rPr>
                <w:rFonts w:ascii="Times New Roman" w:hAnsi="Times New Roman" w:cs="Times New Roman"/>
                <w:color w:val="auto"/>
                <w:spacing w:val="-9"/>
                <w:lang w:eastAsia="zh-CN"/>
              </w:rPr>
              <w:t>月起排放执行《城</w:t>
            </w:r>
            <w:r>
              <w:rPr>
                <w:rFonts w:ascii="Times New Roman" w:hAnsi="Times New Roman" w:cs="Times New Roman"/>
                <w:color w:val="auto"/>
                <w:spacing w:val="-1"/>
                <w:lang w:eastAsia="zh-CN"/>
              </w:rPr>
              <w:t>镇污水处理厂主要水污染物排放标准》</w:t>
            </w:r>
            <w:r>
              <w:rPr>
                <w:rFonts w:ascii="Times New Roman" w:hAnsi="Times New Roman" w:eastAsia="Times New Roman" w:cs="Times New Roman"/>
                <w:color w:val="auto"/>
                <w:spacing w:val="-1"/>
                <w:lang w:eastAsia="zh-CN"/>
              </w:rPr>
              <w:t>DB33/2169-2018</w:t>
            </w:r>
            <w:r>
              <w:rPr>
                <w:rFonts w:ascii="Times New Roman" w:hAnsi="Times New Roman" w:cs="Times New Roman"/>
                <w:color w:val="auto"/>
                <w:spacing w:val="-1"/>
                <w:lang w:eastAsia="zh-CN"/>
              </w:rPr>
              <w:t>表</w:t>
            </w:r>
            <w:r>
              <w:rPr>
                <w:rFonts w:ascii="Times New Roman" w:hAnsi="Times New Roman" w:eastAsia="Times New Roman" w:cs="Times New Roman"/>
                <w:color w:val="auto"/>
                <w:spacing w:val="-1"/>
                <w:lang w:eastAsia="zh-CN"/>
              </w:rPr>
              <w:t>1</w:t>
            </w:r>
            <w:r>
              <w:rPr>
                <w:rFonts w:ascii="Times New Roman" w:hAnsi="Times New Roman" w:cs="Times New Roman"/>
                <w:color w:val="auto"/>
                <w:spacing w:val="-1"/>
                <w:lang w:eastAsia="zh-CN"/>
              </w:rPr>
              <w:t>标准限值要求）</w:t>
            </w:r>
            <w:r>
              <w:rPr>
                <w:rFonts w:ascii="Times New Roman" w:hAnsi="Times New Roman" w:cs="Times New Roman"/>
                <w:color w:val="auto"/>
                <w:lang w:eastAsia="zh-CN"/>
              </w:rPr>
              <w:t>。</w:t>
            </w:r>
          </w:p>
          <w:p w14:paraId="273AADDA">
            <w:pPr>
              <w:pStyle w:val="116"/>
              <w:tabs>
                <w:tab w:val="left" w:pos="1470"/>
              </w:tabs>
              <w:spacing w:beforeLines="50"/>
              <w:ind w:firstLine="480"/>
              <w:jc w:val="center"/>
              <w:rPr>
                <w:rFonts w:hAnsi="宋体" w:eastAsia="宋体"/>
                <w:b/>
                <w:color w:val="auto"/>
                <w:sz w:val="21"/>
                <w:szCs w:val="24"/>
              </w:rPr>
            </w:pPr>
          </w:p>
          <w:p w14:paraId="32BDBF9F">
            <w:pPr>
              <w:pStyle w:val="116"/>
              <w:tabs>
                <w:tab w:val="left" w:pos="1470"/>
              </w:tabs>
              <w:spacing w:beforeLines="50"/>
              <w:ind w:firstLine="422"/>
              <w:jc w:val="center"/>
              <w:rPr>
                <w:rFonts w:hAnsi="宋体" w:eastAsia="宋体"/>
                <w:b/>
                <w:color w:val="auto"/>
                <w:sz w:val="21"/>
                <w:szCs w:val="24"/>
              </w:rPr>
            </w:pPr>
          </w:p>
          <w:p w14:paraId="74BD8590">
            <w:pPr>
              <w:pStyle w:val="116"/>
              <w:tabs>
                <w:tab w:val="left" w:pos="1470"/>
              </w:tabs>
              <w:spacing w:beforeLines="50"/>
              <w:ind w:firstLine="422"/>
              <w:jc w:val="center"/>
              <w:rPr>
                <w:rFonts w:hAnsi="宋体" w:eastAsia="宋体"/>
                <w:b/>
                <w:color w:val="auto"/>
                <w:sz w:val="21"/>
                <w:szCs w:val="24"/>
              </w:rPr>
            </w:pPr>
          </w:p>
          <w:p w14:paraId="44FDF60E">
            <w:pPr>
              <w:pStyle w:val="116"/>
              <w:tabs>
                <w:tab w:val="left" w:pos="1470"/>
              </w:tabs>
              <w:spacing w:beforeLines="50" w:line="240" w:lineRule="auto"/>
              <w:ind w:firstLine="422"/>
              <w:jc w:val="center"/>
              <w:rPr>
                <w:rFonts w:hAnsi="宋体" w:eastAsia="宋体"/>
                <w:b/>
                <w:color w:val="auto"/>
                <w:sz w:val="21"/>
                <w:szCs w:val="24"/>
              </w:rPr>
            </w:pPr>
          </w:p>
          <w:p w14:paraId="76798698">
            <w:pPr>
              <w:pStyle w:val="116"/>
              <w:tabs>
                <w:tab w:val="left" w:pos="1470"/>
              </w:tabs>
              <w:spacing w:beforeLines="50" w:line="240" w:lineRule="auto"/>
              <w:ind w:firstLine="422"/>
              <w:jc w:val="center"/>
              <w:rPr>
                <w:rFonts w:hAnsi="Calibri" w:eastAsia="宋体"/>
                <w:b/>
                <w:color w:val="auto"/>
                <w:sz w:val="21"/>
              </w:rPr>
            </w:pPr>
          </w:p>
          <w:p w14:paraId="2F9351A0">
            <w:pPr>
              <w:pStyle w:val="116"/>
              <w:tabs>
                <w:tab w:val="left" w:pos="1470"/>
              </w:tabs>
              <w:spacing w:beforeLines="50" w:line="240" w:lineRule="auto"/>
              <w:ind w:firstLine="480"/>
              <w:jc w:val="center"/>
              <w:rPr>
                <w:rFonts w:hAnsi="宋体" w:eastAsia="宋体"/>
                <w:b/>
                <w:color w:val="auto"/>
                <w:sz w:val="21"/>
                <w:szCs w:val="24"/>
              </w:rPr>
            </w:pPr>
            <w:r>
              <w:rPr>
                <w:color w:val="auto"/>
              </w:rPr>
              <w:drawing>
                <wp:anchor distT="0" distB="0" distL="114300" distR="114300" simplePos="0" relativeHeight="251661312" behindDoc="0" locked="0" layoutInCell="1" allowOverlap="1">
                  <wp:simplePos x="0" y="0"/>
                  <wp:positionH relativeFrom="column">
                    <wp:posOffset>378460</wp:posOffset>
                  </wp:positionH>
                  <wp:positionV relativeFrom="paragraph">
                    <wp:posOffset>159385</wp:posOffset>
                  </wp:positionV>
                  <wp:extent cx="5053330" cy="2427605"/>
                  <wp:effectExtent l="0" t="0" r="13970" b="10795"/>
                  <wp:wrapNone/>
                  <wp:docPr id="61" name="图片 184" descr="1553590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4" descr="1553590349(1)"/>
                          <pic:cNvPicPr>
                            <a:picLocks noChangeAspect="1" noChangeArrowheads="1"/>
                          </pic:cNvPicPr>
                        </pic:nvPicPr>
                        <pic:blipFill>
                          <a:blip r:embed="rId12" cstate="print"/>
                          <a:srcRect/>
                          <a:stretch>
                            <a:fillRect/>
                          </a:stretch>
                        </pic:blipFill>
                        <pic:spPr>
                          <a:xfrm>
                            <a:off x="0" y="0"/>
                            <a:ext cx="5053330" cy="2427605"/>
                          </a:xfrm>
                          <a:prstGeom prst="rect">
                            <a:avLst/>
                          </a:prstGeom>
                          <a:noFill/>
                          <a:ln w="9525">
                            <a:noFill/>
                            <a:miter lim="800000"/>
                            <a:headEnd/>
                            <a:tailEnd/>
                          </a:ln>
                        </pic:spPr>
                      </pic:pic>
                    </a:graphicData>
                  </a:graphic>
                </wp:anchor>
              </w:drawing>
            </w:r>
          </w:p>
          <w:p w14:paraId="25CC528B">
            <w:pPr>
              <w:pStyle w:val="116"/>
              <w:tabs>
                <w:tab w:val="left" w:pos="1470"/>
              </w:tabs>
              <w:spacing w:beforeLines="50" w:line="240" w:lineRule="auto"/>
              <w:ind w:firstLine="422"/>
              <w:jc w:val="center"/>
              <w:rPr>
                <w:rFonts w:hAnsi="宋体" w:eastAsia="宋体"/>
                <w:b/>
                <w:color w:val="auto"/>
                <w:sz w:val="21"/>
                <w:szCs w:val="24"/>
              </w:rPr>
            </w:pPr>
          </w:p>
          <w:p w14:paraId="498F8A49">
            <w:pPr>
              <w:pStyle w:val="116"/>
              <w:tabs>
                <w:tab w:val="left" w:pos="1470"/>
              </w:tabs>
              <w:spacing w:beforeLines="50" w:line="240" w:lineRule="auto"/>
              <w:ind w:firstLine="422"/>
              <w:jc w:val="center"/>
              <w:rPr>
                <w:rFonts w:hAnsi="宋体" w:eastAsia="宋体"/>
                <w:b/>
                <w:color w:val="auto"/>
                <w:sz w:val="21"/>
                <w:szCs w:val="24"/>
              </w:rPr>
            </w:pPr>
          </w:p>
          <w:p w14:paraId="71BF7CA3">
            <w:pPr>
              <w:pStyle w:val="116"/>
              <w:tabs>
                <w:tab w:val="left" w:pos="1470"/>
              </w:tabs>
              <w:spacing w:beforeLines="50" w:line="240" w:lineRule="auto"/>
              <w:ind w:firstLine="422"/>
              <w:jc w:val="center"/>
              <w:rPr>
                <w:rFonts w:hAnsi="宋体" w:eastAsia="宋体"/>
                <w:b/>
                <w:color w:val="auto"/>
                <w:sz w:val="21"/>
                <w:szCs w:val="24"/>
              </w:rPr>
            </w:pPr>
          </w:p>
          <w:p w14:paraId="45D69B07">
            <w:pPr>
              <w:pStyle w:val="116"/>
              <w:tabs>
                <w:tab w:val="left" w:pos="1470"/>
              </w:tabs>
              <w:spacing w:beforeLines="50" w:line="240" w:lineRule="auto"/>
              <w:ind w:firstLine="422"/>
              <w:jc w:val="center"/>
              <w:rPr>
                <w:rFonts w:hAnsi="宋体" w:eastAsia="宋体"/>
                <w:b/>
                <w:color w:val="auto"/>
                <w:sz w:val="21"/>
                <w:szCs w:val="24"/>
              </w:rPr>
            </w:pPr>
          </w:p>
          <w:p w14:paraId="69CCE697">
            <w:pPr>
              <w:pStyle w:val="116"/>
              <w:tabs>
                <w:tab w:val="left" w:pos="1470"/>
              </w:tabs>
              <w:spacing w:beforeLines="50" w:line="240" w:lineRule="auto"/>
              <w:ind w:firstLine="422"/>
              <w:jc w:val="center"/>
              <w:rPr>
                <w:rFonts w:hAnsi="宋体" w:eastAsia="宋体"/>
                <w:b/>
                <w:color w:val="auto"/>
                <w:sz w:val="21"/>
                <w:szCs w:val="24"/>
              </w:rPr>
            </w:pPr>
          </w:p>
          <w:p w14:paraId="42071873">
            <w:pPr>
              <w:pStyle w:val="116"/>
              <w:tabs>
                <w:tab w:val="left" w:pos="1470"/>
              </w:tabs>
              <w:spacing w:beforeLines="50" w:line="240" w:lineRule="auto"/>
              <w:ind w:firstLine="422"/>
              <w:jc w:val="center"/>
              <w:rPr>
                <w:rFonts w:hAnsi="宋体" w:eastAsia="宋体"/>
                <w:b/>
                <w:color w:val="auto"/>
                <w:sz w:val="21"/>
                <w:szCs w:val="24"/>
              </w:rPr>
            </w:pPr>
          </w:p>
          <w:p w14:paraId="4A00A5FD">
            <w:pPr>
              <w:pStyle w:val="116"/>
              <w:tabs>
                <w:tab w:val="left" w:pos="1470"/>
              </w:tabs>
              <w:spacing w:beforeLines="50" w:line="240" w:lineRule="auto"/>
              <w:ind w:firstLine="422"/>
              <w:jc w:val="center"/>
              <w:rPr>
                <w:rFonts w:hAnsi="宋体" w:eastAsia="宋体"/>
                <w:b/>
                <w:color w:val="auto"/>
                <w:sz w:val="21"/>
                <w:szCs w:val="24"/>
              </w:rPr>
            </w:pPr>
          </w:p>
          <w:p w14:paraId="5866C12B">
            <w:pPr>
              <w:pStyle w:val="116"/>
              <w:tabs>
                <w:tab w:val="left" w:pos="1470"/>
              </w:tabs>
              <w:spacing w:beforeLines="50" w:line="240" w:lineRule="auto"/>
              <w:ind w:firstLine="422"/>
              <w:jc w:val="center"/>
              <w:rPr>
                <w:rFonts w:hAnsi="宋体" w:eastAsia="宋体"/>
                <w:b/>
                <w:color w:val="auto"/>
                <w:sz w:val="21"/>
                <w:szCs w:val="24"/>
              </w:rPr>
            </w:pPr>
          </w:p>
          <w:p w14:paraId="6382FA5A">
            <w:pPr>
              <w:pStyle w:val="116"/>
              <w:tabs>
                <w:tab w:val="left" w:pos="1470"/>
              </w:tabs>
              <w:spacing w:beforeLines="50" w:line="240" w:lineRule="auto"/>
              <w:ind w:firstLine="422"/>
              <w:jc w:val="center"/>
              <w:rPr>
                <w:rFonts w:hAnsi="宋体" w:eastAsia="宋体"/>
                <w:b/>
                <w:color w:val="auto"/>
                <w:sz w:val="21"/>
                <w:szCs w:val="24"/>
              </w:rPr>
            </w:pPr>
          </w:p>
          <w:p w14:paraId="140D1D74">
            <w:pPr>
              <w:pStyle w:val="116"/>
              <w:tabs>
                <w:tab w:val="left" w:pos="1470"/>
              </w:tabs>
              <w:spacing w:beforeLines="50" w:line="240" w:lineRule="auto"/>
              <w:ind w:firstLine="422"/>
              <w:jc w:val="center"/>
              <w:rPr>
                <w:rFonts w:hAnsi="宋体" w:eastAsia="宋体"/>
                <w:b/>
                <w:color w:val="auto"/>
                <w:sz w:val="21"/>
                <w:szCs w:val="24"/>
              </w:rPr>
            </w:pPr>
          </w:p>
          <w:p w14:paraId="17B16CC7">
            <w:pPr>
              <w:pStyle w:val="116"/>
              <w:tabs>
                <w:tab w:val="left" w:pos="1470"/>
              </w:tabs>
              <w:spacing w:beforeLines="50" w:line="240" w:lineRule="auto"/>
              <w:ind w:firstLine="422"/>
              <w:jc w:val="center"/>
              <w:rPr>
                <w:rFonts w:hAnsi="宋体" w:eastAsia="宋体"/>
                <w:b/>
                <w:color w:val="auto"/>
                <w:sz w:val="21"/>
                <w:szCs w:val="24"/>
              </w:rPr>
            </w:pPr>
          </w:p>
          <w:p w14:paraId="28E293D9">
            <w:pPr>
              <w:pStyle w:val="116"/>
              <w:tabs>
                <w:tab w:val="left" w:pos="1470"/>
              </w:tabs>
              <w:spacing w:beforeLines="50" w:line="240" w:lineRule="auto"/>
              <w:ind w:firstLine="422"/>
              <w:jc w:val="center"/>
              <w:rPr>
                <w:rFonts w:hAnsi="宋体" w:eastAsia="宋体"/>
                <w:b/>
                <w:color w:val="auto"/>
                <w:sz w:val="21"/>
                <w:szCs w:val="24"/>
              </w:rPr>
            </w:pPr>
          </w:p>
          <w:p w14:paraId="19852DA9">
            <w:pPr>
              <w:pStyle w:val="116"/>
              <w:tabs>
                <w:tab w:val="left" w:pos="1470"/>
              </w:tabs>
              <w:spacing w:beforeLines="50" w:line="240" w:lineRule="auto"/>
              <w:ind w:firstLine="422"/>
              <w:jc w:val="center"/>
              <w:rPr>
                <w:rFonts w:hAnsi="Calibri" w:eastAsia="宋体"/>
                <w:b/>
                <w:color w:val="auto"/>
                <w:sz w:val="21"/>
              </w:rPr>
            </w:pPr>
            <w:r>
              <w:rPr>
                <w:rFonts w:hAnsi="Calibri" w:eastAsia="宋体"/>
                <w:b/>
                <w:color w:val="auto"/>
                <w:sz w:val="21"/>
              </w:rPr>
              <w:t>图</w:t>
            </w:r>
            <w:r>
              <w:rPr>
                <w:rFonts w:eastAsia="宋体"/>
                <w:b/>
                <w:color w:val="auto"/>
                <w:sz w:val="21"/>
              </w:rPr>
              <w:t>4-</w:t>
            </w:r>
            <w:r>
              <w:rPr>
                <w:b/>
                <w:color w:val="auto"/>
                <w:sz w:val="21"/>
              </w:rPr>
              <w:t>1</w:t>
            </w:r>
            <w:r>
              <w:rPr>
                <w:rFonts w:hint="eastAsia"/>
                <w:b/>
                <w:color w:val="auto"/>
                <w:sz w:val="21"/>
              </w:rPr>
              <w:t xml:space="preserve"> </w:t>
            </w:r>
            <w:r>
              <w:rPr>
                <w:rFonts w:hAnsi="Calibri" w:eastAsia="宋体"/>
                <w:b/>
                <w:color w:val="auto"/>
                <w:sz w:val="21"/>
              </w:rPr>
              <w:t>安吉净源污水处理有限公司城北污水处理厂一期、二期处理工艺图</w:t>
            </w:r>
          </w:p>
          <w:p w14:paraId="54783A85">
            <w:pPr>
              <w:pStyle w:val="116"/>
              <w:tabs>
                <w:tab w:val="left" w:pos="1470"/>
              </w:tabs>
              <w:spacing w:beforeLines="50" w:line="240" w:lineRule="auto"/>
              <w:ind w:firstLine="422"/>
              <w:jc w:val="center"/>
              <w:rPr>
                <w:rFonts w:hAnsi="宋体" w:eastAsia="宋体"/>
                <w:b/>
                <w:color w:val="auto"/>
                <w:sz w:val="21"/>
                <w:szCs w:val="24"/>
              </w:rPr>
            </w:pPr>
            <w:r>
              <w:rPr>
                <w:rFonts w:hint="eastAsia" w:eastAsia="宋体"/>
                <w:color w:val="auto"/>
                <w:szCs w:val="24"/>
              </w:rPr>
              <w:drawing>
                <wp:anchor distT="0" distB="0" distL="114300" distR="114300" simplePos="0" relativeHeight="251662336" behindDoc="0" locked="0" layoutInCell="1" allowOverlap="1">
                  <wp:simplePos x="0" y="0"/>
                  <wp:positionH relativeFrom="column">
                    <wp:posOffset>1022350</wp:posOffset>
                  </wp:positionH>
                  <wp:positionV relativeFrom="paragraph">
                    <wp:posOffset>213995</wp:posOffset>
                  </wp:positionV>
                  <wp:extent cx="4095750" cy="1775460"/>
                  <wp:effectExtent l="0" t="0" r="0" b="15240"/>
                  <wp:wrapNone/>
                  <wp:docPr id="6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1"/>
                          <pic:cNvPicPr>
                            <a:picLocks noChangeAspect="1" noChangeArrowheads="1"/>
                          </pic:cNvPicPr>
                        </pic:nvPicPr>
                        <pic:blipFill>
                          <a:blip r:embed="rId13" cstate="print"/>
                          <a:srcRect/>
                          <a:stretch>
                            <a:fillRect/>
                          </a:stretch>
                        </pic:blipFill>
                        <pic:spPr>
                          <a:xfrm>
                            <a:off x="0" y="0"/>
                            <a:ext cx="4095750" cy="1775460"/>
                          </a:xfrm>
                          <a:prstGeom prst="rect">
                            <a:avLst/>
                          </a:prstGeom>
                          <a:noFill/>
                          <a:ln w="9525">
                            <a:noFill/>
                            <a:miter lim="800000"/>
                            <a:headEnd/>
                            <a:tailEnd/>
                          </a:ln>
                        </pic:spPr>
                      </pic:pic>
                    </a:graphicData>
                  </a:graphic>
                </wp:anchor>
              </w:drawing>
            </w:r>
          </w:p>
          <w:p w14:paraId="0F0B8899">
            <w:pPr>
              <w:pStyle w:val="116"/>
              <w:tabs>
                <w:tab w:val="left" w:pos="1470"/>
              </w:tabs>
              <w:spacing w:beforeLines="50" w:line="240" w:lineRule="auto"/>
              <w:ind w:firstLine="422"/>
              <w:jc w:val="center"/>
              <w:rPr>
                <w:rFonts w:hAnsi="宋体" w:eastAsia="宋体"/>
                <w:b/>
                <w:color w:val="auto"/>
                <w:sz w:val="21"/>
                <w:szCs w:val="24"/>
              </w:rPr>
            </w:pPr>
          </w:p>
          <w:p w14:paraId="1E941A72">
            <w:pPr>
              <w:pStyle w:val="116"/>
              <w:tabs>
                <w:tab w:val="left" w:pos="1470"/>
              </w:tabs>
              <w:spacing w:beforeLines="50" w:line="240" w:lineRule="auto"/>
              <w:ind w:firstLine="422"/>
              <w:jc w:val="center"/>
              <w:rPr>
                <w:rFonts w:hAnsi="宋体" w:eastAsia="宋体"/>
                <w:b/>
                <w:color w:val="auto"/>
                <w:sz w:val="21"/>
                <w:szCs w:val="24"/>
              </w:rPr>
            </w:pPr>
          </w:p>
          <w:p w14:paraId="741BC072">
            <w:pPr>
              <w:pStyle w:val="116"/>
              <w:tabs>
                <w:tab w:val="left" w:pos="1470"/>
              </w:tabs>
              <w:spacing w:beforeLines="50" w:line="240" w:lineRule="auto"/>
              <w:ind w:firstLine="422"/>
              <w:jc w:val="center"/>
              <w:rPr>
                <w:rFonts w:hAnsi="宋体" w:eastAsia="宋体"/>
                <w:b/>
                <w:color w:val="auto"/>
                <w:sz w:val="21"/>
                <w:szCs w:val="24"/>
              </w:rPr>
            </w:pPr>
          </w:p>
          <w:p w14:paraId="0C6DD7FA">
            <w:pPr>
              <w:pStyle w:val="116"/>
              <w:tabs>
                <w:tab w:val="left" w:pos="1470"/>
              </w:tabs>
              <w:spacing w:beforeLines="50" w:line="240" w:lineRule="auto"/>
              <w:ind w:firstLine="422"/>
              <w:jc w:val="center"/>
              <w:rPr>
                <w:rFonts w:hAnsi="宋体" w:eastAsia="宋体"/>
                <w:b/>
                <w:color w:val="auto"/>
                <w:sz w:val="21"/>
                <w:szCs w:val="24"/>
              </w:rPr>
            </w:pPr>
          </w:p>
          <w:p w14:paraId="3F2D354E">
            <w:pPr>
              <w:pStyle w:val="116"/>
              <w:tabs>
                <w:tab w:val="left" w:pos="1470"/>
              </w:tabs>
              <w:spacing w:beforeLines="50" w:line="240" w:lineRule="auto"/>
              <w:ind w:firstLine="422"/>
              <w:jc w:val="center"/>
              <w:rPr>
                <w:rFonts w:hAnsi="宋体" w:eastAsia="宋体"/>
                <w:b/>
                <w:color w:val="auto"/>
                <w:sz w:val="21"/>
                <w:szCs w:val="24"/>
              </w:rPr>
            </w:pPr>
          </w:p>
          <w:p w14:paraId="5258892F">
            <w:pPr>
              <w:pStyle w:val="116"/>
              <w:tabs>
                <w:tab w:val="left" w:pos="1470"/>
              </w:tabs>
              <w:spacing w:beforeLines="50" w:line="240" w:lineRule="auto"/>
              <w:ind w:firstLine="422"/>
              <w:jc w:val="center"/>
              <w:rPr>
                <w:rFonts w:hAnsi="宋体" w:eastAsia="宋体"/>
                <w:b/>
                <w:color w:val="auto"/>
                <w:sz w:val="21"/>
                <w:szCs w:val="24"/>
              </w:rPr>
            </w:pPr>
          </w:p>
          <w:p w14:paraId="6ABE0573">
            <w:pPr>
              <w:pStyle w:val="116"/>
              <w:tabs>
                <w:tab w:val="left" w:pos="1470"/>
              </w:tabs>
              <w:spacing w:beforeLines="50" w:line="240" w:lineRule="auto"/>
              <w:ind w:firstLine="422"/>
              <w:jc w:val="center"/>
              <w:rPr>
                <w:rFonts w:hAnsi="宋体" w:eastAsia="宋体"/>
                <w:b/>
                <w:color w:val="auto"/>
                <w:sz w:val="21"/>
                <w:szCs w:val="24"/>
              </w:rPr>
            </w:pPr>
          </w:p>
          <w:p w14:paraId="3D2D6DC6">
            <w:pPr>
              <w:pStyle w:val="116"/>
              <w:tabs>
                <w:tab w:val="left" w:pos="1470"/>
              </w:tabs>
              <w:spacing w:beforeLines="50" w:line="240" w:lineRule="auto"/>
              <w:ind w:firstLine="422"/>
              <w:jc w:val="center"/>
              <w:rPr>
                <w:rFonts w:hAnsi="宋体" w:eastAsia="宋体"/>
                <w:b/>
                <w:color w:val="auto"/>
                <w:sz w:val="21"/>
                <w:szCs w:val="24"/>
              </w:rPr>
            </w:pPr>
          </w:p>
          <w:p w14:paraId="1C68ED96">
            <w:pPr>
              <w:pStyle w:val="116"/>
              <w:tabs>
                <w:tab w:val="left" w:pos="1470"/>
              </w:tabs>
              <w:spacing w:beforeLines="50" w:line="240" w:lineRule="auto"/>
              <w:ind w:firstLine="422"/>
              <w:jc w:val="center"/>
              <w:rPr>
                <w:rFonts w:hAnsi="宋体" w:eastAsia="宋体"/>
                <w:b/>
                <w:color w:val="auto"/>
                <w:sz w:val="21"/>
                <w:szCs w:val="24"/>
              </w:rPr>
            </w:pPr>
          </w:p>
          <w:p w14:paraId="51472463">
            <w:pPr>
              <w:pStyle w:val="116"/>
              <w:tabs>
                <w:tab w:val="left" w:pos="1470"/>
              </w:tabs>
              <w:spacing w:beforeLines="50" w:line="240" w:lineRule="auto"/>
              <w:ind w:firstLine="422"/>
              <w:jc w:val="center"/>
              <w:rPr>
                <w:rFonts w:hAnsi="Calibri" w:eastAsia="宋体"/>
                <w:b/>
                <w:color w:val="auto"/>
                <w:sz w:val="21"/>
              </w:rPr>
            </w:pPr>
            <w:r>
              <w:rPr>
                <w:rFonts w:hAnsi="Calibri" w:eastAsia="宋体"/>
                <w:b/>
                <w:color w:val="auto"/>
                <w:sz w:val="21"/>
              </w:rPr>
              <w:t>图</w:t>
            </w:r>
            <w:r>
              <w:rPr>
                <w:rFonts w:eastAsia="宋体"/>
                <w:b/>
                <w:color w:val="auto"/>
                <w:sz w:val="21"/>
              </w:rPr>
              <w:t>4-2</w:t>
            </w:r>
            <w:r>
              <w:rPr>
                <w:rFonts w:hint="eastAsia" w:eastAsia="宋体"/>
                <w:b/>
                <w:color w:val="auto"/>
                <w:sz w:val="21"/>
              </w:rPr>
              <w:t xml:space="preserve"> </w:t>
            </w:r>
            <w:r>
              <w:rPr>
                <w:rFonts w:hAnsi="Calibri" w:eastAsia="宋体"/>
                <w:b/>
                <w:color w:val="auto"/>
                <w:sz w:val="21"/>
              </w:rPr>
              <w:t>安吉净源污水处理有限公司城北污水处理厂三期处理工艺图</w:t>
            </w:r>
          </w:p>
          <w:p w14:paraId="41E74E79">
            <w:pPr>
              <w:pStyle w:val="116"/>
              <w:tabs>
                <w:tab w:val="left" w:pos="1470"/>
              </w:tabs>
              <w:ind w:firstLine="480"/>
              <w:jc w:val="left"/>
              <w:rPr>
                <w:rFonts w:eastAsia="宋体"/>
                <w:color w:val="auto"/>
                <w:szCs w:val="24"/>
              </w:rPr>
            </w:pPr>
            <w:r>
              <w:rPr>
                <w:rFonts w:hint="eastAsia" w:eastAsia="宋体"/>
                <w:color w:val="auto"/>
                <w:szCs w:val="24"/>
              </w:rPr>
              <w:t>安吉净源污水处理有限公司</w:t>
            </w:r>
            <w:r>
              <w:rPr>
                <w:rFonts w:eastAsia="宋体"/>
                <w:color w:val="auto"/>
                <w:szCs w:val="24"/>
              </w:rPr>
              <w:t>现状运行状况，本环评收集该污水厂20</w:t>
            </w:r>
            <w:r>
              <w:rPr>
                <w:rFonts w:hint="eastAsia" w:eastAsia="宋体"/>
                <w:color w:val="auto"/>
                <w:szCs w:val="24"/>
              </w:rPr>
              <w:t>23</w:t>
            </w:r>
            <w:r>
              <w:rPr>
                <w:rFonts w:eastAsia="宋体"/>
                <w:color w:val="auto"/>
                <w:szCs w:val="24"/>
              </w:rPr>
              <w:t>年</w:t>
            </w:r>
            <w:r>
              <w:rPr>
                <w:rFonts w:hint="eastAsia" w:eastAsia="宋体"/>
                <w:color w:val="auto"/>
                <w:szCs w:val="24"/>
              </w:rPr>
              <w:t>10</w:t>
            </w:r>
            <w:r>
              <w:rPr>
                <w:rFonts w:eastAsia="宋体"/>
                <w:color w:val="auto"/>
                <w:szCs w:val="24"/>
              </w:rPr>
              <w:t>月</w:t>
            </w:r>
            <w:r>
              <w:rPr>
                <w:rFonts w:hint="eastAsia" w:eastAsia="宋体"/>
                <w:color w:val="auto"/>
                <w:szCs w:val="24"/>
              </w:rPr>
              <w:t>21</w:t>
            </w:r>
            <w:r>
              <w:rPr>
                <w:rFonts w:eastAsia="宋体"/>
                <w:color w:val="auto"/>
                <w:szCs w:val="24"/>
              </w:rPr>
              <w:t>日~20</w:t>
            </w:r>
            <w:r>
              <w:rPr>
                <w:rFonts w:hint="eastAsia" w:eastAsia="宋体"/>
                <w:color w:val="auto"/>
                <w:szCs w:val="24"/>
              </w:rPr>
              <w:t>23</w:t>
            </w:r>
            <w:r>
              <w:rPr>
                <w:rFonts w:eastAsia="宋体"/>
                <w:color w:val="auto"/>
                <w:szCs w:val="24"/>
              </w:rPr>
              <w:t>年</w:t>
            </w:r>
            <w:r>
              <w:rPr>
                <w:rFonts w:hint="eastAsia" w:eastAsia="宋体"/>
                <w:color w:val="auto"/>
                <w:szCs w:val="24"/>
              </w:rPr>
              <w:t>10</w:t>
            </w:r>
            <w:r>
              <w:rPr>
                <w:rFonts w:eastAsia="宋体"/>
                <w:color w:val="auto"/>
                <w:szCs w:val="24"/>
              </w:rPr>
              <w:t>月</w:t>
            </w:r>
            <w:r>
              <w:rPr>
                <w:rFonts w:hint="eastAsia" w:eastAsia="宋体"/>
                <w:color w:val="auto"/>
                <w:szCs w:val="24"/>
              </w:rPr>
              <w:t>30</w:t>
            </w:r>
            <w:r>
              <w:rPr>
                <w:rFonts w:eastAsia="宋体"/>
                <w:color w:val="auto"/>
                <w:szCs w:val="24"/>
              </w:rPr>
              <w:t>日在线监测数据，监测数据见表</w:t>
            </w:r>
            <w:r>
              <w:rPr>
                <w:rFonts w:hint="eastAsia" w:eastAsia="宋体"/>
                <w:color w:val="auto"/>
                <w:szCs w:val="24"/>
              </w:rPr>
              <w:t>4-16，</w:t>
            </w:r>
            <w:r>
              <w:rPr>
                <w:rFonts w:eastAsia="宋体"/>
                <w:color w:val="auto"/>
                <w:szCs w:val="24"/>
              </w:rPr>
              <w:t>数据来源：浙江省</w:t>
            </w:r>
            <w:r>
              <w:rPr>
                <w:rFonts w:hint="eastAsia" w:eastAsia="宋体"/>
                <w:color w:val="auto"/>
                <w:szCs w:val="24"/>
              </w:rPr>
              <w:t>重点排污单位自行监测信息公开</w:t>
            </w:r>
            <w:r>
              <w:rPr>
                <w:rFonts w:eastAsia="宋体"/>
                <w:color w:val="auto"/>
                <w:szCs w:val="24"/>
              </w:rPr>
              <w:t>平台</w:t>
            </w:r>
            <w:r>
              <w:rPr>
                <w:rFonts w:hint="eastAsia" w:eastAsia="宋体"/>
                <w:color w:val="auto"/>
                <w:szCs w:val="24"/>
              </w:rPr>
              <w:t>。</w:t>
            </w:r>
          </w:p>
          <w:p w14:paraId="6AD9551C">
            <w:pPr>
              <w:pStyle w:val="270"/>
              <w:spacing w:beforeLines="50" w:afterLines="0" w:line="240" w:lineRule="auto"/>
              <w:ind w:firstLine="422"/>
              <w:rPr>
                <w:color w:val="auto"/>
                <w:sz w:val="21"/>
                <w:szCs w:val="21"/>
              </w:rPr>
            </w:pPr>
            <w:r>
              <w:rPr>
                <w:color w:val="auto"/>
                <w:sz w:val="21"/>
                <w:szCs w:val="21"/>
              </w:rPr>
              <w:t>表</w:t>
            </w:r>
            <w:r>
              <w:rPr>
                <w:rFonts w:hint="eastAsia"/>
                <w:color w:val="auto"/>
                <w:sz w:val="21"/>
                <w:szCs w:val="21"/>
              </w:rPr>
              <w:t>4-1</w:t>
            </w:r>
            <w:r>
              <w:rPr>
                <w:rFonts w:hint="eastAsia"/>
                <w:color w:val="auto"/>
                <w:sz w:val="21"/>
                <w:szCs w:val="21"/>
                <w:lang w:val="en-US" w:eastAsia="zh-CN"/>
              </w:rPr>
              <w:t>8</w:t>
            </w:r>
            <w:r>
              <w:rPr>
                <w:rFonts w:hint="eastAsia"/>
                <w:color w:val="auto"/>
                <w:sz w:val="21"/>
                <w:szCs w:val="21"/>
              </w:rPr>
              <w:t xml:space="preserve">  安吉净源污水处理有限公司</w:t>
            </w:r>
            <w:r>
              <w:rPr>
                <w:color w:val="auto"/>
                <w:sz w:val="21"/>
                <w:szCs w:val="21"/>
              </w:rPr>
              <w:t>在线监测数据</w:t>
            </w:r>
          </w:p>
          <w:tbl>
            <w:tblPr>
              <w:tblStyle w:val="37"/>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699"/>
              <w:gridCol w:w="967"/>
              <w:gridCol w:w="1569"/>
              <w:gridCol w:w="1088"/>
              <w:gridCol w:w="992"/>
              <w:gridCol w:w="937"/>
            </w:tblGrid>
            <w:tr w14:paraId="62C8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vMerge w:val="restart"/>
                  <w:noWrap/>
                  <w:vAlign w:val="center"/>
                </w:tcPr>
                <w:p w14:paraId="1AD0C949">
                  <w:pPr>
                    <w:jc w:val="center"/>
                    <w:rPr>
                      <w:b/>
                      <w:bCs/>
                      <w:color w:val="auto"/>
                      <w:szCs w:val="21"/>
                    </w:rPr>
                  </w:pPr>
                  <w:r>
                    <w:rPr>
                      <w:b/>
                      <w:bCs/>
                      <w:color w:val="auto"/>
                      <w:szCs w:val="21"/>
                    </w:rPr>
                    <w:t>监测时间</w:t>
                  </w:r>
                </w:p>
              </w:tc>
              <w:tc>
                <w:tcPr>
                  <w:tcW w:w="7252" w:type="dxa"/>
                  <w:gridSpan w:val="6"/>
                  <w:noWrap/>
                  <w:vAlign w:val="center"/>
                </w:tcPr>
                <w:p w14:paraId="58D64609">
                  <w:pPr>
                    <w:jc w:val="center"/>
                    <w:rPr>
                      <w:b/>
                      <w:bCs/>
                      <w:color w:val="auto"/>
                      <w:szCs w:val="21"/>
                    </w:rPr>
                  </w:pPr>
                  <w:r>
                    <w:rPr>
                      <w:b/>
                      <w:bCs/>
                      <w:color w:val="auto"/>
                      <w:szCs w:val="21"/>
                    </w:rPr>
                    <w:t>监测指标</w:t>
                  </w:r>
                </w:p>
              </w:tc>
            </w:tr>
            <w:tr w14:paraId="1D14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vMerge w:val="continue"/>
                  <w:noWrap/>
                  <w:vAlign w:val="center"/>
                </w:tcPr>
                <w:p w14:paraId="57138AA5">
                  <w:pPr>
                    <w:jc w:val="center"/>
                    <w:rPr>
                      <w:b/>
                      <w:bCs/>
                      <w:color w:val="auto"/>
                      <w:szCs w:val="21"/>
                    </w:rPr>
                  </w:pPr>
                </w:p>
              </w:tc>
              <w:tc>
                <w:tcPr>
                  <w:tcW w:w="1699" w:type="dxa"/>
                  <w:noWrap/>
                  <w:vAlign w:val="center"/>
                </w:tcPr>
                <w:p w14:paraId="2B9EFDEE">
                  <w:pPr>
                    <w:jc w:val="center"/>
                    <w:rPr>
                      <w:b/>
                      <w:bCs/>
                      <w:color w:val="auto"/>
                      <w:szCs w:val="21"/>
                    </w:rPr>
                  </w:pPr>
                  <w:r>
                    <w:rPr>
                      <w:b/>
                      <w:bCs/>
                      <w:color w:val="auto"/>
                      <w:szCs w:val="21"/>
                    </w:rPr>
                    <w:t>废水瞬时流量</w:t>
                  </w:r>
                </w:p>
              </w:tc>
              <w:tc>
                <w:tcPr>
                  <w:tcW w:w="967" w:type="dxa"/>
                  <w:noWrap/>
                  <w:vAlign w:val="center"/>
                </w:tcPr>
                <w:p w14:paraId="012DA806">
                  <w:pPr>
                    <w:jc w:val="center"/>
                    <w:rPr>
                      <w:b/>
                      <w:bCs/>
                      <w:color w:val="auto"/>
                      <w:szCs w:val="21"/>
                    </w:rPr>
                  </w:pPr>
                  <w:r>
                    <w:rPr>
                      <w:rFonts w:hint="eastAsia"/>
                      <w:b/>
                      <w:bCs/>
                      <w:color w:val="auto"/>
                      <w:szCs w:val="21"/>
                    </w:rPr>
                    <w:t>p</w:t>
                  </w:r>
                  <w:r>
                    <w:rPr>
                      <w:b/>
                      <w:bCs/>
                      <w:color w:val="auto"/>
                      <w:szCs w:val="21"/>
                    </w:rPr>
                    <w:t>H值</w:t>
                  </w:r>
                </w:p>
              </w:tc>
              <w:tc>
                <w:tcPr>
                  <w:tcW w:w="1569" w:type="dxa"/>
                  <w:noWrap/>
                  <w:vAlign w:val="center"/>
                </w:tcPr>
                <w:p w14:paraId="7341E6BD">
                  <w:pPr>
                    <w:jc w:val="center"/>
                    <w:rPr>
                      <w:b/>
                      <w:bCs/>
                      <w:color w:val="auto"/>
                      <w:szCs w:val="21"/>
                    </w:rPr>
                  </w:pPr>
                  <w:r>
                    <w:rPr>
                      <w:b/>
                      <w:bCs/>
                      <w:color w:val="auto"/>
                      <w:szCs w:val="21"/>
                    </w:rPr>
                    <w:t>化学需氧量</w:t>
                  </w:r>
                </w:p>
              </w:tc>
              <w:tc>
                <w:tcPr>
                  <w:tcW w:w="1088" w:type="dxa"/>
                  <w:noWrap/>
                  <w:vAlign w:val="center"/>
                </w:tcPr>
                <w:p w14:paraId="108319E6">
                  <w:pPr>
                    <w:jc w:val="center"/>
                    <w:rPr>
                      <w:b/>
                      <w:bCs/>
                      <w:color w:val="auto"/>
                      <w:szCs w:val="21"/>
                    </w:rPr>
                  </w:pPr>
                  <w:r>
                    <w:rPr>
                      <w:b/>
                      <w:bCs/>
                      <w:color w:val="auto"/>
                      <w:szCs w:val="21"/>
                    </w:rPr>
                    <w:t>氨氮</w:t>
                  </w:r>
                </w:p>
              </w:tc>
              <w:tc>
                <w:tcPr>
                  <w:tcW w:w="992" w:type="dxa"/>
                  <w:noWrap/>
                  <w:vAlign w:val="center"/>
                </w:tcPr>
                <w:p w14:paraId="6CA1F479">
                  <w:pPr>
                    <w:jc w:val="center"/>
                    <w:rPr>
                      <w:b/>
                      <w:bCs/>
                      <w:color w:val="auto"/>
                      <w:szCs w:val="21"/>
                    </w:rPr>
                  </w:pPr>
                  <w:r>
                    <w:rPr>
                      <w:b/>
                      <w:bCs/>
                      <w:color w:val="auto"/>
                      <w:szCs w:val="21"/>
                    </w:rPr>
                    <w:t>总磷</w:t>
                  </w:r>
                </w:p>
              </w:tc>
              <w:tc>
                <w:tcPr>
                  <w:tcW w:w="937" w:type="dxa"/>
                  <w:noWrap/>
                  <w:vAlign w:val="center"/>
                </w:tcPr>
                <w:p w14:paraId="0B36D3E7">
                  <w:pPr>
                    <w:jc w:val="center"/>
                    <w:rPr>
                      <w:b/>
                      <w:bCs/>
                      <w:color w:val="auto"/>
                      <w:szCs w:val="21"/>
                    </w:rPr>
                  </w:pPr>
                  <w:r>
                    <w:rPr>
                      <w:b/>
                      <w:bCs/>
                      <w:color w:val="auto"/>
                      <w:szCs w:val="21"/>
                    </w:rPr>
                    <w:t>总氮</w:t>
                  </w:r>
                </w:p>
              </w:tc>
            </w:tr>
            <w:tr w14:paraId="62DE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vMerge w:val="continue"/>
                  <w:noWrap/>
                  <w:vAlign w:val="center"/>
                </w:tcPr>
                <w:p w14:paraId="1ED69997">
                  <w:pPr>
                    <w:jc w:val="center"/>
                    <w:rPr>
                      <w:b/>
                      <w:bCs/>
                      <w:color w:val="auto"/>
                      <w:szCs w:val="21"/>
                    </w:rPr>
                  </w:pPr>
                </w:p>
              </w:tc>
              <w:tc>
                <w:tcPr>
                  <w:tcW w:w="1699" w:type="dxa"/>
                  <w:noWrap/>
                  <w:vAlign w:val="center"/>
                </w:tcPr>
                <w:p w14:paraId="367B1BA9">
                  <w:pPr>
                    <w:jc w:val="center"/>
                    <w:rPr>
                      <w:b/>
                      <w:bCs/>
                      <w:color w:val="auto"/>
                      <w:szCs w:val="21"/>
                    </w:rPr>
                  </w:pPr>
                  <w:r>
                    <w:rPr>
                      <w:rFonts w:hint="eastAsia"/>
                      <w:b/>
                      <w:bCs/>
                      <w:color w:val="auto"/>
                      <w:szCs w:val="21"/>
                    </w:rPr>
                    <w:t>升/秒</w:t>
                  </w:r>
                </w:p>
              </w:tc>
              <w:tc>
                <w:tcPr>
                  <w:tcW w:w="967" w:type="dxa"/>
                  <w:noWrap/>
                  <w:vAlign w:val="center"/>
                </w:tcPr>
                <w:p w14:paraId="789C0FA6">
                  <w:pPr>
                    <w:jc w:val="center"/>
                    <w:rPr>
                      <w:b/>
                      <w:bCs/>
                      <w:color w:val="auto"/>
                      <w:szCs w:val="21"/>
                    </w:rPr>
                  </w:pPr>
                  <w:r>
                    <w:rPr>
                      <w:b/>
                      <w:bCs/>
                      <w:color w:val="auto"/>
                      <w:szCs w:val="21"/>
                    </w:rPr>
                    <w:t>/</w:t>
                  </w:r>
                </w:p>
              </w:tc>
              <w:tc>
                <w:tcPr>
                  <w:tcW w:w="1569" w:type="dxa"/>
                  <w:noWrap/>
                  <w:vAlign w:val="center"/>
                </w:tcPr>
                <w:p w14:paraId="7EA18779">
                  <w:pPr>
                    <w:jc w:val="center"/>
                    <w:rPr>
                      <w:b/>
                      <w:bCs/>
                      <w:color w:val="auto"/>
                      <w:szCs w:val="21"/>
                    </w:rPr>
                  </w:pPr>
                  <w:r>
                    <w:rPr>
                      <w:b/>
                      <w:bCs/>
                      <w:color w:val="auto"/>
                      <w:szCs w:val="21"/>
                    </w:rPr>
                    <w:t>mg/L</w:t>
                  </w:r>
                </w:p>
              </w:tc>
              <w:tc>
                <w:tcPr>
                  <w:tcW w:w="1088" w:type="dxa"/>
                  <w:noWrap/>
                  <w:vAlign w:val="center"/>
                </w:tcPr>
                <w:p w14:paraId="39B41BFE">
                  <w:pPr>
                    <w:jc w:val="center"/>
                    <w:rPr>
                      <w:b/>
                      <w:bCs/>
                      <w:color w:val="auto"/>
                      <w:szCs w:val="21"/>
                    </w:rPr>
                  </w:pPr>
                  <w:r>
                    <w:rPr>
                      <w:b/>
                      <w:bCs/>
                      <w:color w:val="auto"/>
                      <w:szCs w:val="21"/>
                    </w:rPr>
                    <w:t>mg/L</w:t>
                  </w:r>
                </w:p>
              </w:tc>
              <w:tc>
                <w:tcPr>
                  <w:tcW w:w="992" w:type="dxa"/>
                  <w:noWrap/>
                  <w:vAlign w:val="center"/>
                </w:tcPr>
                <w:p w14:paraId="41EC914F">
                  <w:pPr>
                    <w:jc w:val="center"/>
                    <w:rPr>
                      <w:b/>
                      <w:bCs/>
                      <w:color w:val="auto"/>
                      <w:szCs w:val="21"/>
                    </w:rPr>
                  </w:pPr>
                  <w:r>
                    <w:rPr>
                      <w:b/>
                      <w:bCs/>
                      <w:color w:val="auto"/>
                      <w:szCs w:val="21"/>
                    </w:rPr>
                    <w:t>mg/L</w:t>
                  </w:r>
                </w:p>
              </w:tc>
              <w:tc>
                <w:tcPr>
                  <w:tcW w:w="937" w:type="dxa"/>
                  <w:noWrap/>
                  <w:vAlign w:val="center"/>
                </w:tcPr>
                <w:p w14:paraId="5DB64EBF">
                  <w:pPr>
                    <w:jc w:val="center"/>
                    <w:rPr>
                      <w:b/>
                      <w:bCs/>
                      <w:color w:val="auto"/>
                      <w:szCs w:val="21"/>
                    </w:rPr>
                  </w:pPr>
                  <w:r>
                    <w:rPr>
                      <w:b/>
                      <w:bCs/>
                      <w:color w:val="auto"/>
                      <w:szCs w:val="21"/>
                    </w:rPr>
                    <w:t>mg/L</w:t>
                  </w:r>
                </w:p>
              </w:tc>
            </w:tr>
            <w:tr w14:paraId="2CB7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noWrap/>
                  <w:vAlign w:val="center"/>
                </w:tcPr>
                <w:p w14:paraId="5D1A7D46">
                  <w:pPr>
                    <w:jc w:val="center"/>
                    <w:rPr>
                      <w:color w:val="auto"/>
                      <w:szCs w:val="21"/>
                    </w:rPr>
                  </w:pPr>
                  <w:r>
                    <w:rPr>
                      <w:color w:val="auto"/>
                      <w:szCs w:val="21"/>
                    </w:rPr>
                    <w:t>202</w:t>
                  </w:r>
                  <w:r>
                    <w:rPr>
                      <w:rFonts w:hint="eastAsia"/>
                      <w:color w:val="auto"/>
                      <w:szCs w:val="21"/>
                      <w:lang w:val="en-US" w:eastAsia="zh-CN"/>
                    </w:rPr>
                    <w:t>4</w:t>
                  </w:r>
                  <w:r>
                    <w:rPr>
                      <w:rFonts w:hint="eastAsia"/>
                      <w:color w:val="auto"/>
                      <w:szCs w:val="21"/>
                    </w:rPr>
                    <w:t>-</w:t>
                  </w:r>
                  <w:r>
                    <w:rPr>
                      <w:rFonts w:hint="eastAsia"/>
                      <w:color w:val="auto"/>
                      <w:szCs w:val="21"/>
                      <w:lang w:val="en-US" w:eastAsia="zh-CN"/>
                    </w:rPr>
                    <w:t>6</w:t>
                  </w:r>
                  <w:r>
                    <w:rPr>
                      <w:rFonts w:hint="eastAsia"/>
                      <w:color w:val="auto"/>
                      <w:szCs w:val="21"/>
                    </w:rPr>
                    <w:t>-1</w:t>
                  </w:r>
                </w:p>
              </w:tc>
              <w:tc>
                <w:tcPr>
                  <w:tcW w:w="1699" w:type="dxa"/>
                  <w:noWrap/>
                  <w:vAlign w:val="center"/>
                </w:tcPr>
                <w:p w14:paraId="2EB86D87">
                  <w:pPr>
                    <w:jc w:val="center"/>
                    <w:rPr>
                      <w:color w:val="auto"/>
                    </w:rPr>
                  </w:pPr>
                  <w:r>
                    <w:rPr>
                      <w:rFonts w:hint="eastAsia"/>
                      <w:color w:val="auto"/>
                      <w:lang w:val="en-US" w:eastAsia="zh-CN"/>
                    </w:rPr>
                    <w:t>1180.97</w:t>
                  </w:r>
                </w:p>
              </w:tc>
              <w:tc>
                <w:tcPr>
                  <w:tcW w:w="967" w:type="dxa"/>
                  <w:noWrap/>
                  <w:vAlign w:val="center"/>
                </w:tcPr>
                <w:p w14:paraId="717BFDB1">
                  <w:pPr>
                    <w:jc w:val="center"/>
                    <w:rPr>
                      <w:color w:val="auto"/>
                      <w:szCs w:val="21"/>
                    </w:rPr>
                  </w:pPr>
                  <w:r>
                    <w:rPr>
                      <w:rFonts w:hint="eastAsia"/>
                      <w:color w:val="auto"/>
                      <w:szCs w:val="21"/>
                      <w:lang w:val="en-US" w:eastAsia="zh-CN"/>
                    </w:rPr>
                    <w:t>7.09</w:t>
                  </w:r>
                </w:p>
              </w:tc>
              <w:tc>
                <w:tcPr>
                  <w:tcW w:w="1569" w:type="dxa"/>
                  <w:noWrap/>
                  <w:vAlign w:val="center"/>
                </w:tcPr>
                <w:p w14:paraId="26EE7B62">
                  <w:pPr>
                    <w:jc w:val="center"/>
                    <w:rPr>
                      <w:color w:val="auto"/>
                      <w:szCs w:val="21"/>
                    </w:rPr>
                  </w:pPr>
                  <w:r>
                    <w:rPr>
                      <w:rFonts w:hint="eastAsia"/>
                      <w:color w:val="auto"/>
                      <w:szCs w:val="21"/>
                      <w:lang w:val="en-US" w:eastAsia="zh-CN"/>
                    </w:rPr>
                    <w:t>12.53</w:t>
                  </w:r>
                </w:p>
              </w:tc>
              <w:tc>
                <w:tcPr>
                  <w:tcW w:w="1088" w:type="dxa"/>
                  <w:noWrap/>
                  <w:vAlign w:val="center"/>
                </w:tcPr>
                <w:p w14:paraId="1AE9852D">
                  <w:pPr>
                    <w:jc w:val="center"/>
                    <w:rPr>
                      <w:color w:val="auto"/>
                      <w:szCs w:val="21"/>
                    </w:rPr>
                  </w:pPr>
                  <w:r>
                    <w:rPr>
                      <w:rFonts w:hint="eastAsia"/>
                      <w:color w:val="auto"/>
                      <w:szCs w:val="21"/>
                      <w:lang w:val="en-US" w:eastAsia="zh-CN"/>
                    </w:rPr>
                    <w:t>0.2886</w:t>
                  </w:r>
                </w:p>
              </w:tc>
              <w:tc>
                <w:tcPr>
                  <w:tcW w:w="992" w:type="dxa"/>
                  <w:noWrap/>
                  <w:vAlign w:val="center"/>
                </w:tcPr>
                <w:p w14:paraId="3F22AF17">
                  <w:pPr>
                    <w:jc w:val="center"/>
                    <w:rPr>
                      <w:color w:val="auto"/>
                      <w:szCs w:val="21"/>
                    </w:rPr>
                  </w:pPr>
                  <w:r>
                    <w:rPr>
                      <w:rFonts w:hint="eastAsia"/>
                      <w:color w:val="auto"/>
                      <w:szCs w:val="21"/>
                    </w:rPr>
                    <w:t>0.0</w:t>
                  </w:r>
                  <w:r>
                    <w:rPr>
                      <w:rFonts w:hint="eastAsia"/>
                      <w:color w:val="auto"/>
                      <w:szCs w:val="21"/>
                      <w:lang w:val="en-US" w:eastAsia="zh-CN"/>
                    </w:rPr>
                    <w:t>796</w:t>
                  </w:r>
                </w:p>
              </w:tc>
              <w:tc>
                <w:tcPr>
                  <w:tcW w:w="937" w:type="dxa"/>
                  <w:noWrap/>
                  <w:vAlign w:val="center"/>
                </w:tcPr>
                <w:p w14:paraId="26809A09">
                  <w:pPr>
                    <w:jc w:val="center"/>
                    <w:rPr>
                      <w:color w:val="auto"/>
                      <w:szCs w:val="21"/>
                    </w:rPr>
                  </w:pPr>
                  <w:r>
                    <w:rPr>
                      <w:rFonts w:hint="eastAsia"/>
                      <w:color w:val="auto"/>
                      <w:szCs w:val="21"/>
                      <w:lang w:val="en-US" w:eastAsia="zh-CN"/>
                    </w:rPr>
                    <w:t>4.009</w:t>
                  </w:r>
                </w:p>
              </w:tc>
            </w:tr>
            <w:tr w14:paraId="422A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noWrap/>
                  <w:vAlign w:val="center"/>
                </w:tcPr>
                <w:p w14:paraId="356BB94B">
                  <w:pPr>
                    <w:jc w:val="center"/>
                    <w:rPr>
                      <w:color w:val="auto"/>
                      <w:szCs w:val="21"/>
                    </w:rPr>
                  </w:pPr>
                  <w:r>
                    <w:rPr>
                      <w:color w:val="auto"/>
                      <w:szCs w:val="21"/>
                    </w:rPr>
                    <w:t>202</w:t>
                  </w:r>
                  <w:r>
                    <w:rPr>
                      <w:rFonts w:hint="eastAsia"/>
                      <w:color w:val="auto"/>
                      <w:szCs w:val="21"/>
                      <w:lang w:val="en-US" w:eastAsia="zh-CN"/>
                    </w:rPr>
                    <w:t>4</w:t>
                  </w:r>
                  <w:r>
                    <w:rPr>
                      <w:rFonts w:hint="eastAsia"/>
                      <w:color w:val="auto"/>
                      <w:szCs w:val="21"/>
                    </w:rPr>
                    <w:t>-</w:t>
                  </w:r>
                  <w:r>
                    <w:rPr>
                      <w:rFonts w:hint="eastAsia"/>
                      <w:color w:val="auto"/>
                      <w:szCs w:val="21"/>
                      <w:lang w:val="en-US" w:eastAsia="zh-CN"/>
                    </w:rPr>
                    <w:t>6</w:t>
                  </w:r>
                  <w:r>
                    <w:rPr>
                      <w:rFonts w:hint="eastAsia"/>
                      <w:color w:val="auto"/>
                      <w:szCs w:val="21"/>
                    </w:rPr>
                    <w:t>-</w:t>
                  </w:r>
                  <w:r>
                    <w:rPr>
                      <w:rFonts w:hint="eastAsia"/>
                      <w:color w:val="auto"/>
                      <w:szCs w:val="21"/>
                      <w:lang w:val="en-US" w:eastAsia="zh-CN"/>
                    </w:rPr>
                    <w:t>2</w:t>
                  </w:r>
                </w:p>
              </w:tc>
              <w:tc>
                <w:tcPr>
                  <w:tcW w:w="1699" w:type="dxa"/>
                  <w:noWrap/>
                  <w:vAlign w:val="center"/>
                </w:tcPr>
                <w:p w14:paraId="54EB61FC">
                  <w:pPr>
                    <w:jc w:val="center"/>
                    <w:rPr>
                      <w:color w:val="auto"/>
                      <w:szCs w:val="21"/>
                    </w:rPr>
                  </w:pPr>
                  <w:r>
                    <w:rPr>
                      <w:rFonts w:hint="eastAsia"/>
                      <w:color w:val="auto"/>
                      <w:szCs w:val="21"/>
                      <w:lang w:val="en-US" w:eastAsia="zh-CN"/>
                    </w:rPr>
                    <w:t>1186.09</w:t>
                  </w:r>
                </w:p>
              </w:tc>
              <w:tc>
                <w:tcPr>
                  <w:tcW w:w="967" w:type="dxa"/>
                  <w:noWrap/>
                  <w:vAlign w:val="center"/>
                </w:tcPr>
                <w:p w14:paraId="09A17CD2">
                  <w:pPr>
                    <w:jc w:val="center"/>
                    <w:rPr>
                      <w:color w:val="auto"/>
                      <w:szCs w:val="21"/>
                    </w:rPr>
                  </w:pPr>
                  <w:r>
                    <w:rPr>
                      <w:rFonts w:hint="eastAsia"/>
                      <w:color w:val="auto"/>
                      <w:szCs w:val="21"/>
                      <w:lang w:val="en-US" w:eastAsia="zh-CN"/>
                    </w:rPr>
                    <w:t>7.19</w:t>
                  </w:r>
                </w:p>
              </w:tc>
              <w:tc>
                <w:tcPr>
                  <w:tcW w:w="1569" w:type="dxa"/>
                  <w:noWrap/>
                  <w:vAlign w:val="center"/>
                </w:tcPr>
                <w:p w14:paraId="5D387457">
                  <w:pPr>
                    <w:jc w:val="center"/>
                    <w:rPr>
                      <w:color w:val="auto"/>
                      <w:szCs w:val="21"/>
                    </w:rPr>
                  </w:pPr>
                  <w:r>
                    <w:rPr>
                      <w:rFonts w:hint="eastAsia"/>
                      <w:color w:val="auto"/>
                      <w:szCs w:val="21"/>
                      <w:lang w:val="en-US" w:eastAsia="zh-CN"/>
                    </w:rPr>
                    <w:t>10.24</w:t>
                  </w:r>
                </w:p>
              </w:tc>
              <w:tc>
                <w:tcPr>
                  <w:tcW w:w="1088" w:type="dxa"/>
                  <w:noWrap/>
                  <w:vAlign w:val="center"/>
                </w:tcPr>
                <w:p w14:paraId="720F9495">
                  <w:pPr>
                    <w:jc w:val="center"/>
                    <w:rPr>
                      <w:color w:val="auto"/>
                      <w:szCs w:val="21"/>
                    </w:rPr>
                  </w:pPr>
                  <w:r>
                    <w:rPr>
                      <w:rFonts w:hint="eastAsia"/>
                      <w:color w:val="auto"/>
                      <w:szCs w:val="21"/>
                      <w:lang w:val="en-US" w:eastAsia="zh-CN"/>
                    </w:rPr>
                    <w:t>0.1255</w:t>
                  </w:r>
                </w:p>
              </w:tc>
              <w:tc>
                <w:tcPr>
                  <w:tcW w:w="992" w:type="dxa"/>
                  <w:noWrap/>
                  <w:vAlign w:val="center"/>
                </w:tcPr>
                <w:p w14:paraId="2458B6DA">
                  <w:pPr>
                    <w:jc w:val="center"/>
                    <w:rPr>
                      <w:color w:val="auto"/>
                      <w:szCs w:val="21"/>
                    </w:rPr>
                  </w:pPr>
                  <w:r>
                    <w:rPr>
                      <w:rFonts w:hint="eastAsia"/>
                      <w:color w:val="auto"/>
                      <w:szCs w:val="21"/>
                    </w:rPr>
                    <w:t>0.</w:t>
                  </w:r>
                  <w:r>
                    <w:rPr>
                      <w:rFonts w:hint="eastAsia"/>
                      <w:color w:val="auto"/>
                      <w:szCs w:val="21"/>
                      <w:lang w:val="en-US" w:eastAsia="zh-CN"/>
                    </w:rPr>
                    <w:t>0686</w:t>
                  </w:r>
                </w:p>
              </w:tc>
              <w:tc>
                <w:tcPr>
                  <w:tcW w:w="937" w:type="dxa"/>
                  <w:noWrap/>
                  <w:vAlign w:val="center"/>
                </w:tcPr>
                <w:p w14:paraId="288C3394">
                  <w:pPr>
                    <w:jc w:val="center"/>
                    <w:rPr>
                      <w:color w:val="auto"/>
                      <w:szCs w:val="21"/>
                    </w:rPr>
                  </w:pPr>
                  <w:r>
                    <w:rPr>
                      <w:rFonts w:hint="eastAsia"/>
                      <w:color w:val="auto"/>
                      <w:szCs w:val="21"/>
                      <w:lang w:val="en-US" w:eastAsia="zh-CN"/>
                    </w:rPr>
                    <w:t>3.657</w:t>
                  </w:r>
                </w:p>
              </w:tc>
            </w:tr>
            <w:tr w14:paraId="37EE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noWrap/>
                  <w:vAlign w:val="center"/>
                </w:tcPr>
                <w:p w14:paraId="5D772130">
                  <w:pPr>
                    <w:jc w:val="center"/>
                    <w:rPr>
                      <w:color w:val="auto"/>
                      <w:szCs w:val="21"/>
                    </w:rPr>
                  </w:pPr>
                  <w:r>
                    <w:rPr>
                      <w:color w:val="auto"/>
                      <w:szCs w:val="21"/>
                    </w:rPr>
                    <w:t>202</w:t>
                  </w:r>
                  <w:r>
                    <w:rPr>
                      <w:rFonts w:hint="eastAsia"/>
                      <w:color w:val="auto"/>
                      <w:szCs w:val="21"/>
                      <w:lang w:val="en-US" w:eastAsia="zh-CN"/>
                    </w:rPr>
                    <w:t>4</w:t>
                  </w:r>
                  <w:r>
                    <w:rPr>
                      <w:rFonts w:hint="eastAsia"/>
                      <w:color w:val="auto"/>
                      <w:szCs w:val="21"/>
                    </w:rPr>
                    <w:t>-</w:t>
                  </w:r>
                  <w:r>
                    <w:rPr>
                      <w:rFonts w:hint="eastAsia"/>
                      <w:color w:val="auto"/>
                      <w:szCs w:val="21"/>
                      <w:lang w:val="en-US" w:eastAsia="zh-CN"/>
                    </w:rPr>
                    <w:t>6</w:t>
                  </w:r>
                  <w:r>
                    <w:rPr>
                      <w:rFonts w:hint="eastAsia"/>
                      <w:color w:val="auto"/>
                      <w:szCs w:val="21"/>
                    </w:rPr>
                    <w:t>-</w:t>
                  </w:r>
                  <w:r>
                    <w:rPr>
                      <w:rFonts w:hint="eastAsia"/>
                      <w:color w:val="auto"/>
                      <w:szCs w:val="21"/>
                      <w:lang w:val="en-US" w:eastAsia="zh-CN"/>
                    </w:rPr>
                    <w:t>3</w:t>
                  </w:r>
                </w:p>
              </w:tc>
              <w:tc>
                <w:tcPr>
                  <w:tcW w:w="1699" w:type="dxa"/>
                  <w:noWrap/>
                  <w:vAlign w:val="center"/>
                </w:tcPr>
                <w:p w14:paraId="030A016F">
                  <w:pPr>
                    <w:jc w:val="center"/>
                    <w:rPr>
                      <w:color w:val="auto"/>
                      <w:szCs w:val="21"/>
                    </w:rPr>
                  </w:pPr>
                  <w:r>
                    <w:rPr>
                      <w:rFonts w:hint="eastAsia"/>
                      <w:color w:val="auto"/>
                      <w:szCs w:val="21"/>
                      <w:lang w:val="en-US" w:eastAsia="zh-CN"/>
                    </w:rPr>
                    <w:t>1103.34</w:t>
                  </w:r>
                </w:p>
              </w:tc>
              <w:tc>
                <w:tcPr>
                  <w:tcW w:w="967" w:type="dxa"/>
                  <w:noWrap/>
                  <w:vAlign w:val="center"/>
                </w:tcPr>
                <w:p w14:paraId="3B3BC191">
                  <w:pPr>
                    <w:jc w:val="center"/>
                    <w:rPr>
                      <w:color w:val="auto"/>
                      <w:szCs w:val="21"/>
                    </w:rPr>
                  </w:pPr>
                  <w:r>
                    <w:rPr>
                      <w:rFonts w:hint="eastAsia"/>
                      <w:color w:val="auto"/>
                      <w:szCs w:val="21"/>
                      <w:lang w:val="en-US" w:eastAsia="zh-CN"/>
                    </w:rPr>
                    <w:t>7.34</w:t>
                  </w:r>
                </w:p>
              </w:tc>
              <w:tc>
                <w:tcPr>
                  <w:tcW w:w="1569" w:type="dxa"/>
                  <w:noWrap/>
                  <w:vAlign w:val="center"/>
                </w:tcPr>
                <w:p w14:paraId="4D609869">
                  <w:pPr>
                    <w:jc w:val="center"/>
                    <w:rPr>
                      <w:color w:val="auto"/>
                      <w:szCs w:val="21"/>
                    </w:rPr>
                  </w:pPr>
                  <w:r>
                    <w:rPr>
                      <w:rFonts w:hint="eastAsia"/>
                      <w:color w:val="auto"/>
                      <w:szCs w:val="21"/>
                      <w:lang w:val="en-US" w:eastAsia="zh-CN"/>
                    </w:rPr>
                    <w:t>9.59</w:t>
                  </w:r>
                </w:p>
              </w:tc>
              <w:tc>
                <w:tcPr>
                  <w:tcW w:w="1088" w:type="dxa"/>
                  <w:noWrap/>
                  <w:vAlign w:val="center"/>
                </w:tcPr>
                <w:p w14:paraId="2E7CDA8F">
                  <w:pPr>
                    <w:jc w:val="center"/>
                    <w:rPr>
                      <w:color w:val="auto"/>
                      <w:szCs w:val="21"/>
                    </w:rPr>
                  </w:pPr>
                  <w:r>
                    <w:rPr>
                      <w:rFonts w:hint="eastAsia"/>
                      <w:color w:val="auto"/>
                      <w:szCs w:val="21"/>
                      <w:lang w:val="en-US" w:eastAsia="zh-CN"/>
                    </w:rPr>
                    <w:t>0.1403</w:t>
                  </w:r>
                </w:p>
              </w:tc>
              <w:tc>
                <w:tcPr>
                  <w:tcW w:w="992" w:type="dxa"/>
                  <w:noWrap/>
                  <w:vAlign w:val="center"/>
                </w:tcPr>
                <w:p w14:paraId="0A5228EE">
                  <w:pPr>
                    <w:jc w:val="center"/>
                    <w:rPr>
                      <w:color w:val="auto"/>
                      <w:szCs w:val="21"/>
                    </w:rPr>
                  </w:pPr>
                  <w:r>
                    <w:rPr>
                      <w:rFonts w:hint="eastAsia"/>
                      <w:color w:val="auto"/>
                      <w:szCs w:val="21"/>
                    </w:rPr>
                    <w:t>0.</w:t>
                  </w:r>
                  <w:r>
                    <w:rPr>
                      <w:rFonts w:hint="eastAsia"/>
                      <w:color w:val="auto"/>
                      <w:szCs w:val="21"/>
                      <w:lang w:val="en-US" w:eastAsia="zh-CN"/>
                    </w:rPr>
                    <w:t>0666</w:t>
                  </w:r>
                </w:p>
              </w:tc>
              <w:tc>
                <w:tcPr>
                  <w:tcW w:w="937" w:type="dxa"/>
                  <w:noWrap/>
                  <w:vAlign w:val="center"/>
                </w:tcPr>
                <w:p w14:paraId="6518F4CE">
                  <w:pPr>
                    <w:jc w:val="center"/>
                    <w:rPr>
                      <w:color w:val="auto"/>
                      <w:szCs w:val="21"/>
                    </w:rPr>
                  </w:pPr>
                  <w:r>
                    <w:rPr>
                      <w:rFonts w:hint="eastAsia"/>
                      <w:color w:val="auto"/>
                      <w:szCs w:val="21"/>
                      <w:lang w:val="en-US" w:eastAsia="zh-CN"/>
                    </w:rPr>
                    <w:t>4.487</w:t>
                  </w:r>
                </w:p>
              </w:tc>
            </w:tr>
            <w:tr w14:paraId="7C48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noWrap/>
                  <w:vAlign w:val="center"/>
                </w:tcPr>
                <w:p w14:paraId="3CDB8F6E">
                  <w:pPr>
                    <w:jc w:val="center"/>
                    <w:rPr>
                      <w:color w:val="auto"/>
                      <w:szCs w:val="21"/>
                    </w:rPr>
                  </w:pPr>
                  <w:r>
                    <w:rPr>
                      <w:color w:val="auto"/>
                      <w:szCs w:val="21"/>
                    </w:rPr>
                    <w:t>202</w:t>
                  </w:r>
                  <w:r>
                    <w:rPr>
                      <w:rFonts w:hint="eastAsia"/>
                      <w:color w:val="auto"/>
                      <w:szCs w:val="21"/>
                      <w:lang w:val="en-US" w:eastAsia="zh-CN"/>
                    </w:rPr>
                    <w:t>4</w:t>
                  </w:r>
                  <w:r>
                    <w:rPr>
                      <w:rFonts w:hint="eastAsia"/>
                      <w:color w:val="auto"/>
                      <w:szCs w:val="21"/>
                    </w:rPr>
                    <w:t>-</w:t>
                  </w:r>
                  <w:r>
                    <w:rPr>
                      <w:rFonts w:hint="eastAsia"/>
                      <w:color w:val="auto"/>
                      <w:szCs w:val="21"/>
                      <w:lang w:val="en-US" w:eastAsia="zh-CN"/>
                    </w:rPr>
                    <w:t>6</w:t>
                  </w:r>
                  <w:r>
                    <w:rPr>
                      <w:rFonts w:hint="eastAsia"/>
                      <w:color w:val="auto"/>
                      <w:szCs w:val="21"/>
                    </w:rPr>
                    <w:t>-</w:t>
                  </w:r>
                  <w:r>
                    <w:rPr>
                      <w:rFonts w:hint="eastAsia"/>
                      <w:color w:val="auto"/>
                      <w:szCs w:val="21"/>
                      <w:lang w:val="en-US" w:eastAsia="zh-CN"/>
                    </w:rPr>
                    <w:t>4</w:t>
                  </w:r>
                </w:p>
              </w:tc>
              <w:tc>
                <w:tcPr>
                  <w:tcW w:w="1699" w:type="dxa"/>
                  <w:noWrap/>
                  <w:vAlign w:val="center"/>
                </w:tcPr>
                <w:p w14:paraId="6DA6AC4A">
                  <w:pPr>
                    <w:jc w:val="center"/>
                    <w:rPr>
                      <w:color w:val="auto"/>
                      <w:szCs w:val="21"/>
                    </w:rPr>
                  </w:pPr>
                  <w:r>
                    <w:rPr>
                      <w:rFonts w:hint="eastAsia"/>
                      <w:color w:val="auto"/>
                      <w:szCs w:val="21"/>
                      <w:lang w:val="en-US" w:eastAsia="zh-CN"/>
                    </w:rPr>
                    <w:t>1168.68</w:t>
                  </w:r>
                </w:p>
              </w:tc>
              <w:tc>
                <w:tcPr>
                  <w:tcW w:w="967" w:type="dxa"/>
                  <w:noWrap/>
                  <w:vAlign w:val="center"/>
                </w:tcPr>
                <w:p w14:paraId="71654C8F">
                  <w:pPr>
                    <w:jc w:val="center"/>
                    <w:rPr>
                      <w:color w:val="auto"/>
                      <w:szCs w:val="21"/>
                    </w:rPr>
                  </w:pPr>
                  <w:r>
                    <w:rPr>
                      <w:rFonts w:hint="eastAsia"/>
                      <w:color w:val="auto"/>
                      <w:szCs w:val="21"/>
                      <w:lang w:val="en-US" w:eastAsia="zh-CN"/>
                    </w:rPr>
                    <w:t>7.4</w:t>
                  </w:r>
                </w:p>
              </w:tc>
              <w:tc>
                <w:tcPr>
                  <w:tcW w:w="1569" w:type="dxa"/>
                  <w:noWrap/>
                  <w:vAlign w:val="center"/>
                </w:tcPr>
                <w:p w14:paraId="475CB88B">
                  <w:pPr>
                    <w:jc w:val="center"/>
                    <w:rPr>
                      <w:color w:val="auto"/>
                      <w:szCs w:val="21"/>
                    </w:rPr>
                  </w:pPr>
                  <w:r>
                    <w:rPr>
                      <w:rFonts w:hint="eastAsia"/>
                      <w:color w:val="auto"/>
                      <w:szCs w:val="21"/>
                      <w:lang w:val="en-US" w:eastAsia="zh-CN"/>
                    </w:rPr>
                    <w:t>10.91</w:t>
                  </w:r>
                </w:p>
              </w:tc>
              <w:tc>
                <w:tcPr>
                  <w:tcW w:w="1088" w:type="dxa"/>
                  <w:noWrap/>
                  <w:vAlign w:val="center"/>
                </w:tcPr>
                <w:p w14:paraId="60C08926">
                  <w:pPr>
                    <w:jc w:val="center"/>
                    <w:rPr>
                      <w:color w:val="auto"/>
                      <w:szCs w:val="21"/>
                    </w:rPr>
                  </w:pPr>
                  <w:r>
                    <w:rPr>
                      <w:rFonts w:hint="eastAsia"/>
                      <w:color w:val="auto"/>
                      <w:szCs w:val="21"/>
                      <w:lang w:val="en-US" w:eastAsia="zh-CN"/>
                    </w:rPr>
                    <w:t>0.1196</w:t>
                  </w:r>
                </w:p>
              </w:tc>
              <w:tc>
                <w:tcPr>
                  <w:tcW w:w="992" w:type="dxa"/>
                  <w:noWrap/>
                  <w:vAlign w:val="center"/>
                </w:tcPr>
                <w:p w14:paraId="69311AFD">
                  <w:pPr>
                    <w:jc w:val="center"/>
                    <w:rPr>
                      <w:color w:val="auto"/>
                      <w:szCs w:val="21"/>
                    </w:rPr>
                  </w:pPr>
                  <w:r>
                    <w:rPr>
                      <w:rFonts w:hint="eastAsia"/>
                      <w:color w:val="auto"/>
                      <w:szCs w:val="21"/>
                    </w:rPr>
                    <w:t>0.0</w:t>
                  </w:r>
                  <w:r>
                    <w:rPr>
                      <w:rFonts w:hint="eastAsia"/>
                      <w:color w:val="auto"/>
                      <w:szCs w:val="21"/>
                      <w:lang w:val="en-US" w:eastAsia="zh-CN"/>
                    </w:rPr>
                    <w:t>693</w:t>
                  </w:r>
                </w:p>
              </w:tc>
              <w:tc>
                <w:tcPr>
                  <w:tcW w:w="937" w:type="dxa"/>
                  <w:noWrap/>
                  <w:vAlign w:val="center"/>
                </w:tcPr>
                <w:p w14:paraId="339DD57D">
                  <w:pPr>
                    <w:jc w:val="center"/>
                    <w:rPr>
                      <w:color w:val="auto"/>
                      <w:szCs w:val="21"/>
                    </w:rPr>
                  </w:pPr>
                  <w:r>
                    <w:rPr>
                      <w:rFonts w:hint="eastAsia"/>
                      <w:color w:val="auto"/>
                      <w:szCs w:val="21"/>
                      <w:lang w:val="en-US" w:eastAsia="zh-CN"/>
                    </w:rPr>
                    <w:t>5.606</w:t>
                  </w:r>
                </w:p>
              </w:tc>
            </w:tr>
            <w:tr w14:paraId="108B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noWrap/>
                  <w:vAlign w:val="center"/>
                </w:tcPr>
                <w:p w14:paraId="5A21165E">
                  <w:pPr>
                    <w:jc w:val="center"/>
                    <w:rPr>
                      <w:color w:val="auto"/>
                      <w:szCs w:val="21"/>
                    </w:rPr>
                  </w:pPr>
                  <w:r>
                    <w:rPr>
                      <w:color w:val="auto"/>
                      <w:szCs w:val="21"/>
                    </w:rPr>
                    <w:t>202</w:t>
                  </w:r>
                  <w:r>
                    <w:rPr>
                      <w:rFonts w:hint="eastAsia"/>
                      <w:color w:val="auto"/>
                      <w:szCs w:val="21"/>
                      <w:lang w:val="en-US" w:eastAsia="zh-CN"/>
                    </w:rPr>
                    <w:t>4</w:t>
                  </w:r>
                  <w:r>
                    <w:rPr>
                      <w:rFonts w:hint="eastAsia"/>
                      <w:color w:val="auto"/>
                      <w:szCs w:val="21"/>
                    </w:rPr>
                    <w:t>-</w:t>
                  </w:r>
                  <w:r>
                    <w:rPr>
                      <w:rFonts w:hint="eastAsia"/>
                      <w:color w:val="auto"/>
                      <w:szCs w:val="21"/>
                      <w:lang w:val="en-US" w:eastAsia="zh-CN"/>
                    </w:rPr>
                    <w:t>6</w:t>
                  </w:r>
                  <w:r>
                    <w:rPr>
                      <w:rFonts w:hint="eastAsia"/>
                      <w:color w:val="auto"/>
                      <w:szCs w:val="21"/>
                    </w:rPr>
                    <w:t>-</w:t>
                  </w:r>
                  <w:r>
                    <w:rPr>
                      <w:rFonts w:hint="eastAsia"/>
                      <w:color w:val="auto"/>
                      <w:szCs w:val="21"/>
                      <w:lang w:val="en-US" w:eastAsia="zh-CN"/>
                    </w:rPr>
                    <w:t>5</w:t>
                  </w:r>
                </w:p>
              </w:tc>
              <w:tc>
                <w:tcPr>
                  <w:tcW w:w="1699" w:type="dxa"/>
                  <w:noWrap/>
                  <w:vAlign w:val="center"/>
                </w:tcPr>
                <w:p w14:paraId="0F5D36C8">
                  <w:pPr>
                    <w:jc w:val="center"/>
                    <w:rPr>
                      <w:color w:val="auto"/>
                      <w:szCs w:val="21"/>
                    </w:rPr>
                  </w:pPr>
                  <w:r>
                    <w:rPr>
                      <w:rFonts w:hint="eastAsia"/>
                      <w:color w:val="auto"/>
                      <w:szCs w:val="21"/>
                      <w:lang w:val="en-US" w:eastAsia="zh-CN"/>
                    </w:rPr>
                    <w:t>1124.58</w:t>
                  </w:r>
                </w:p>
              </w:tc>
              <w:tc>
                <w:tcPr>
                  <w:tcW w:w="967" w:type="dxa"/>
                  <w:noWrap/>
                  <w:vAlign w:val="center"/>
                </w:tcPr>
                <w:p w14:paraId="371A6D8D">
                  <w:pPr>
                    <w:jc w:val="center"/>
                    <w:rPr>
                      <w:color w:val="auto"/>
                      <w:szCs w:val="21"/>
                    </w:rPr>
                  </w:pPr>
                  <w:r>
                    <w:rPr>
                      <w:rFonts w:hint="eastAsia"/>
                      <w:color w:val="auto"/>
                      <w:szCs w:val="21"/>
                      <w:lang w:val="en-US" w:eastAsia="zh-CN"/>
                    </w:rPr>
                    <w:t>7.4</w:t>
                  </w:r>
                </w:p>
              </w:tc>
              <w:tc>
                <w:tcPr>
                  <w:tcW w:w="1569" w:type="dxa"/>
                  <w:noWrap/>
                  <w:vAlign w:val="center"/>
                </w:tcPr>
                <w:p w14:paraId="708FC00B">
                  <w:pPr>
                    <w:jc w:val="center"/>
                    <w:rPr>
                      <w:color w:val="auto"/>
                      <w:szCs w:val="21"/>
                    </w:rPr>
                  </w:pPr>
                  <w:r>
                    <w:rPr>
                      <w:rFonts w:hint="eastAsia"/>
                      <w:color w:val="auto"/>
                      <w:szCs w:val="21"/>
                      <w:lang w:val="en-US" w:eastAsia="zh-CN"/>
                    </w:rPr>
                    <w:t>10.16</w:t>
                  </w:r>
                </w:p>
              </w:tc>
              <w:tc>
                <w:tcPr>
                  <w:tcW w:w="1088" w:type="dxa"/>
                  <w:noWrap/>
                  <w:vAlign w:val="center"/>
                </w:tcPr>
                <w:p w14:paraId="3F50DB94">
                  <w:pPr>
                    <w:jc w:val="center"/>
                    <w:rPr>
                      <w:color w:val="auto"/>
                      <w:szCs w:val="21"/>
                    </w:rPr>
                  </w:pPr>
                  <w:r>
                    <w:rPr>
                      <w:rFonts w:hint="eastAsia"/>
                      <w:color w:val="auto"/>
                      <w:szCs w:val="21"/>
                      <w:lang w:val="en-US" w:eastAsia="zh-CN"/>
                    </w:rPr>
                    <w:t>0.1315</w:t>
                  </w:r>
                </w:p>
              </w:tc>
              <w:tc>
                <w:tcPr>
                  <w:tcW w:w="992" w:type="dxa"/>
                  <w:noWrap/>
                  <w:vAlign w:val="center"/>
                </w:tcPr>
                <w:p w14:paraId="01CC48BD">
                  <w:pPr>
                    <w:jc w:val="center"/>
                    <w:rPr>
                      <w:color w:val="auto"/>
                      <w:szCs w:val="21"/>
                    </w:rPr>
                  </w:pPr>
                  <w:r>
                    <w:rPr>
                      <w:rFonts w:hint="eastAsia"/>
                      <w:color w:val="auto"/>
                      <w:szCs w:val="21"/>
                    </w:rPr>
                    <w:t>0.0</w:t>
                  </w:r>
                  <w:r>
                    <w:rPr>
                      <w:rFonts w:hint="eastAsia"/>
                      <w:color w:val="auto"/>
                      <w:szCs w:val="21"/>
                      <w:lang w:val="en-US" w:eastAsia="zh-CN"/>
                    </w:rPr>
                    <w:t>69</w:t>
                  </w:r>
                </w:p>
              </w:tc>
              <w:tc>
                <w:tcPr>
                  <w:tcW w:w="937" w:type="dxa"/>
                  <w:noWrap/>
                  <w:vAlign w:val="center"/>
                </w:tcPr>
                <w:p w14:paraId="7740A47E">
                  <w:pPr>
                    <w:jc w:val="center"/>
                    <w:rPr>
                      <w:color w:val="auto"/>
                      <w:szCs w:val="21"/>
                    </w:rPr>
                  </w:pPr>
                  <w:r>
                    <w:rPr>
                      <w:rFonts w:hint="eastAsia"/>
                      <w:color w:val="auto"/>
                      <w:szCs w:val="21"/>
                      <w:lang w:val="en-US" w:eastAsia="zh-CN"/>
                    </w:rPr>
                    <w:t>6.186</w:t>
                  </w:r>
                </w:p>
              </w:tc>
            </w:tr>
            <w:tr w14:paraId="4D41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noWrap/>
                  <w:vAlign w:val="center"/>
                </w:tcPr>
                <w:p w14:paraId="2CFC4E65">
                  <w:pPr>
                    <w:jc w:val="center"/>
                    <w:rPr>
                      <w:color w:val="auto"/>
                      <w:szCs w:val="21"/>
                    </w:rPr>
                  </w:pPr>
                  <w:r>
                    <w:rPr>
                      <w:color w:val="auto"/>
                      <w:szCs w:val="21"/>
                    </w:rPr>
                    <w:t>202</w:t>
                  </w:r>
                  <w:r>
                    <w:rPr>
                      <w:rFonts w:hint="eastAsia"/>
                      <w:color w:val="auto"/>
                      <w:szCs w:val="21"/>
                      <w:lang w:val="en-US" w:eastAsia="zh-CN"/>
                    </w:rPr>
                    <w:t>4</w:t>
                  </w:r>
                  <w:r>
                    <w:rPr>
                      <w:rFonts w:hint="eastAsia"/>
                      <w:color w:val="auto"/>
                      <w:szCs w:val="21"/>
                    </w:rPr>
                    <w:t>-</w:t>
                  </w:r>
                  <w:r>
                    <w:rPr>
                      <w:rFonts w:hint="eastAsia"/>
                      <w:color w:val="auto"/>
                      <w:szCs w:val="21"/>
                      <w:lang w:val="en-US" w:eastAsia="zh-CN"/>
                    </w:rPr>
                    <w:t>6</w:t>
                  </w:r>
                  <w:r>
                    <w:rPr>
                      <w:rFonts w:hint="eastAsia"/>
                      <w:color w:val="auto"/>
                      <w:szCs w:val="21"/>
                    </w:rPr>
                    <w:t>-</w:t>
                  </w:r>
                  <w:r>
                    <w:rPr>
                      <w:rFonts w:hint="eastAsia"/>
                      <w:color w:val="auto"/>
                      <w:szCs w:val="21"/>
                      <w:lang w:val="en-US" w:eastAsia="zh-CN"/>
                    </w:rPr>
                    <w:t>6</w:t>
                  </w:r>
                </w:p>
              </w:tc>
              <w:tc>
                <w:tcPr>
                  <w:tcW w:w="1699" w:type="dxa"/>
                  <w:noWrap/>
                  <w:vAlign w:val="center"/>
                </w:tcPr>
                <w:p w14:paraId="2F5C142E">
                  <w:pPr>
                    <w:jc w:val="center"/>
                    <w:rPr>
                      <w:color w:val="auto"/>
                      <w:szCs w:val="21"/>
                    </w:rPr>
                  </w:pPr>
                  <w:r>
                    <w:rPr>
                      <w:rFonts w:hint="eastAsia"/>
                      <w:color w:val="auto"/>
                      <w:szCs w:val="21"/>
                      <w:lang w:val="en-US" w:eastAsia="zh-CN"/>
                    </w:rPr>
                    <w:t>1160.43</w:t>
                  </w:r>
                </w:p>
              </w:tc>
              <w:tc>
                <w:tcPr>
                  <w:tcW w:w="967" w:type="dxa"/>
                  <w:noWrap/>
                  <w:vAlign w:val="center"/>
                </w:tcPr>
                <w:p w14:paraId="62532898">
                  <w:pPr>
                    <w:jc w:val="center"/>
                    <w:rPr>
                      <w:color w:val="auto"/>
                      <w:szCs w:val="21"/>
                    </w:rPr>
                  </w:pPr>
                  <w:r>
                    <w:rPr>
                      <w:rFonts w:hint="eastAsia"/>
                      <w:color w:val="auto"/>
                      <w:szCs w:val="21"/>
                      <w:lang w:val="en-US" w:eastAsia="zh-CN"/>
                    </w:rPr>
                    <w:t>7.05</w:t>
                  </w:r>
                </w:p>
              </w:tc>
              <w:tc>
                <w:tcPr>
                  <w:tcW w:w="1569" w:type="dxa"/>
                  <w:noWrap/>
                  <w:vAlign w:val="center"/>
                </w:tcPr>
                <w:p w14:paraId="7F74DE1B">
                  <w:pPr>
                    <w:jc w:val="center"/>
                    <w:rPr>
                      <w:color w:val="auto"/>
                      <w:szCs w:val="21"/>
                    </w:rPr>
                  </w:pPr>
                  <w:r>
                    <w:rPr>
                      <w:rFonts w:hint="eastAsia"/>
                      <w:color w:val="auto"/>
                      <w:szCs w:val="21"/>
                      <w:lang w:val="en-US" w:eastAsia="zh-CN"/>
                    </w:rPr>
                    <w:t>11.91</w:t>
                  </w:r>
                </w:p>
              </w:tc>
              <w:tc>
                <w:tcPr>
                  <w:tcW w:w="1088" w:type="dxa"/>
                  <w:noWrap/>
                  <w:vAlign w:val="center"/>
                </w:tcPr>
                <w:p w14:paraId="15A60E42">
                  <w:pPr>
                    <w:jc w:val="center"/>
                    <w:rPr>
                      <w:color w:val="auto"/>
                      <w:szCs w:val="21"/>
                    </w:rPr>
                  </w:pPr>
                  <w:r>
                    <w:rPr>
                      <w:rFonts w:hint="eastAsia"/>
                      <w:color w:val="auto"/>
                      <w:szCs w:val="21"/>
                      <w:lang w:val="en-US" w:eastAsia="zh-CN"/>
                    </w:rPr>
                    <w:t>0.1425</w:t>
                  </w:r>
                </w:p>
              </w:tc>
              <w:tc>
                <w:tcPr>
                  <w:tcW w:w="992" w:type="dxa"/>
                  <w:noWrap/>
                  <w:vAlign w:val="center"/>
                </w:tcPr>
                <w:p w14:paraId="76953955">
                  <w:pPr>
                    <w:jc w:val="center"/>
                    <w:rPr>
                      <w:color w:val="auto"/>
                      <w:szCs w:val="21"/>
                    </w:rPr>
                  </w:pPr>
                  <w:r>
                    <w:rPr>
                      <w:rFonts w:hint="eastAsia"/>
                      <w:color w:val="auto"/>
                      <w:szCs w:val="21"/>
                    </w:rPr>
                    <w:t>0.0</w:t>
                  </w:r>
                  <w:r>
                    <w:rPr>
                      <w:rFonts w:hint="eastAsia"/>
                      <w:color w:val="auto"/>
                      <w:szCs w:val="21"/>
                      <w:lang w:val="en-US" w:eastAsia="zh-CN"/>
                    </w:rPr>
                    <w:t>755</w:t>
                  </w:r>
                </w:p>
              </w:tc>
              <w:tc>
                <w:tcPr>
                  <w:tcW w:w="937" w:type="dxa"/>
                  <w:noWrap/>
                  <w:vAlign w:val="center"/>
                </w:tcPr>
                <w:p w14:paraId="085F1467">
                  <w:pPr>
                    <w:jc w:val="center"/>
                    <w:rPr>
                      <w:color w:val="auto"/>
                      <w:szCs w:val="21"/>
                    </w:rPr>
                  </w:pPr>
                  <w:r>
                    <w:rPr>
                      <w:rFonts w:hint="eastAsia"/>
                      <w:color w:val="auto"/>
                      <w:szCs w:val="21"/>
                      <w:lang w:val="en-US" w:eastAsia="zh-CN"/>
                    </w:rPr>
                    <w:t>5.968</w:t>
                  </w:r>
                </w:p>
              </w:tc>
            </w:tr>
            <w:tr w14:paraId="73EF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noWrap/>
                  <w:vAlign w:val="center"/>
                </w:tcPr>
                <w:p w14:paraId="67515B90">
                  <w:pPr>
                    <w:jc w:val="center"/>
                    <w:rPr>
                      <w:color w:val="auto"/>
                      <w:szCs w:val="21"/>
                    </w:rPr>
                  </w:pPr>
                  <w:r>
                    <w:rPr>
                      <w:color w:val="auto"/>
                      <w:szCs w:val="21"/>
                    </w:rPr>
                    <w:t>202</w:t>
                  </w:r>
                  <w:r>
                    <w:rPr>
                      <w:rFonts w:hint="eastAsia"/>
                      <w:color w:val="auto"/>
                      <w:szCs w:val="21"/>
                      <w:lang w:val="en-US" w:eastAsia="zh-CN"/>
                    </w:rPr>
                    <w:t>4</w:t>
                  </w:r>
                  <w:r>
                    <w:rPr>
                      <w:rFonts w:hint="eastAsia"/>
                      <w:color w:val="auto"/>
                      <w:szCs w:val="21"/>
                    </w:rPr>
                    <w:t>-</w:t>
                  </w:r>
                  <w:r>
                    <w:rPr>
                      <w:rFonts w:hint="eastAsia"/>
                      <w:color w:val="auto"/>
                      <w:szCs w:val="21"/>
                      <w:lang w:val="en-US" w:eastAsia="zh-CN"/>
                    </w:rPr>
                    <w:t>6</w:t>
                  </w:r>
                  <w:r>
                    <w:rPr>
                      <w:rFonts w:hint="eastAsia"/>
                      <w:color w:val="auto"/>
                      <w:szCs w:val="21"/>
                    </w:rPr>
                    <w:t>-</w:t>
                  </w:r>
                  <w:r>
                    <w:rPr>
                      <w:rFonts w:hint="eastAsia"/>
                      <w:color w:val="auto"/>
                      <w:szCs w:val="21"/>
                      <w:lang w:val="en-US" w:eastAsia="zh-CN"/>
                    </w:rPr>
                    <w:t>7</w:t>
                  </w:r>
                </w:p>
              </w:tc>
              <w:tc>
                <w:tcPr>
                  <w:tcW w:w="1699" w:type="dxa"/>
                  <w:noWrap/>
                  <w:vAlign w:val="center"/>
                </w:tcPr>
                <w:p w14:paraId="12298493">
                  <w:pPr>
                    <w:jc w:val="center"/>
                    <w:rPr>
                      <w:color w:val="auto"/>
                      <w:szCs w:val="21"/>
                    </w:rPr>
                  </w:pPr>
                  <w:r>
                    <w:rPr>
                      <w:rFonts w:hint="eastAsia"/>
                      <w:color w:val="auto"/>
                      <w:szCs w:val="21"/>
                      <w:lang w:val="en-US" w:eastAsia="zh-CN"/>
                    </w:rPr>
                    <w:t>1066.24</w:t>
                  </w:r>
                </w:p>
              </w:tc>
              <w:tc>
                <w:tcPr>
                  <w:tcW w:w="967" w:type="dxa"/>
                  <w:noWrap/>
                  <w:vAlign w:val="center"/>
                </w:tcPr>
                <w:p w14:paraId="724369DB">
                  <w:pPr>
                    <w:jc w:val="center"/>
                    <w:rPr>
                      <w:color w:val="auto"/>
                      <w:szCs w:val="21"/>
                    </w:rPr>
                  </w:pPr>
                  <w:r>
                    <w:rPr>
                      <w:rFonts w:hint="eastAsia"/>
                      <w:color w:val="auto"/>
                      <w:szCs w:val="21"/>
                      <w:lang w:val="en-US" w:eastAsia="zh-CN"/>
                    </w:rPr>
                    <w:t>6.73</w:t>
                  </w:r>
                </w:p>
              </w:tc>
              <w:tc>
                <w:tcPr>
                  <w:tcW w:w="1569" w:type="dxa"/>
                  <w:noWrap/>
                  <w:vAlign w:val="center"/>
                </w:tcPr>
                <w:p w14:paraId="4703A3E3">
                  <w:pPr>
                    <w:jc w:val="center"/>
                    <w:rPr>
                      <w:color w:val="auto"/>
                      <w:szCs w:val="21"/>
                    </w:rPr>
                  </w:pPr>
                  <w:r>
                    <w:rPr>
                      <w:rFonts w:hint="eastAsia"/>
                      <w:color w:val="auto"/>
                      <w:szCs w:val="21"/>
                      <w:lang w:val="en-US" w:eastAsia="zh-CN"/>
                    </w:rPr>
                    <w:t>11.3</w:t>
                  </w:r>
                </w:p>
              </w:tc>
              <w:tc>
                <w:tcPr>
                  <w:tcW w:w="1088" w:type="dxa"/>
                  <w:noWrap/>
                  <w:vAlign w:val="center"/>
                </w:tcPr>
                <w:p w14:paraId="2E55A3A3">
                  <w:pPr>
                    <w:jc w:val="center"/>
                    <w:rPr>
                      <w:color w:val="auto"/>
                      <w:szCs w:val="21"/>
                    </w:rPr>
                  </w:pPr>
                  <w:r>
                    <w:rPr>
                      <w:rFonts w:hint="eastAsia"/>
                      <w:color w:val="auto"/>
                      <w:szCs w:val="21"/>
                      <w:lang w:val="en-US" w:eastAsia="zh-CN"/>
                    </w:rPr>
                    <w:t>0.1612</w:t>
                  </w:r>
                </w:p>
              </w:tc>
              <w:tc>
                <w:tcPr>
                  <w:tcW w:w="992" w:type="dxa"/>
                  <w:noWrap/>
                  <w:vAlign w:val="center"/>
                </w:tcPr>
                <w:p w14:paraId="0E11F2A3">
                  <w:pPr>
                    <w:jc w:val="center"/>
                    <w:rPr>
                      <w:color w:val="auto"/>
                      <w:szCs w:val="21"/>
                    </w:rPr>
                  </w:pPr>
                  <w:r>
                    <w:rPr>
                      <w:rFonts w:hint="eastAsia"/>
                      <w:color w:val="auto"/>
                      <w:szCs w:val="21"/>
                    </w:rPr>
                    <w:t>0.0</w:t>
                  </w:r>
                  <w:r>
                    <w:rPr>
                      <w:rFonts w:hint="eastAsia"/>
                      <w:color w:val="auto"/>
                      <w:szCs w:val="21"/>
                      <w:lang w:val="en-US" w:eastAsia="zh-CN"/>
                    </w:rPr>
                    <w:t>733</w:t>
                  </w:r>
                </w:p>
              </w:tc>
              <w:tc>
                <w:tcPr>
                  <w:tcW w:w="937" w:type="dxa"/>
                  <w:noWrap/>
                  <w:vAlign w:val="center"/>
                </w:tcPr>
                <w:p w14:paraId="515444A4">
                  <w:pPr>
                    <w:jc w:val="center"/>
                    <w:rPr>
                      <w:color w:val="auto"/>
                      <w:szCs w:val="21"/>
                    </w:rPr>
                  </w:pPr>
                  <w:r>
                    <w:rPr>
                      <w:rFonts w:hint="eastAsia"/>
                      <w:color w:val="auto"/>
                      <w:szCs w:val="21"/>
                      <w:lang w:val="en-US" w:eastAsia="zh-CN"/>
                    </w:rPr>
                    <w:t>6.61</w:t>
                  </w:r>
                </w:p>
              </w:tc>
            </w:tr>
            <w:tr w14:paraId="7717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noWrap/>
                  <w:vAlign w:val="center"/>
                </w:tcPr>
                <w:p w14:paraId="78A461EC">
                  <w:pPr>
                    <w:jc w:val="center"/>
                    <w:rPr>
                      <w:color w:val="auto"/>
                      <w:szCs w:val="21"/>
                    </w:rPr>
                  </w:pPr>
                  <w:r>
                    <w:rPr>
                      <w:color w:val="auto"/>
                      <w:szCs w:val="21"/>
                    </w:rPr>
                    <w:t>202</w:t>
                  </w:r>
                  <w:r>
                    <w:rPr>
                      <w:rFonts w:hint="eastAsia"/>
                      <w:color w:val="auto"/>
                      <w:szCs w:val="21"/>
                      <w:lang w:val="en-US" w:eastAsia="zh-CN"/>
                    </w:rPr>
                    <w:t>4</w:t>
                  </w:r>
                  <w:r>
                    <w:rPr>
                      <w:rFonts w:hint="eastAsia"/>
                      <w:color w:val="auto"/>
                      <w:szCs w:val="21"/>
                    </w:rPr>
                    <w:t>-</w:t>
                  </w:r>
                  <w:r>
                    <w:rPr>
                      <w:rFonts w:hint="eastAsia"/>
                      <w:color w:val="auto"/>
                      <w:szCs w:val="21"/>
                      <w:lang w:val="en-US" w:eastAsia="zh-CN"/>
                    </w:rPr>
                    <w:t>6</w:t>
                  </w:r>
                  <w:r>
                    <w:rPr>
                      <w:rFonts w:hint="eastAsia"/>
                      <w:color w:val="auto"/>
                      <w:szCs w:val="21"/>
                    </w:rPr>
                    <w:t>-</w:t>
                  </w:r>
                  <w:r>
                    <w:rPr>
                      <w:rFonts w:hint="eastAsia"/>
                      <w:color w:val="auto"/>
                      <w:szCs w:val="21"/>
                      <w:lang w:val="en-US" w:eastAsia="zh-CN"/>
                    </w:rPr>
                    <w:t>8</w:t>
                  </w:r>
                </w:p>
              </w:tc>
              <w:tc>
                <w:tcPr>
                  <w:tcW w:w="1699" w:type="dxa"/>
                  <w:noWrap/>
                  <w:vAlign w:val="center"/>
                </w:tcPr>
                <w:p w14:paraId="57E0B433">
                  <w:pPr>
                    <w:jc w:val="center"/>
                    <w:rPr>
                      <w:color w:val="auto"/>
                      <w:szCs w:val="21"/>
                    </w:rPr>
                  </w:pPr>
                  <w:r>
                    <w:rPr>
                      <w:rFonts w:hint="eastAsia"/>
                      <w:color w:val="auto"/>
                      <w:szCs w:val="21"/>
                      <w:lang w:val="en-US" w:eastAsia="zh-CN"/>
                    </w:rPr>
                    <w:t>1074.82</w:t>
                  </w:r>
                </w:p>
              </w:tc>
              <w:tc>
                <w:tcPr>
                  <w:tcW w:w="967" w:type="dxa"/>
                  <w:noWrap/>
                  <w:vAlign w:val="center"/>
                </w:tcPr>
                <w:p w14:paraId="61445CD1">
                  <w:pPr>
                    <w:jc w:val="center"/>
                    <w:rPr>
                      <w:color w:val="auto"/>
                      <w:szCs w:val="21"/>
                    </w:rPr>
                  </w:pPr>
                  <w:r>
                    <w:rPr>
                      <w:rFonts w:hint="eastAsia"/>
                      <w:color w:val="auto"/>
                      <w:szCs w:val="21"/>
                      <w:lang w:val="en-US" w:eastAsia="zh-CN"/>
                    </w:rPr>
                    <w:t>6.73</w:t>
                  </w:r>
                </w:p>
              </w:tc>
              <w:tc>
                <w:tcPr>
                  <w:tcW w:w="1569" w:type="dxa"/>
                  <w:noWrap/>
                  <w:vAlign w:val="center"/>
                </w:tcPr>
                <w:p w14:paraId="34D4D9BF">
                  <w:pPr>
                    <w:jc w:val="center"/>
                    <w:rPr>
                      <w:color w:val="auto"/>
                      <w:szCs w:val="21"/>
                    </w:rPr>
                  </w:pPr>
                  <w:r>
                    <w:rPr>
                      <w:rFonts w:hint="eastAsia"/>
                      <w:color w:val="auto"/>
                      <w:szCs w:val="21"/>
                      <w:lang w:val="en-US" w:eastAsia="zh-CN"/>
                    </w:rPr>
                    <w:t>11.63</w:t>
                  </w:r>
                </w:p>
              </w:tc>
              <w:tc>
                <w:tcPr>
                  <w:tcW w:w="1088" w:type="dxa"/>
                  <w:noWrap/>
                  <w:vAlign w:val="center"/>
                </w:tcPr>
                <w:p w14:paraId="47414AB9">
                  <w:pPr>
                    <w:jc w:val="center"/>
                    <w:rPr>
                      <w:color w:val="auto"/>
                      <w:szCs w:val="21"/>
                    </w:rPr>
                  </w:pPr>
                  <w:r>
                    <w:rPr>
                      <w:rFonts w:hint="eastAsia"/>
                      <w:color w:val="auto"/>
                      <w:szCs w:val="21"/>
                      <w:lang w:val="en-US" w:eastAsia="zh-CN"/>
                    </w:rPr>
                    <w:t>0.2604</w:t>
                  </w:r>
                </w:p>
              </w:tc>
              <w:tc>
                <w:tcPr>
                  <w:tcW w:w="992" w:type="dxa"/>
                  <w:noWrap/>
                  <w:vAlign w:val="center"/>
                </w:tcPr>
                <w:p w14:paraId="38CCA210">
                  <w:pPr>
                    <w:jc w:val="center"/>
                    <w:rPr>
                      <w:color w:val="auto"/>
                      <w:szCs w:val="21"/>
                    </w:rPr>
                  </w:pPr>
                  <w:r>
                    <w:rPr>
                      <w:rFonts w:hint="eastAsia"/>
                      <w:color w:val="auto"/>
                      <w:szCs w:val="21"/>
                    </w:rPr>
                    <w:t>0.0</w:t>
                  </w:r>
                  <w:r>
                    <w:rPr>
                      <w:rFonts w:hint="eastAsia"/>
                      <w:color w:val="auto"/>
                      <w:szCs w:val="21"/>
                      <w:lang w:val="en-US" w:eastAsia="zh-CN"/>
                    </w:rPr>
                    <w:t>67</w:t>
                  </w:r>
                </w:p>
              </w:tc>
              <w:tc>
                <w:tcPr>
                  <w:tcW w:w="937" w:type="dxa"/>
                  <w:noWrap/>
                  <w:vAlign w:val="center"/>
                </w:tcPr>
                <w:p w14:paraId="5908C86B">
                  <w:pPr>
                    <w:jc w:val="center"/>
                    <w:rPr>
                      <w:color w:val="auto"/>
                      <w:szCs w:val="21"/>
                    </w:rPr>
                  </w:pPr>
                  <w:r>
                    <w:rPr>
                      <w:rFonts w:hint="eastAsia"/>
                      <w:color w:val="auto"/>
                      <w:szCs w:val="21"/>
                      <w:lang w:val="en-US" w:eastAsia="zh-CN"/>
                    </w:rPr>
                    <w:t>6.889</w:t>
                  </w:r>
                </w:p>
              </w:tc>
            </w:tr>
            <w:tr w14:paraId="5101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98" w:type="dxa"/>
                  <w:noWrap/>
                  <w:vAlign w:val="center"/>
                </w:tcPr>
                <w:p w14:paraId="41A8C1B3">
                  <w:pPr>
                    <w:jc w:val="center"/>
                    <w:rPr>
                      <w:color w:val="auto"/>
                      <w:szCs w:val="21"/>
                    </w:rPr>
                  </w:pPr>
                  <w:r>
                    <w:rPr>
                      <w:color w:val="auto"/>
                      <w:szCs w:val="21"/>
                    </w:rPr>
                    <w:t>达标情况</w:t>
                  </w:r>
                </w:p>
              </w:tc>
              <w:tc>
                <w:tcPr>
                  <w:tcW w:w="1699" w:type="dxa"/>
                  <w:noWrap/>
                  <w:vAlign w:val="center"/>
                </w:tcPr>
                <w:p w14:paraId="2A3905A3">
                  <w:pPr>
                    <w:jc w:val="center"/>
                    <w:rPr>
                      <w:color w:val="auto"/>
                      <w:szCs w:val="21"/>
                    </w:rPr>
                  </w:pPr>
                  <w:r>
                    <w:rPr>
                      <w:color w:val="auto"/>
                      <w:szCs w:val="21"/>
                    </w:rPr>
                    <w:t>正常</w:t>
                  </w:r>
                </w:p>
              </w:tc>
              <w:tc>
                <w:tcPr>
                  <w:tcW w:w="967" w:type="dxa"/>
                  <w:noWrap/>
                  <w:vAlign w:val="center"/>
                </w:tcPr>
                <w:p w14:paraId="4AFB438B">
                  <w:pPr>
                    <w:jc w:val="center"/>
                    <w:rPr>
                      <w:color w:val="auto"/>
                      <w:szCs w:val="21"/>
                    </w:rPr>
                  </w:pPr>
                  <w:r>
                    <w:rPr>
                      <w:color w:val="auto"/>
                      <w:szCs w:val="21"/>
                    </w:rPr>
                    <w:t>正常</w:t>
                  </w:r>
                </w:p>
              </w:tc>
              <w:tc>
                <w:tcPr>
                  <w:tcW w:w="1569" w:type="dxa"/>
                  <w:noWrap/>
                  <w:vAlign w:val="center"/>
                </w:tcPr>
                <w:p w14:paraId="33E84B9C">
                  <w:pPr>
                    <w:jc w:val="center"/>
                    <w:rPr>
                      <w:color w:val="auto"/>
                      <w:szCs w:val="21"/>
                    </w:rPr>
                  </w:pPr>
                  <w:r>
                    <w:rPr>
                      <w:color w:val="auto"/>
                      <w:szCs w:val="21"/>
                    </w:rPr>
                    <w:t>正常</w:t>
                  </w:r>
                </w:p>
              </w:tc>
              <w:tc>
                <w:tcPr>
                  <w:tcW w:w="1088" w:type="dxa"/>
                  <w:noWrap/>
                  <w:vAlign w:val="center"/>
                </w:tcPr>
                <w:p w14:paraId="06C26AFB">
                  <w:pPr>
                    <w:jc w:val="center"/>
                    <w:rPr>
                      <w:color w:val="auto"/>
                      <w:szCs w:val="21"/>
                    </w:rPr>
                  </w:pPr>
                  <w:r>
                    <w:rPr>
                      <w:color w:val="auto"/>
                      <w:szCs w:val="21"/>
                    </w:rPr>
                    <w:t>正常</w:t>
                  </w:r>
                </w:p>
              </w:tc>
              <w:tc>
                <w:tcPr>
                  <w:tcW w:w="992" w:type="dxa"/>
                  <w:noWrap/>
                  <w:vAlign w:val="center"/>
                </w:tcPr>
                <w:p w14:paraId="0A0E3242">
                  <w:pPr>
                    <w:jc w:val="center"/>
                    <w:rPr>
                      <w:color w:val="auto"/>
                      <w:szCs w:val="21"/>
                    </w:rPr>
                  </w:pPr>
                  <w:r>
                    <w:rPr>
                      <w:color w:val="auto"/>
                      <w:szCs w:val="21"/>
                    </w:rPr>
                    <w:t>正常</w:t>
                  </w:r>
                </w:p>
              </w:tc>
              <w:tc>
                <w:tcPr>
                  <w:tcW w:w="937" w:type="dxa"/>
                  <w:noWrap/>
                  <w:vAlign w:val="center"/>
                </w:tcPr>
                <w:p w14:paraId="29EC4973">
                  <w:pPr>
                    <w:jc w:val="center"/>
                    <w:rPr>
                      <w:color w:val="auto"/>
                      <w:szCs w:val="21"/>
                    </w:rPr>
                  </w:pPr>
                  <w:r>
                    <w:rPr>
                      <w:color w:val="auto"/>
                      <w:szCs w:val="21"/>
                    </w:rPr>
                    <w:t>正常</w:t>
                  </w:r>
                </w:p>
              </w:tc>
            </w:tr>
          </w:tbl>
          <w:p w14:paraId="290AFB8B">
            <w:pPr>
              <w:pStyle w:val="108"/>
              <w:spacing w:line="420" w:lineRule="exact"/>
              <w:ind w:firstLine="480"/>
              <w:rPr>
                <w:rFonts w:eastAsia="宋体"/>
                <w:color w:val="auto"/>
                <w:szCs w:val="24"/>
              </w:rPr>
            </w:pPr>
            <w:r>
              <w:rPr>
                <w:rFonts w:eastAsia="宋体"/>
                <w:color w:val="auto"/>
                <w:szCs w:val="24"/>
              </w:rPr>
              <w:t>根据企业自行监测信息可知，</w:t>
            </w:r>
            <w:r>
              <w:rPr>
                <w:rFonts w:hint="eastAsia" w:eastAsia="宋体"/>
                <w:color w:val="auto"/>
                <w:szCs w:val="24"/>
              </w:rPr>
              <w:t>安吉净源污水处理有限公司</w:t>
            </w:r>
            <w:r>
              <w:rPr>
                <w:rFonts w:eastAsia="宋体"/>
                <w:color w:val="auto"/>
                <w:szCs w:val="24"/>
              </w:rPr>
              <w:t>尾水中各污染因子</w:t>
            </w:r>
            <w:r>
              <w:rPr>
                <w:rFonts w:hint="eastAsia" w:eastAsia="宋体"/>
                <w:color w:val="auto"/>
                <w:szCs w:val="24"/>
              </w:rPr>
              <w:t>可以达到</w:t>
            </w:r>
            <w:r>
              <w:rPr>
                <w:rFonts w:eastAsia="宋体"/>
                <w:color w:val="auto"/>
                <w:szCs w:val="24"/>
              </w:rPr>
              <w:t>《城镇污水处理厂污染物排放标准》（GB18918-2002）一级A标准</w:t>
            </w:r>
            <w:r>
              <w:rPr>
                <w:rFonts w:hint="eastAsia" w:eastAsia="宋体"/>
                <w:color w:val="auto"/>
                <w:szCs w:val="24"/>
                <w:lang w:val="en-US" w:eastAsia="zh-CN"/>
              </w:rPr>
              <w:t>和</w:t>
            </w:r>
            <w:r>
              <w:rPr>
                <w:rFonts w:ascii="Times New Roman" w:hAnsi="Times New Roman" w:eastAsia="宋体" w:cs="Times New Roman"/>
                <w:color w:val="auto"/>
                <w:szCs w:val="24"/>
                <w:lang w:eastAsia="zh-CN"/>
              </w:rPr>
              <w:t>《城镇污水处理厂主要水污染物排放标准》DB33/2169-2018表1标准限值</w:t>
            </w:r>
            <w:r>
              <w:rPr>
                <w:rFonts w:hint="eastAsia" w:eastAsia="宋体"/>
                <w:color w:val="auto"/>
                <w:szCs w:val="24"/>
              </w:rPr>
              <w:t>。</w:t>
            </w:r>
          </w:p>
          <w:p w14:paraId="0282B238">
            <w:pPr>
              <w:pStyle w:val="108"/>
              <w:spacing w:line="420" w:lineRule="exact"/>
              <w:ind w:firstLine="480"/>
              <w:rPr>
                <w:rFonts w:eastAsia="宋体"/>
                <w:color w:val="auto"/>
                <w:szCs w:val="24"/>
              </w:rPr>
            </w:pPr>
            <w:r>
              <w:rPr>
                <w:rFonts w:hint="eastAsia" w:eastAsia="宋体"/>
                <w:color w:val="auto"/>
                <w:szCs w:val="24"/>
                <w:lang w:val="en-US" w:eastAsia="zh-CN"/>
              </w:rPr>
              <w:t>本</w:t>
            </w:r>
            <w:r>
              <w:rPr>
                <w:rFonts w:eastAsia="宋体"/>
                <w:color w:val="auto"/>
                <w:szCs w:val="24"/>
              </w:rPr>
              <w:t>项目</w:t>
            </w:r>
            <w:r>
              <w:rPr>
                <w:rFonts w:hint="eastAsia" w:eastAsia="宋体"/>
                <w:color w:val="auto"/>
                <w:szCs w:val="24"/>
                <w:lang w:val="en-US" w:eastAsia="zh-CN"/>
              </w:rPr>
              <w:t>出租方污水已接入园区污水管网，</w:t>
            </w:r>
            <w:r>
              <w:rPr>
                <w:rFonts w:eastAsia="宋体"/>
                <w:color w:val="auto"/>
                <w:szCs w:val="24"/>
              </w:rPr>
              <w:t>营运期产生的废水纳管排放，不会对项目附近地表水体产生影响；项目废水纳管排放量较小，在安吉城北污水处理有限公司污水处理厂处理能力范围内；项目废水经安吉城北污水处理有限公司污水处理厂处理后达标排放，对纳污水体水环境影响较小。</w:t>
            </w:r>
          </w:p>
          <w:p w14:paraId="640978AB">
            <w:pPr>
              <w:pStyle w:val="108"/>
              <w:spacing w:line="420" w:lineRule="exact"/>
              <w:ind w:firstLine="0" w:firstLineChars="0"/>
              <w:rPr>
                <w:rFonts w:eastAsia="宋体"/>
                <w:color w:val="auto"/>
              </w:rPr>
            </w:pPr>
            <w:r>
              <w:rPr>
                <w:rFonts w:hAnsi="宋体" w:eastAsia="宋体"/>
                <w:b/>
                <w:bCs/>
                <w:color w:val="auto"/>
                <w:spacing w:val="-10"/>
                <w:szCs w:val="24"/>
              </w:rPr>
              <w:t>（</w:t>
            </w:r>
            <w:r>
              <w:rPr>
                <w:rFonts w:hint="eastAsia" w:hAnsi="宋体" w:eastAsia="宋体"/>
                <w:b/>
                <w:bCs/>
                <w:color w:val="auto"/>
                <w:spacing w:val="-10"/>
                <w:szCs w:val="24"/>
              </w:rPr>
              <w:t>4</w:t>
            </w:r>
            <w:r>
              <w:rPr>
                <w:rFonts w:hAnsi="宋体" w:eastAsia="宋体"/>
                <w:b/>
                <w:bCs/>
                <w:color w:val="auto"/>
                <w:spacing w:val="-10"/>
                <w:szCs w:val="24"/>
              </w:rPr>
              <w:t>）环境监测计划</w:t>
            </w:r>
          </w:p>
          <w:p w14:paraId="3A46686A">
            <w:pPr>
              <w:pStyle w:val="116"/>
              <w:tabs>
                <w:tab w:val="left" w:pos="1470"/>
              </w:tabs>
              <w:spacing w:line="420" w:lineRule="exact"/>
              <w:ind w:firstLine="480"/>
              <w:jc w:val="left"/>
              <w:rPr>
                <w:rFonts w:hAnsi="Calibri" w:eastAsia="宋体"/>
                <w:b/>
                <w:color w:val="auto"/>
                <w:sz w:val="21"/>
              </w:rPr>
            </w:pPr>
            <w:r>
              <w:rPr>
                <w:rFonts w:eastAsia="宋体"/>
                <w:color w:val="auto"/>
                <w:szCs w:val="24"/>
              </w:rPr>
              <w:t>结合项目情况、</w:t>
            </w:r>
            <w:r>
              <w:rPr>
                <w:rFonts w:hint="eastAsia" w:eastAsia="宋体"/>
                <w:color w:val="auto"/>
                <w:szCs w:val="24"/>
              </w:rPr>
              <w:t>《排污单位自行监测技术指南 总则》（HJ819-2017）、</w:t>
            </w:r>
            <w:r>
              <w:rPr>
                <w:rFonts w:hint="eastAsia" w:eastAsia="宋体"/>
                <w:color w:val="auto"/>
              </w:rPr>
              <w:t>《排污单位自行监测技术指南 橡胶和塑料制品》（HJ1207-2021）</w:t>
            </w:r>
            <w:r>
              <w:rPr>
                <w:rFonts w:eastAsia="宋体"/>
                <w:color w:val="auto"/>
                <w:szCs w:val="24"/>
              </w:rPr>
              <w:t>，本项目废水排放口监测计划见表4-</w:t>
            </w:r>
            <w:r>
              <w:rPr>
                <w:rFonts w:hint="eastAsia" w:eastAsia="宋体"/>
                <w:color w:val="auto"/>
                <w:szCs w:val="24"/>
              </w:rPr>
              <w:t>1</w:t>
            </w:r>
            <w:r>
              <w:rPr>
                <w:rFonts w:hint="eastAsia" w:eastAsia="宋体"/>
                <w:color w:val="auto"/>
                <w:szCs w:val="24"/>
                <w:lang w:val="en-US" w:eastAsia="zh-CN"/>
              </w:rPr>
              <w:t>9</w:t>
            </w:r>
            <w:r>
              <w:rPr>
                <w:rFonts w:eastAsia="宋体"/>
                <w:color w:val="auto"/>
                <w:szCs w:val="24"/>
              </w:rPr>
              <w:t>。</w:t>
            </w:r>
          </w:p>
          <w:p w14:paraId="5EA9576E">
            <w:pPr>
              <w:spacing w:beforeLines="20"/>
              <w:ind w:firstLine="422" w:firstLineChars="200"/>
              <w:jc w:val="center"/>
              <w:rPr>
                <w:b/>
                <w:color w:val="auto"/>
                <w:szCs w:val="21"/>
              </w:rPr>
            </w:pPr>
            <w:r>
              <w:rPr>
                <w:rFonts w:hint="eastAsia"/>
                <w:b/>
                <w:color w:val="auto"/>
                <w:szCs w:val="21"/>
              </w:rPr>
              <w:t>表4-1</w:t>
            </w:r>
            <w:r>
              <w:rPr>
                <w:rFonts w:hint="eastAsia"/>
                <w:b/>
                <w:color w:val="auto"/>
                <w:szCs w:val="21"/>
                <w:lang w:val="en-US" w:eastAsia="zh-CN"/>
              </w:rPr>
              <w:t>9</w:t>
            </w:r>
            <w:r>
              <w:rPr>
                <w:rFonts w:hint="eastAsia"/>
                <w:b/>
                <w:color w:val="auto"/>
                <w:szCs w:val="21"/>
              </w:rPr>
              <w:t xml:space="preserve">  废水监测计划</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2858"/>
              <w:gridCol w:w="1490"/>
              <w:gridCol w:w="2252"/>
            </w:tblGrid>
            <w:tr w14:paraId="68C1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17" w:type="dxa"/>
                  <w:vAlign w:val="center"/>
                </w:tcPr>
                <w:p w14:paraId="4EA6AF76">
                  <w:pPr>
                    <w:suppressAutoHyphens/>
                    <w:jc w:val="center"/>
                    <w:rPr>
                      <w:b/>
                      <w:snapToGrid w:val="0"/>
                      <w:color w:val="auto"/>
                      <w:kern w:val="0"/>
                      <w:szCs w:val="21"/>
                    </w:rPr>
                  </w:pPr>
                  <w:r>
                    <w:rPr>
                      <w:b/>
                      <w:snapToGrid w:val="0"/>
                      <w:color w:val="auto"/>
                      <w:kern w:val="0"/>
                      <w:szCs w:val="21"/>
                    </w:rPr>
                    <w:t>监测点位</w:t>
                  </w:r>
                </w:p>
              </w:tc>
              <w:tc>
                <w:tcPr>
                  <w:tcW w:w="2766" w:type="dxa"/>
                  <w:vAlign w:val="center"/>
                </w:tcPr>
                <w:p w14:paraId="16B1C22B">
                  <w:pPr>
                    <w:suppressAutoHyphens/>
                    <w:jc w:val="center"/>
                    <w:rPr>
                      <w:b/>
                      <w:snapToGrid w:val="0"/>
                      <w:color w:val="auto"/>
                      <w:kern w:val="0"/>
                      <w:szCs w:val="21"/>
                    </w:rPr>
                  </w:pPr>
                  <w:r>
                    <w:rPr>
                      <w:b/>
                      <w:snapToGrid w:val="0"/>
                      <w:color w:val="auto"/>
                      <w:kern w:val="0"/>
                      <w:szCs w:val="21"/>
                    </w:rPr>
                    <w:t>监测指标</w:t>
                  </w:r>
                </w:p>
              </w:tc>
              <w:tc>
                <w:tcPr>
                  <w:tcW w:w="1442" w:type="dxa"/>
                  <w:vAlign w:val="center"/>
                </w:tcPr>
                <w:p w14:paraId="03EB0421">
                  <w:pPr>
                    <w:suppressAutoHyphens/>
                    <w:jc w:val="center"/>
                    <w:rPr>
                      <w:b/>
                      <w:snapToGrid w:val="0"/>
                      <w:color w:val="auto"/>
                      <w:kern w:val="0"/>
                      <w:szCs w:val="21"/>
                    </w:rPr>
                  </w:pPr>
                  <w:r>
                    <w:rPr>
                      <w:b/>
                      <w:snapToGrid w:val="0"/>
                      <w:color w:val="auto"/>
                      <w:kern w:val="0"/>
                      <w:szCs w:val="21"/>
                    </w:rPr>
                    <w:t>监测频次</w:t>
                  </w:r>
                </w:p>
              </w:tc>
              <w:tc>
                <w:tcPr>
                  <w:tcW w:w="2179" w:type="dxa"/>
                  <w:vAlign w:val="center"/>
                </w:tcPr>
                <w:p w14:paraId="0BEF4EE2">
                  <w:pPr>
                    <w:suppressAutoHyphens/>
                    <w:jc w:val="center"/>
                    <w:rPr>
                      <w:b/>
                      <w:snapToGrid w:val="0"/>
                      <w:color w:val="auto"/>
                      <w:kern w:val="0"/>
                      <w:szCs w:val="21"/>
                    </w:rPr>
                  </w:pPr>
                  <w:r>
                    <w:rPr>
                      <w:b/>
                      <w:bCs/>
                      <w:snapToGrid w:val="0"/>
                      <w:color w:val="auto"/>
                      <w:kern w:val="0"/>
                      <w:szCs w:val="21"/>
                    </w:rPr>
                    <w:t>排放方式</w:t>
                  </w:r>
                </w:p>
              </w:tc>
            </w:tr>
            <w:tr w14:paraId="4504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17" w:type="dxa"/>
                  <w:vAlign w:val="center"/>
                </w:tcPr>
                <w:p w14:paraId="2919D931">
                  <w:pPr>
                    <w:suppressAutoHyphens/>
                    <w:jc w:val="center"/>
                    <w:rPr>
                      <w:snapToGrid w:val="0"/>
                      <w:color w:val="auto"/>
                      <w:kern w:val="0"/>
                      <w:szCs w:val="21"/>
                    </w:rPr>
                  </w:pPr>
                  <w:r>
                    <w:rPr>
                      <w:snapToGrid w:val="0"/>
                      <w:color w:val="auto"/>
                      <w:kern w:val="0"/>
                      <w:szCs w:val="21"/>
                    </w:rPr>
                    <w:t>生活污水排放口</w:t>
                  </w:r>
                </w:p>
              </w:tc>
              <w:tc>
                <w:tcPr>
                  <w:tcW w:w="2766" w:type="dxa"/>
                  <w:vAlign w:val="center"/>
                </w:tcPr>
                <w:p w14:paraId="015FBEE4">
                  <w:pPr>
                    <w:pStyle w:val="5"/>
                    <w:spacing w:before="0" w:after="0" w:line="240" w:lineRule="auto"/>
                    <w:jc w:val="center"/>
                    <w:rPr>
                      <w:rFonts w:ascii="Times New Roman" w:hAnsi="Times New Roman"/>
                      <w:color w:val="auto"/>
                      <w:sz w:val="21"/>
                      <w:szCs w:val="21"/>
                    </w:rPr>
                  </w:pPr>
                  <w:r>
                    <w:rPr>
                      <w:rFonts w:ascii="Times New Roman" w:hAnsi="Times New Roman"/>
                      <w:color w:val="auto"/>
                      <w:sz w:val="21"/>
                      <w:szCs w:val="21"/>
                    </w:rPr>
                    <w:t>/</w:t>
                  </w:r>
                </w:p>
              </w:tc>
              <w:tc>
                <w:tcPr>
                  <w:tcW w:w="1442" w:type="dxa"/>
                  <w:vAlign w:val="center"/>
                </w:tcPr>
                <w:p w14:paraId="5837F503">
                  <w:pPr>
                    <w:suppressAutoHyphens/>
                    <w:jc w:val="center"/>
                    <w:rPr>
                      <w:snapToGrid w:val="0"/>
                      <w:color w:val="auto"/>
                      <w:kern w:val="0"/>
                      <w:szCs w:val="21"/>
                    </w:rPr>
                  </w:pPr>
                  <w:r>
                    <w:rPr>
                      <w:snapToGrid w:val="0"/>
                      <w:color w:val="auto"/>
                      <w:kern w:val="0"/>
                      <w:szCs w:val="21"/>
                    </w:rPr>
                    <w:t>/</w:t>
                  </w:r>
                </w:p>
              </w:tc>
              <w:tc>
                <w:tcPr>
                  <w:tcW w:w="2179" w:type="dxa"/>
                  <w:vAlign w:val="center"/>
                </w:tcPr>
                <w:p w14:paraId="678312CC">
                  <w:pPr>
                    <w:suppressAutoHyphens/>
                    <w:jc w:val="center"/>
                    <w:rPr>
                      <w:snapToGrid w:val="0"/>
                      <w:color w:val="auto"/>
                      <w:kern w:val="0"/>
                      <w:szCs w:val="21"/>
                    </w:rPr>
                  </w:pPr>
                  <w:r>
                    <w:rPr>
                      <w:snapToGrid w:val="0"/>
                      <w:color w:val="auto"/>
                      <w:kern w:val="0"/>
                      <w:szCs w:val="21"/>
                    </w:rPr>
                    <w:t>间接排放</w:t>
                  </w:r>
                </w:p>
              </w:tc>
            </w:tr>
            <w:tr w14:paraId="3237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17" w:type="dxa"/>
                  <w:vAlign w:val="center"/>
                </w:tcPr>
                <w:p w14:paraId="43311F52">
                  <w:pPr>
                    <w:suppressAutoHyphens/>
                    <w:jc w:val="center"/>
                    <w:rPr>
                      <w:snapToGrid w:val="0"/>
                      <w:color w:val="auto"/>
                      <w:kern w:val="0"/>
                      <w:szCs w:val="21"/>
                    </w:rPr>
                  </w:pPr>
                  <w:r>
                    <w:rPr>
                      <w:snapToGrid w:val="0"/>
                      <w:color w:val="auto"/>
                      <w:kern w:val="0"/>
                      <w:szCs w:val="21"/>
                    </w:rPr>
                    <w:t>雨水排放口</w:t>
                  </w:r>
                </w:p>
              </w:tc>
              <w:tc>
                <w:tcPr>
                  <w:tcW w:w="2766" w:type="dxa"/>
                  <w:vAlign w:val="center"/>
                </w:tcPr>
                <w:p w14:paraId="60C1D0FA">
                  <w:pPr>
                    <w:suppressAutoHyphens/>
                    <w:jc w:val="center"/>
                    <w:rPr>
                      <w:snapToGrid w:val="0"/>
                      <w:color w:val="auto"/>
                      <w:kern w:val="0"/>
                      <w:szCs w:val="21"/>
                    </w:rPr>
                  </w:pPr>
                  <w:r>
                    <w:rPr>
                      <w:color w:val="auto"/>
                      <w:szCs w:val="21"/>
                    </w:rPr>
                    <w:t>化学需氧量</w:t>
                  </w:r>
                </w:p>
              </w:tc>
              <w:tc>
                <w:tcPr>
                  <w:tcW w:w="1442" w:type="dxa"/>
                  <w:vAlign w:val="center"/>
                </w:tcPr>
                <w:p w14:paraId="00BDB6A1">
                  <w:pPr>
                    <w:suppressAutoHyphens/>
                    <w:jc w:val="center"/>
                    <w:rPr>
                      <w:snapToGrid w:val="0"/>
                      <w:color w:val="auto"/>
                      <w:kern w:val="0"/>
                      <w:szCs w:val="21"/>
                    </w:rPr>
                  </w:pPr>
                  <w:r>
                    <w:rPr>
                      <w:snapToGrid w:val="0"/>
                      <w:color w:val="auto"/>
                      <w:kern w:val="0"/>
                      <w:szCs w:val="21"/>
                    </w:rPr>
                    <w:t>1次/</w:t>
                  </w:r>
                  <w:r>
                    <w:rPr>
                      <w:rFonts w:hint="eastAsia"/>
                      <w:snapToGrid w:val="0"/>
                      <w:color w:val="auto"/>
                      <w:kern w:val="0"/>
                      <w:szCs w:val="21"/>
                    </w:rPr>
                    <w:t>天</w:t>
                  </w:r>
                  <w:r>
                    <w:rPr>
                      <w:snapToGrid w:val="0"/>
                      <w:color w:val="auto"/>
                      <w:kern w:val="0"/>
                      <w:szCs w:val="21"/>
                      <w:vertAlign w:val="superscript"/>
                    </w:rPr>
                    <w:t>a</w:t>
                  </w:r>
                </w:p>
              </w:tc>
              <w:tc>
                <w:tcPr>
                  <w:tcW w:w="2179" w:type="dxa"/>
                  <w:vAlign w:val="center"/>
                </w:tcPr>
                <w:p w14:paraId="2158BB44">
                  <w:pPr>
                    <w:suppressAutoHyphens/>
                    <w:jc w:val="center"/>
                    <w:rPr>
                      <w:snapToGrid w:val="0"/>
                      <w:color w:val="auto"/>
                      <w:kern w:val="0"/>
                      <w:szCs w:val="21"/>
                    </w:rPr>
                  </w:pPr>
                  <w:r>
                    <w:rPr>
                      <w:color w:val="auto"/>
                      <w:szCs w:val="21"/>
                    </w:rPr>
                    <w:t>/</w:t>
                  </w:r>
                </w:p>
              </w:tc>
            </w:tr>
          </w:tbl>
          <w:p w14:paraId="1A62EC6E">
            <w:pPr>
              <w:rPr>
                <w:color w:val="auto"/>
                <w:spacing w:val="8"/>
                <w:sz w:val="20"/>
                <w:szCs w:val="20"/>
              </w:rPr>
            </w:pPr>
            <w:r>
              <w:rPr>
                <w:rFonts w:eastAsia="Times New Roman"/>
                <w:color w:val="auto"/>
                <w:spacing w:val="9"/>
                <w:sz w:val="20"/>
                <w:szCs w:val="20"/>
              </w:rPr>
              <w:t>a</w:t>
            </w:r>
            <w:r>
              <w:rPr>
                <w:rFonts w:eastAsia="Times New Roman"/>
                <w:color w:val="auto"/>
                <w:spacing w:val="-22"/>
                <w:sz w:val="20"/>
                <w:szCs w:val="20"/>
              </w:rPr>
              <w:t xml:space="preserve"> </w:t>
            </w:r>
            <w:r>
              <w:rPr>
                <w:color w:val="auto"/>
                <w:spacing w:val="9"/>
                <w:sz w:val="20"/>
                <w:szCs w:val="20"/>
              </w:rPr>
              <w:t>：排放口有流动水排放时开展监测，排放期间按日监测。如监测一年无异常情况，</w:t>
            </w:r>
            <w:r>
              <w:rPr>
                <w:color w:val="auto"/>
                <w:spacing w:val="8"/>
                <w:sz w:val="20"/>
                <w:szCs w:val="20"/>
              </w:rPr>
              <w:t>每季度第一次有流动水排放时开展按日监测。</w:t>
            </w:r>
          </w:p>
          <w:p w14:paraId="3A35025C">
            <w:pPr>
              <w:spacing w:line="440" w:lineRule="exact"/>
              <w:rPr>
                <w:rFonts w:hAnsi="宋体"/>
                <w:b/>
                <w:bCs/>
                <w:color w:val="auto"/>
                <w:spacing w:val="-10"/>
                <w:sz w:val="24"/>
              </w:rPr>
            </w:pPr>
            <w:r>
              <w:rPr>
                <w:rFonts w:hint="eastAsia" w:hAnsi="宋体"/>
                <w:b/>
                <w:bCs/>
                <w:color w:val="auto"/>
                <w:spacing w:val="-10"/>
                <w:sz w:val="24"/>
              </w:rPr>
              <w:t>4.3 噪声</w:t>
            </w:r>
          </w:p>
          <w:p w14:paraId="2ED3DCEB">
            <w:pPr>
              <w:spacing w:line="440" w:lineRule="exact"/>
              <w:jc w:val="left"/>
              <w:rPr>
                <w:b/>
                <w:color w:val="auto"/>
                <w:sz w:val="24"/>
              </w:rPr>
            </w:pPr>
            <w:r>
              <w:rPr>
                <w:rFonts w:hint="eastAsia"/>
                <w:b/>
                <w:color w:val="auto"/>
                <w:sz w:val="24"/>
              </w:rPr>
              <w:t>（1）</w:t>
            </w:r>
            <w:r>
              <w:rPr>
                <w:rFonts w:hAnsi="宋体"/>
                <w:b/>
                <w:color w:val="auto"/>
                <w:sz w:val="24"/>
              </w:rPr>
              <w:t>噪声源强</w:t>
            </w:r>
          </w:p>
          <w:p w14:paraId="480159A1">
            <w:pPr>
              <w:spacing w:line="440" w:lineRule="exact"/>
              <w:ind w:firstLine="480" w:firstLineChars="200"/>
              <w:rPr>
                <w:b/>
                <w:bCs/>
                <w:color w:val="auto"/>
              </w:rPr>
            </w:pPr>
            <w:r>
              <w:rPr>
                <w:color w:val="auto"/>
                <w:sz w:val="24"/>
              </w:rPr>
              <w:t>该项目在营运期产生的噪声主要为生产设备工作时的机械噪声。</w:t>
            </w:r>
            <w:r>
              <w:rPr>
                <w:color w:val="auto"/>
                <w:sz w:val="24"/>
                <w:szCs w:val="18"/>
              </w:rPr>
              <w:t>通过对同类型项目的类比调查，本项目</w:t>
            </w:r>
            <w:r>
              <w:rPr>
                <w:bCs/>
                <w:color w:val="auto"/>
                <w:sz w:val="24"/>
              </w:rPr>
              <w:t>主要</w:t>
            </w:r>
            <w:r>
              <w:rPr>
                <w:color w:val="auto"/>
                <w:sz w:val="24"/>
                <w:szCs w:val="18"/>
              </w:rPr>
              <w:t>生产设备噪声强度如下</w:t>
            </w:r>
            <w:r>
              <w:rPr>
                <w:rFonts w:hint="eastAsia"/>
                <w:color w:val="auto"/>
                <w:sz w:val="24"/>
                <w:szCs w:val="18"/>
              </w:rPr>
              <w:t>。</w:t>
            </w:r>
          </w:p>
          <w:p w14:paraId="50A88C52">
            <w:pPr>
              <w:spacing w:line="440" w:lineRule="exact"/>
              <w:ind w:firstLine="422" w:firstLineChars="200"/>
              <w:jc w:val="center"/>
              <w:rPr>
                <w:b/>
                <w:color w:val="auto"/>
                <w:szCs w:val="21"/>
              </w:rPr>
            </w:pPr>
            <w:r>
              <w:rPr>
                <w:rFonts w:hint="eastAsia"/>
                <w:b/>
                <w:color w:val="auto"/>
                <w:szCs w:val="21"/>
              </w:rPr>
              <w:t>表4-</w:t>
            </w:r>
            <w:r>
              <w:rPr>
                <w:rFonts w:hint="eastAsia"/>
                <w:b/>
                <w:color w:val="auto"/>
                <w:szCs w:val="21"/>
                <w:lang w:val="en-US" w:eastAsia="zh-CN"/>
              </w:rPr>
              <w:t>20</w:t>
            </w:r>
            <w:r>
              <w:rPr>
                <w:rFonts w:hint="eastAsia"/>
                <w:b/>
                <w:color w:val="auto"/>
                <w:szCs w:val="21"/>
              </w:rPr>
              <w:t xml:space="preserve">  生产设备机械噪声（室内声源）</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471"/>
              <w:gridCol w:w="691"/>
              <w:gridCol w:w="733"/>
              <w:gridCol w:w="445"/>
              <w:gridCol w:w="689"/>
              <w:gridCol w:w="689"/>
              <w:gridCol w:w="370"/>
              <w:gridCol w:w="465"/>
              <w:gridCol w:w="572"/>
              <w:gridCol w:w="620"/>
              <w:gridCol w:w="582"/>
              <w:gridCol w:w="692"/>
              <w:gridCol w:w="652"/>
              <w:gridCol w:w="662"/>
            </w:tblGrid>
            <w:tr w14:paraId="4C7B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 w:type="dxa"/>
                  <w:vMerge w:val="restart"/>
                  <w:tcBorders>
                    <w:top w:val="single" w:color="auto" w:sz="4" w:space="0"/>
                    <w:left w:val="single" w:color="auto" w:sz="4" w:space="0"/>
                    <w:bottom w:val="single" w:color="auto" w:sz="4" w:space="0"/>
                    <w:right w:val="single" w:color="auto" w:sz="4" w:space="0"/>
                  </w:tcBorders>
                  <w:vAlign w:val="center"/>
                </w:tcPr>
                <w:p w14:paraId="21AC7643">
                  <w:pPr>
                    <w:jc w:val="center"/>
                    <w:rPr>
                      <w:b/>
                      <w:bCs/>
                      <w:color w:val="auto"/>
                      <w:szCs w:val="21"/>
                    </w:rPr>
                  </w:pPr>
                  <w:r>
                    <w:rPr>
                      <w:b/>
                      <w:bCs/>
                      <w:color w:val="auto"/>
                      <w:szCs w:val="21"/>
                    </w:rPr>
                    <w:t>序</w:t>
                  </w:r>
                </w:p>
                <w:p w14:paraId="63136D8D">
                  <w:pPr>
                    <w:jc w:val="center"/>
                    <w:rPr>
                      <w:b/>
                      <w:bCs/>
                      <w:color w:val="auto"/>
                      <w:szCs w:val="21"/>
                    </w:rPr>
                  </w:pPr>
                  <w:r>
                    <w:rPr>
                      <w:b/>
                      <w:bCs/>
                      <w:color w:val="auto"/>
                      <w:szCs w:val="21"/>
                    </w:rPr>
                    <w:t>号</w:t>
                  </w:r>
                </w:p>
              </w:tc>
              <w:tc>
                <w:tcPr>
                  <w:tcW w:w="471" w:type="dxa"/>
                  <w:vMerge w:val="restart"/>
                  <w:tcBorders>
                    <w:top w:val="single" w:color="auto" w:sz="4" w:space="0"/>
                    <w:left w:val="single" w:color="auto" w:sz="4" w:space="0"/>
                    <w:right w:val="single" w:color="auto" w:sz="4" w:space="0"/>
                  </w:tcBorders>
                  <w:vAlign w:val="center"/>
                </w:tcPr>
                <w:p w14:paraId="22282941">
                  <w:pPr>
                    <w:jc w:val="center"/>
                    <w:rPr>
                      <w:b/>
                      <w:bCs/>
                      <w:color w:val="auto"/>
                      <w:szCs w:val="21"/>
                    </w:rPr>
                  </w:pPr>
                  <w:r>
                    <w:rPr>
                      <w:b/>
                      <w:bCs/>
                      <w:color w:val="auto"/>
                      <w:szCs w:val="21"/>
                    </w:rPr>
                    <w:t>建筑物名称</w:t>
                  </w:r>
                </w:p>
              </w:tc>
              <w:tc>
                <w:tcPr>
                  <w:tcW w:w="691" w:type="dxa"/>
                  <w:vMerge w:val="restart"/>
                  <w:tcBorders>
                    <w:top w:val="single" w:color="auto" w:sz="4" w:space="0"/>
                    <w:left w:val="single" w:color="auto" w:sz="4" w:space="0"/>
                    <w:bottom w:val="single" w:color="auto" w:sz="4" w:space="0"/>
                    <w:right w:val="single" w:color="auto" w:sz="4" w:space="0"/>
                  </w:tcBorders>
                  <w:vAlign w:val="center"/>
                </w:tcPr>
                <w:p w14:paraId="42195271">
                  <w:pPr>
                    <w:jc w:val="center"/>
                    <w:rPr>
                      <w:b/>
                      <w:bCs/>
                      <w:color w:val="auto"/>
                      <w:szCs w:val="21"/>
                    </w:rPr>
                  </w:pPr>
                  <w:r>
                    <w:rPr>
                      <w:b/>
                      <w:bCs/>
                      <w:color w:val="auto"/>
                      <w:szCs w:val="21"/>
                    </w:rPr>
                    <w:t>声源名称</w:t>
                  </w:r>
                </w:p>
              </w:tc>
              <w:tc>
                <w:tcPr>
                  <w:tcW w:w="733" w:type="dxa"/>
                  <w:tcBorders>
                    <w:top w:val="single" w:color="auto" w:sz="4" w:space="0"/>
                    <w:left w:val="single" w:color="auto" w:sz="4" w:space="0"/>
                    <w:bottom w:val="single" w:color="auto" w:sz="4" w:space="0"/>
                    <w:right w:val="single" w:color="auto" w:sz="4" w:space="0"/>
                  </w:tcBorders>
                  <w:vAlign w:val="center"/>
                </w:tcPr>
                <w:p w14:paraId="51EB360A">
                  <w:pPr>
                    <w:jc w:val="center"/>
                    <w:rPr>
                      <w:b/>
                      <w:bCs/>
                      <w:color w:val="auto"/>
                      <w:szCs w:val="21"/>
                    </w:rPr>
                  </w:pPr>
                  <w:r>
                    <w:rPr>
                      <w:b/>
                      <w:bCs/>
                      <w:color w:val="auto"/>
                      <w:szCs w:val="21"/>
                    </w:rPr>
                    <w:t>声源源强</w:t>
                  </w:r>
                </w:p>
              </w:tc>
              <w:tc>
                <w:tcPr>
                  <w:tcW w:w="445" w:type="dxa"/>
                  <w:vMerge w:val="restart"/>
                  <w:tcBorders>
                    <w:top w:val="single" w:color="auto" w:sz="4" w:space="0"/>
                    <w:left w:val="single" w:color="auto" w:sz="4" w:space="0"/>
                    <w:right w:val="single" w:color="auto" w:sz="4" w:space="0"/>
                  </w:tcBorders>
                  <w:vAlign w:val="center"/>
                </w:tcPr>
                <w:p w14:paraId="17FAE918">
                  <w:pPr>
                    <w:jc w:val="center"/>
                    <w:rPr>
                      <w:b/>
                      <w:bCs/>
                      <w:color w:val="auto"/>
                      <w:szCs w:val="21"/>
                    </w:rPr>
                  </w:pPr>
                  <w:r>
                    <w:rPr>
                      <w:b/>
                      <w:bCs/>
                      <w:color w:val="auto"/>
                      <w:szCs w:val="21"/>
                    </w:rPr>
                    <w:t>声源控制措施</w:t>
                  </w:r>
                </w:p>
              </w:tc>
              <w:tc>
                <w:tcPr>
                  <w:tcW w:w="1748" w:type="dxa"/>
                  <w:gridSpan w:val="3"/>
                  <w:tcBorders>
                    <w:top w:val="single" w:color="auto" w:sz="4" w:space="0"/>
                    <w:left w:val="single" w:color="auto" w:sz="4" w:space="0"/>
                    <w:bottom w:val="single" w:color="auto" w:sz="4" w:space="0"/>
                    <w:right w:val="single" w:color="auto" w:sz="4" w:space="0"/>
                  </w:tcBorders>
                  <w:vAlign w:val="center"/>
                </w:tcPr>
                <w:p w14:paraId="0F859CD2">
                  <w:pPr>
                    <w:jc w:val="center"/>
                    <w:rPr>
                      <w:b/>
                      <w:bCs/>
                      <w:color w:val="auto"/>
                      <w:szCs w:val="21"/>
                    </w:rPr>
                  </w:pPr>
                  <w:r>
                    <w:rPr>
                      <w:b/>
                      <w:bCs/>
                      <w:color w:val="auto"/>
                      <w:szCs w:val="21"/>
                    </w:rPr>
                    <w:t>空间位置</w:t>
                  </w:r>
                </w:p>
              </w:tc>
              <w:tc>
                <w:tcPr>
                  <w:tcW w:w="1037" w:type="dxa"/>
                  <w:gridSpan w:val="2"/>
                  <w:vMerge w:val="restart"/>
                  <w:tcBorders>
                    <w:top w:val="single" w:color="auto" w:sz="4" w:space="0"/>
                    <w:left w:val="single" w:color="auto" w:sz="4" w:space="0"/>
                    <w:right w:val="single" w:color="auto" w:sz="4" w:space="0"/>
                  </w:tcBorders>
                  <w:vAlign w:val="center"/>
                </w:tcPr>
                <w:p w14:paraId="2F2573E6">
                  <w:pPr>
                    <w:jc w:val="center"/>
                    <w:rPr>
                      <w:b/>
                      <w:bCs/>
                      <w:color w:val="auto"/>
                      <w:szCs w:val="21"/>
                    </w:rPr>
                  </w:pPr>
                  <w:r>
                    <w:rPr>
                      <w:b/>
                      <w:bCs/>
                      <w:color w:val="auto"/>
                      <w:szCs w:val="21"/>
                    </w:rPr>
                    <w:t>距室内边界距离</w:t>
                  </w:r>
                </w:p>
              </w:tc>
              <w:tc>
                <w:tcPr>
                  <w:tcW w:w="620" w:type="dxa"/>
                  <w:vMerge w:val="restart"/>
                  <w:tcBorders>
                    <w:top w:val="single" w:color="auto" w:sz="4" w:space="0"/>
                    <w:left w:val="single" w:color="auto" w:sz="4" w:space="0"/>
                    <w:bottom w:val="single" w:color="auto" w:sz="4" w:space="0"/>
                    <w:right w:val="single" w:color="auto" w:sz="4" w:space="0"/>
                  </w:tcBorders>
                  <w:vAlign w:val="center"/>
                </w:tcPr>
                <w:p w14:paraId="5271F19E">
                  <w:pPr>
                    <w:jc w:val="center"/>
                    <w:rPr>
                      <w:b/>
                      <w:bCs/>
                      <w:color w:val="auto"/>
                      <w:szCs w:val="21"/>
                    </w:rPr>
                  </w:pPr>
                  <w:r>
                    <w:rPr>
                      <w:b/>
                      <w:bCs/>
                      <w:color w:val="auto"/>
                      <w:szCs w:val="21"/>
                    </w:rPr>
                    <w:t>室内边界声级</w:t>
                  </w:r>
                </w:p>
              </w:tc>
              <w:tc>
                <w:tcPr>
                  <w:tcW w:w="582" w:type="dxa"/>
                  <w:vMerge w:val="restart"/>
                  <w:tcBorders>
                    <w:top w:val="single" w:color="auto" w:sz="4" w:space="0"/>
                    <w:left w:val="single" w:color="auto" w:sz="4" w:space="0"/>
                    <w:bottom w:val="single" w:color="auto" w:sz="4" w:space="0"/>
                    <w:right w:val="single" w:color="auto" w:sz="4" w:space="0"/>
                  </w:tcBorders>
                  <w:vAlign w:val="center"/>
                </w:tcPr>
                <w:p w14:paraId="19D31C56">
                  <w:pPr>
                    <w:jc w:val="center"/>
                    <w:rPr>
                      <w:b/>
                      <w:bCs/>
                      <w:color w:val="auto"/>
                      <w:szCs w:val="21"/>
                    </w:rPr>
                  </w:pPr>
                  <w:r>
                    <w:rPr>
                      <w:b/>
                      <w:bCs/>
                      <w:color w:val="auto"/>
                      <w:szCs w:val="21"/>
                    </w:rPr>
                    <w:t>运行时段</w:t>
                  </w:r>
                </w:p>
              </w:tc>
              <w:tc>
                <w:tcPr>
                  <w:tcW w:w="692" w:type="dxa"/>
                  <w:vMerge w:val="restart"/>
                  <w:tcBorders>
                    <w:top w:val="single" w:color="auto" w:sz="4" w:space="0"/>
                    <w:left w:val="single" w:color="auto" w:sz="4" w:space="0"/>
                    <w:bottom w:val="single" w:color="auto" w:sz="4" w:space="0"/>
                    <w:right w:val="single" w:color="auto" w:sz="4" w:space="0"/>
                  </w:tcBorders>
                  <w:vAlign w:val="center"/>
                </w:tcPr>
                <w:p w14:paraId="3540D098">
                  <w:pPr>
                    <w:jc w:val="center"/>
                    <w:rPr>
                      <w:b/>
                      <w:bCs/>
                      <w:color w:val="auto"/>
                      <w:szCs w:val="21"/>
                    </w:rPr>
                  </w:pPr>
                  <w:r>
                    <w:rPr>
                      <w:b/>
                      <w:bCs/>
                      <w:color w:val="auto"/>
                      <w:szCs w:val="21"/>
                    </w:rPr>
                    <w:t>建筑物插入损失</w:t>
                  </w: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31195D0F">
                  <w:pPr>
                    <w:jc w:val="center"/>
                    <w:rPr>
                      <w:b/>
                      <w:bCs/>
                      <w:color w:val="auto"/>
                      <w:szCs w:val="21"/>
                    </w:rPr>
                  </w:pPr>
                  <w:r>
                    <w:rPr>
                      <w:b/>
                      <w:bCs/>
                      <w:color w:val="auto"/>
                      <w:szCs w:val="21"/>
                    </w:rPr>
                    <w:t>建筑物</w:t>
                  </w:r>
                </w:p>
                <w:p w14:paraId="16194FA7">
                  <w:pPr>
                    <w:jc w:val="center"/>
                    <w:rPr>
                      <w:b/>
                      <w:bCs/>
                      <w:color w:val="auto"/>
                      <w:szCs w:val="21"/>
                    </w:rPr>
                  </w:pPr>
                  <w:r>
                    <w:rPr>
                      <w:b/>
                      <w:bCs/>
                      <w:color w:val="auto"/>
                      <w:szCs w:val="21"/>
                    </w:rPr>
                    <w:t>外噪声</w:t>
                  </w:r>
                </w:p>
              </w:tc>
            </w:tr>
            <w:tr w14:paraId="79A3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4" w:type="dxa"/>
                  <w:vMerge w:val="continue"/>
                  <w:tcBorders>
                    <w:top w:val="single" w:color="auto" w:sz="4" w:space="0"/>
                    <w:left w:val="single" w:color="auto" w:sz="4" w:space="0"/>
                    <w:bottom w:val="single" w:color="auto" w:sz="4" w:space="0"/>
                    <w:right w:val="single" w:color="auto" w:sz="4" w:space="0"/>
                  </w:tcBorders>
                  <w:vAlign w:val="center"/>
                </w:tcPr>
                <w:p w14:paraId="587F0D28">
                  <w:pPr>
                    <w:rPr>
                      <w:color w:val="auto"/>
                      <w:szCs w:val="21"/>
                    </w:rPr>
                  </w:pPr>
                </w:p>
              </w:tc>
              <w:tc>
                <w:tcPr>
                  <w:tcW w:w="471" w:type="dxa"/>
                  <w:vMerge w:val="continue"/>
                  <w:tcBorders>
                    <w:left w:val="single" w:color="auto" w:sz="4" w:space="0"/>
                    <w:bottom w:val="single" w:color="auto" w:sz="4" w:space="0"/>
                    <w:right w:val="single" w:color="auto" w:sz="4" w:space="0"/>
                  </w:tcBorders>
                  <w:vAlign w:val="center"/>
                </w:tcPr>
                <w:p w14:paraId="29F710E8">
                  <w:pPr>
                    <w:rPr>
                      <w:color w:val="auto"/>
                      <w:szCs w:val="21"/>
                    </w:rPr>
                  </w:pPr>
                </w:p>
              </w:tc>
              <w:tc>
                <w:tcPr>
                  <w:tcW w:w="691" w:type="dxa"/>
                  <w:vMerge w:val="continue"/>
                  <w:tcBorders>
                    <w:top w:val="single" w:color="auto" w:sz="4" w:space="0"/>
                    <w:left w:val="single" w:color="auto" w:sz="4" w:space="0"/>
                    <w:bottom w:val="single" w:color="auto" w:sz="4" w:space="0"/>
                    <w:right w:val="single" w:color="auto" w:sz="4" w:space="0"/>
                  </w:tcBorders>
                  <w:vAlign w:val="center"/>
                </w:tcPr>
                <w:p w14:paraId="3B2154BE">
                  <w:pPr>
                    <w:rPr>
                      <w:color w:val="auto"/>
                      <w:szCs w:val="21"/>
                    </w:rPr>
                  </w:pPr>
                </w:p>
              </w:tc>
              <w:tc>
                <w:tcPr>
                  <w:tcW w:w="733" w:type="dxa"/>
                  <w:tcBorders>
                    <w:top w:val="single" w:color="auto" w:sz="4" w:space="0"/>
                    <w:left w:val="single" w:color="auto" w:sz="4" w:space="0"/>
                    <w:bottom w:val="single" w:color="auto" w:sz="4" w:space="0"/>
                    <w:right w:val="single" w:color="auto" w:sz="4" w:space="0"/>
                  </w:tcBorders>
                  <w:vAlign w:val="center"/>
                </w:tcPr>
                <w:p w14:paraId="3F3D3828">
                  <w:pPr>
                    <w:rPr>
                      <w:b/>
                      <w:bCs/>
                      <w:color w:val="auto"/>
                      <w:szCs w:val="21"/>
                    </w:rPr>
                  </w:pPr>
                  <w:r>
                    <w:rPr>
                      <w:b/>
                      <w:bCs/>
                      <w:color w:val="auto"/>
                      <w:szCs w:val="21"/>
                    </w:rPr>
                    <w:t>声功率级/dB(A)</w:t>
                  </w:r>
                </w:p>
              </w:tc>
              <w:tc>
                <w:tcPr>
                  <w:tcW w:w="445" w:type="dxa"/>
                  <w:vMerge w:val="continue"/>
                  <w:tcBorders>
                    <w:left w:val="single" w:color="auto" w:sz="4" w:space="0"/>
                    <w:bottom w:val="single" w:color="auto" w:sz="4" w:space="0"/>
                    <w:right w:val="single" w:color="auto" w:sz="4" w:space="0"/>
                  </w:tcBorders>
                  <w:vAlign w:val="center"/>
                </w:tcPr>
                <w:p w14:paraId="1384023D">
                  <w:pPr>
                    <w:rPr>
                      <w:color w:val="auto"/>
                      <w:szCs w:val="21"/>
                    </w:rPr>
                  </w:pPr>
                </w:p>
              </w:tc>
              <w:tc>
                <w:tcPr>
                  <w:tcW w:w="689" w:type="dxa"/>
                  <w:tcBorders>
                    <w:top w:val="single" w:color="auto" w:sz="4" w:space="0"/>
                    <w:left w:val="single" w:color="auto" w:sz="4" w:space="0"/>
                    <w:bottom w:val="single" w:color="auto" w:sz="4" w:space="0"/>
                    <w:right w:val="single" w:color="auto" w:sz="4" w:space="0"/>
                  </w:tcBorders>
                  <w:vAlign w:val="center"/>
                </w:tcPr>
                <w:p w14:paraId="6933DA2C">
                  <w:pPr>
                    <w:jc w:val="center"/>
                    <w:rPr>
                      <w:b/>
                      <w:bCs/>
                      <w:color w:val="auto"/>
                      <w:szCs w:val="21"/>
                    </w:rPr>
                  </w:pPr>
                  <w:r>
                    <w:rPr>
                      <w:b/>
                      <w:bCs/>
                      <w:color w:val="auto"/>
                      <w:szCs w:val="21"/>
                    </w:rPr>
                    <w:t>X</w:t>
                  </w:r>
                </w:p>
              </w:tc>
              <w:tc>
                <w:tcPr>
                  <w:tcW w:w="689" w:type="dxa"/>
                  <w:tcBorders>
                    <w:top w:val="single" w:color="auto" w:sz="4" w:space="0"/>
                    <w:left w:val="single" w:color="auto" w:sz="4" w:space="0"/>
                    <w:bottom w:val="single" w:color="auto" w:sz="4" w:space="0"/>
                    <w:right w:val="single" w:color="auto" w:sz="4" w:space="0"/>
                  </w:tcBorders>
                  <w:vAlign w:val="center"/>
                </w:tcPr>
                <w:p w14:paraId="0115E975">
                  <w:pPr>
                    <w:jc w:val="center"/>
                    <w:rPr>
                      <w:b/>
                      <w:bCs/>
                      <w:color w:val="auto"/>
                      <w:szCs w:val="21"/>
                    </w:rPr>
                  </w:pPr>
                  <w:r>
                    <w:rPr>
                      <w:b/>
                      <w:bCs/>
                      <w:color w:val="auto"/>
                      <w:szCs w:val="21"/>
                    </w:rPr>
                    <w:t>Y</w:t>
                  </w:r>
                </w:p>
              </w:tc>
              <w:tc>
                <w:tcPr>
                  <w:tcW w:w="370" w:type="dxa"/>
                  <w:tcBorders>
                    <w:top w:val="single" w:color="auto" w:sz="4" w:space="0"/>
                    <w:left w:val="single" w:color="auto" w:sz="4" w:space="0"/>
                    <w:bottom w:val="single" w:color="auto" w:sz="4" w:space="0"/>
                    <w:right w:val="single" w:color="auto" w:sz="4" w:space="0"/>
                  </w:tcBorders>
                  <w:vAlign w:val="center"/>
                </w:tcPr>
                <w:p w14:paraId="44C303F1">
                  <w:pPr>
                    <w:jc w:val="center"/>
                    <w:rPr>
                      <w:b/>
                      <w:bCs/>
                      <w:color w:val="auto"/>
                      <w:szCs w:val="21"/>
                    </w:rPr>
                  </w:pPr>
                  <w:r>
                    <w:rPr>
                      <w:b/>
                      <w:bCs/>
                      <w:color w:val="auto"/>
                      <w:szCs w:val="21"/>
                    </w:rPr>
                    <w:t>Z</w:t>
                  </w:r>
                </w:p>
              </w:tc>
              <w:tc>
                <w:tcPr>
                  <w:tcW w:w="1037" w:type="dxa"/>
                  <w:gridSpan w:val="2"/>
                  <w:vMerge w:val="continue"/>
                  <w:tcBorders>
                    <w:left w:val="single" w:color="auto" w:sz="4" w:space="0"/>
                    <w:bottom w:val="single" w:color="auto" w:sz="4" w:space="0"/>
                    <w:right w:val="single" w:color="auto" w:sz="4" w:space="0"/>
                  </w:tcBorders>
                  <w:vAlign w:val="center"/>
                </w:tcPr>
                <w:p w14:paraId="62A16089">
                  <w:pPr>
                    <w:jc w:val="center"/>
                    <w:rPr>
                      <w:b/>
                      <w:bCs/>
                      <w:color w:val="auto"/>
                      <w:szCs w:val="21"/>
                    </w:rPr>
                  </w:pPr>
                </w:p>
              </w:tc>
              <w:tc>
                <w:tcPr>
                  <w:tcW w:w="620" w:type="dxa"/>
                  <w:vMerge w:val="continue"/>
                  <w:tcBorders>
                    <w:top w:val="single" w:color="auto" w:sz="4" w:space="0"/>
                    <w:left w:val="single" w:color="auto" w:sz="4" w:space="0"/>
                    <w:bottom w:val="single" w:color="auto" w:sz="4" w:space="0"/>
                    <w:right w:val="single" w:color="auto" w:sz="4" w:space="0"/>
                  </w:tcBorders>
                  <w:vAlign w:val="center"/>
                </w:tcPr>
                <w:p w14:paraId="3D692A68">
                  <w:pPr>
                    <w:rPr>
                      <w:color w:val="auto"/>
                      <w:szCs w:val="21"/>
                    </w:rPr>
                  </w:pPr>
                </w:p>
              </w:tc>
              <w:tc>
                <w:tcPr>
                  <w:tcW w:w="582" w:type="dxa"/>
                  <w:vMerge w:val="continue"/>
                  <w:tcBorders>
                    <w:top w:val="single" w:color="auto" w:sz="4" w:space="0"/>
                    <w:left w:val="single" w:color="auto" w:sz="4" w:space="0"/>
                    <w:bottom w:val="single" w:color="auto" w:sz="4" w:space="0"/>
                    <w:right w:val="single" w:color="auto" w:sz="4" w:space="0"/>
                  </w:tcBorders>
                  <w:vAlign w:val="center"/>
                </w:tcPr>
                <w:p w14:paraId="12B875B2">
                  <w:pPr>
                    <w:rPr>
                      <w:color w:val="auto"/>
                      <w:szCs w:val="21"/>
                    </w:rPr>
                  </w:pPr>
                </w:p>
              </w:tc>
              <w:tc>
                <w:tcPr>
                  <w:tcW w:w="692" w:type="dxa"/>
                  <w:vMerge w:val="continue"/>
                  <w:tcBorders>
                    <w:top w:val="single" w:color="auto" w:sz="4" w:space="0"/>
                    <w:left w:val="single" w:color="auto" w:sz="4" w:space="0"/>
                    <w:bottom w:val="single" w:color="auto" w:sz="4" w:space="0"/>
                    <w:right w:val="single" w:color="auto" w:sz="4" w:space="0"/>
                  </w:tcBorders>
                  <w:vAlign w:val="center"/>
                </w:tcPr>
                <w:p w14:paraId="361E2725">
                  <w:pPr>
                    <w:rPr>
                      <w:color w:val="auto"/>
                      <w:szCs w:val="21"/>
                    </w:rPr>
                  </w:pPr>
                </w:p>
              </w:tc>
              <w:tc>
                <w:tcPr>
                  <w:tcW w:w="652" w:type="dxa"/>
                  <w:tcBorders>
                    <w:top w:val="single" w:color="auto" w:sz="4" w:space="0"/>
                    <w:left w:val="single" w:color="auto" w:sz="4" w:space="0"/>
                    <w:bottom w:val="single" w:color="auto" w:sz="4" w:space="0"/>
                    <w:right w:val="single" w:color="auto" w:sz="4" w:space="0"/>
                  </w:tcBorders>
                  <w:vAlign w:val="center"/>
                </w:tcPr>
                <w:p w14:paraId="0EC1182B">
                  <w:pPr>
                    <w:jc w:val="center"/>
                    <w:rPr>
                      <w:b/>
                      <w:bCs/>
                      <w:color w:val="auto"/>
                      <w:szCs w:val="21"/>
                    </w:rPr>
                  </w:pPr>
                  <w:r>
                    <w:rPr>
                      <w:b/>
                      <w:bCs/>
                      <w:color w:val="auto"/>
                      <w:szCs w:val="21"/>
                    </w:rPr>
                    <w:t>声压级/dB(A)</w:t>
                  </w:r>
                </w:p>
              </w:tc>
              <w:tc>
                <w:tcPr>
                  <w:tcW w:w="662" w:type="dxa"/>
                  <w:tcBorders>
                    <w:top w:val="single" w:color="auto" w:sz="4" w:space="0"/>
                    <w:left w:val="single" w:color="auto" w:sz="4" w:space="0"/>
                    <w:bottom w:val="single" w:color="auto" w:sz="4" w:space="0"/>
                    <w:right w:val="single" w:color="auto" w:sz="4" w:space="0"/>
                  </w:tcBorders>
                  <w:vAlign w:val="center"/>
                </w:tcPr>
                <w:p w14:paraId="7E1071A4">
                  <w:pPr>
                    <w:jc w:val="center"/>
                    <w:rPr>
                      <w:b/>
                      <w:bCs/>
                      <w:color w:val="auto"/>
                      <w:szCs w:val="21"/>
                    </w:rPr>
                  </w:pPr>
                  <w:r>
                    <w:rPr>
                      <w:b/>
                      <w:bCs/>
                      <w:color w:val="auto"/>
                      <w:szCs w:val="21"/>
                    </w:rPr>
                    <w:t>建筑物外距离</w:t>
                  </w:r>
                </w:p>
              </w:tc>
            </w:tr>
            <w:tr w14:paraId="12B0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restart"/>
                  <w:tcBorders>
                    <w:top w:val="single" w:color="auto" w:sz="4" w:space="0"/>
                    <w:left w:val="single" w:color="auto" w:sz="4" w:space="0"/>
                    <w:right w:val="single" w:color="auto" w:sz="4" w:space="0"/>
                  </w:tcBorders>
                  <w:vAlign w:val="center"/>
                </w:tcPr>
                <w:p w14:paraId="2A484B70">
                  <w:pPr>
                    <w:jc w:val="center"/>
                    <w:rPr>
                      <w:color w:val="auto"/>
                      <w:szCs w:val="21"/>
                    </w:rPr>
                  </w:pPr>
                  <w:r>
                    <w:rPr>
                      <w:color w:val="auto"/>
                      <w:szCs w:val="21"/>
                    </w:rPr>
                    <w:t>1</w:t>
                  </w:r>
                </w:p>
              </w:tc>
              <w:tc>
                <w:tcPr>
                  <w:tcW w:w="471" w:type="dxa"/>
                  <w:vMerge w:val="restart"/>
                  <w:tcBorders>
                    <w:top w:val="single" w:color="auto" w:sz="4" w:space="0"/>
                    <w:left w:val="single" w:color="auto" w:sz="4" w:space="0"/>
                    <w:right w:val="single" w:color="auto" w:sz="4" w:space="0"/>
                  </w:tcBorders>
                  <w:vAlign w:val="center"/>
                </w:tcPr>
                <w:p w14:paraId="1F2CBC69">
                  <w:pPr>
                    <w:jc w:val="center"/>
                    <w:rPr>
                      <w:color w:val="auto"/>
                      <w:szCs w:val="21"/>
                    </w:rPr>
                  </w:pPr>
                  <w:r>
                    <w:rPr>
                      <w:color w:val="auto"/>
                      <w:szCs w:val="21"/>
                    </w:rPr>
                    <w:t>生产车间</w:t>
                  </w:r>
                </w:p>
              </w:tc>
              <w:tc>
                <w:tcPr>
                  <w:tcW w:w="691" w:type="dxa"/>
                  <w:vMerge w:val="restart"/>
                  <w:tcBorders>
                    <w:top w:val="single" w:color="auto" w:sz="4" w:space="0"/>
                    <w:left w:val="single" w:color="auto" w:sz="4" w:space="0"/>
                    <w:right w:val="single" w:color="auto" w:sz="4" w:space="0"/>
                  </w:tcBorders>
                  <w:vAlign w:val="center"/>
                </w:tcPr>
                <w:p w14:paraId="4D290FBE">
                  <w:pPr>
                    <w:pStyle w:val="273"/>
                    <w:rPr>
                      <w:color w:val="auto"/>
                    </w:rPr>
                  </w:pPr>
                  <w:r>
                    <w:rPr>
                      <w:rFonts w:hint="eastAsia"/>
                      <w:bCs/>
                      <w:color w:val="auto"/>
                      <w:szCs w:val="21"/>
                    </w:rPr>
                    <w:t>空压机（1台）</w:t>
                  </w:r>
                </w:p>
              </w:tc>
              <w:tc>
                <w:tcPr>
                  <w:tcW w:w="733" w:type="dxa"/>
                  <w:vMerge w:val="restart"/>
                  <w:tcBorders>
                    <w:top w:val="single" w:color="auto" w:sz="4" w:space="0"/>
                    <w:left w:val="single" w:color="auto" w:sz="4" w:space="0"/>
                    <w:right w:val="single" w:color="auto" w:sz="4" w:space="0"/>
                  </w:tcBorders>
                  <w:vAlign w:val="center"/>
                </w:tcPr>
                <w:p w14:paraId="27E10355">
                  <w:pPr>
                    <w:jc w:val="center"/>
                    <w:rPr>
                      <w:color w:val="auto"/>
                      <w:szCs w:val="21"/>
                    </w:rPr>
                  </w:pPr>
                  <w:r>
                    <w:rPr>
                      <w:rFonts w:hint="eastAsia"/>
                      <w:color w:val="auto"/>
                      <w:szCs w:val="21"/>
                      <w:lang w:val="en-US" w:eastAsia="zh-CN"/>
                    </w:rPr>
                    <w:t>93</w:t>
                  </w:r>
                  <w:r>
                    <w:rPr>
                      <w:rFonts w:hint="eastAsia"/>
                      <w:color w:val="auto"/>
                      <w:szCs w:val="21"/>
                    </w:rPr>
                    <w:t>（单台</w:t>
                  </w:r>
                  <w:r>
                    <w:rPr>
                      <w:rFonts w:hint="eastAsia"/>
                      <w:color w:val="auto"/>
                      <w:szCs w:val="21"/>
                      <w:lang w:val="en-US" w:eastAsia="zh-CN"/>
                    </w:rPr>
                    <w:t>93</w:t>
                  </w:r>
                  <w:r>
                    <w:rPr>
                      <w:rFonts w:hint="eastAsia"/>
                      <w:color w:val="auto"/>
                      <w:szCs w:val="21"/>
                    </w:rPr>
                    <w:t>）</w:t>
                  </w:r>
                </w:p>
              </w:tc>
              <w:tc>
                <w:tcPr>
                  <w:tcW w:w="445" w:type="dxa"/>
                  <w:vMerge w:val="restart"/>
                  <w:tcBorders>
                    <w:top w:val="single" w:color="auto" w:sz="4" w:space="0"/>
                    <w:left w:val="single" w:color="auto" w:sz="4" w:space="0"/>
                    <w:right w:val="single" w:color="auto" w:sz="4" w:space="0"/>
                  </w:tcBorders>
                  <w:vAlign w:val="center"/>
                </w:tcPr>
                <w:p w14:paraId="036A153B">
                  <w:pPr>
                    <w:pStyle w:val="32"/>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隔声、减振、控制噪声源、控制传播途径、合理布局、加强管理等</w:t>
                  </w:r>
                </w:p>
              </w:tc>
              <w:tc>
                <w:tcPr>
                  <w:tcW w:w="689" w:type="dxa"/>
                  <w:vMerge w:val="restart"/>
                  <w:tcBorders>
                    <w:top w:val="single" w:color="auto" w:sz="4" w:space="0"/>
                    <w:left w:val="single" w:color="auto" w:sz="4" w:space="0"/>
                    <w:right w:val="single" w:color="auto" w:sz="4" w:space="0"/>
                  </w:tcBorders>
                  <w:vAlign w:val="center"/>
                </w:tcPr>
                <w:p w14:paraId="67AF95F3">
                  <w:pPr>
                    <w:jc w:val="center"/>
                    <w:rPr>
                      <w:color w:val="auto"/>
                      <w:szCs w:val="21"/>
                    </w:rPr>
                  </w:pPr>
                  <w:r>
                    <w:rPr>
                      <w:rFonts w:hint="eastAsia"/>
                      <w:color w:val="auto"/>
                      <w:szCs w:val="21"/>
                    </w:rPr>
                    <w:t>29</w:t>
                  </w:r>
                </w:p>
              </w:tc>
              <w:tc>
                <w:tcPr>
                  <w:tcW w:w="689" w:type="dxa"/>
                  <w:vMerge w:val="restart"/>
                  <w:tcBorders>
                    <w:top w:val="single" w:color="auto" w:sz="4" w:space="0"/>
                    <w:left w:val="single" w:color="auto" w:sz="4" w:space="0"/>
                    <w:right w:val="single" w:color="auto" w:sz="4" w:space="0"/>
                  </w:tcBorders>
                  <w:vAlign w:val="center"/>
                </w:tcPr>
                <w:p w14:paraId="46F0815D">
                  <w:pPr>
                    <w:jc w:val="center"/>
                    <w:rPr>
                      <w:color w:val="auto"/>
                      <w:szCs w:val="21"/>
                    </w:rPr>
                  </w:pPr>
                  <w:r>
                    <w:rPr>
                      <w:rFonts w:hint="eastAsia"/>
                      <w:color w:val="auto"/>
                      <w:szCs w:val="21"/>
                    </w:rPr>
                    <w:t>-17.5</w:t>
                  </w:r>
                </w:p>
              </w:tc>
              <w:tc>
                <w:tcPr>
                  <w:tcW w:w="370" w:type="dxa"/>
                  <w:vMerge w:val="restart"/>
                  <w:tcBorders>
                    <w:top w:val="single" w:color="auto" w:sz="4" w:space="0"/>
                    <w:left w:val="single" w:color="auto" w:sz="4" w:space="0"/>
                    <w:right w:val="single" w:color="auto" w:sz="4" w:space="0"/>
                  </w:tcBorders>
                  <w:vAlign w:val="center"/>
                </w:tcPr>
                <w:p w14:paraId="0D682F77">
                  <w:pPr>
                    <w:jc w:val="center"/>
                    <w:rPr>
                      <w:color w:val="auto"/>
                      <w:szCs w:val="21"/>
                    </w:rPr>
                  </w:pPr>
                  <w:r>
                    <w:rPr>
                      <w:rFonts w:hint="eastAsia"/>
                      <w:color w:val="auto"/>
                      <w:szCs w:val="21"/>
                    </w:rPr>
                    <w:t>1</w:t>
                  </w:r>
                </w:p>
              </w:tc>
              <w:tc>
                <w:tcPr>
                  <w:tcW w:w="465" w:type="dxa"/>
                  <w:tcBorders>
                    <w:top w:val="single" w:color="auto" w:sz="4" w:space="0"/>
                    <w:left w:val="single" w:color="auto" w:sz="4" w:space="0"/>
                    <w:bottom w:val="single" w:color="auto" w:sz="4" w:space="0"/>
                    <w:right w:val="single" w:color="auto" w:sz="4" w:space="0"/>
                  </w:tcBorders>
                  <w:vAlign w:val="center"/>
                </w:tcPr>
                <w:p w14:paraId="5D4B800E">
                  <w:pPr>
                    <w:jc w:val="center"/>
                    <w:rPr>
                      <w:color w:val="auto"/>
                      <w:szCs w:val="21"/>
                    </w:rPr>
                  </w:pPr>
                  <w:r>
                    <w:rPr>
                      <w:color w:val="auto"/>
                      <w:szCs w:val="21"/>
                    </w:rPr>
                    <w:t>东</w:t>
                  </w:r>
                </w:p>
              </w:tc>
              <w:tc>
                <w:tcPr>
                  <w:tcW w:w="572" w:type="dxa"/>
                  <w:tcBorders>
                    <w:top w:val="single" w:color="auto" w:sz="4" w:space="0"/>
                    <w:left w:val="single" w:color="auto" w:sz="4" w:space="0"/>
                    <w:bottom w:val="single" w:color="auto" w:sz="4" w:space="0"/>
                    <w:right w:val="single" w:color="auto" w:sz="4" w:space="0"/>
                  </w:tcBorders>
                  <w:vAlign w:val="center"/>
                </w:tcPr>
                <w:p w14:paraId="1F1C5357">
                  <w:pPr>
                    <w:jc w:val="center"/>
                    <w:rPr>
                      <w:color w:val="auto"/>
                      <w:szCs w:val="21"/>
                    </w:rPr>
                  </w:pPr>
                  <w:r>
                    <w:rPr>
                      <w:rFonts w:hint="eastAsia"/>
                      <w:color w:val="auto"/>
                      <w:szCs w:val="21"/>
                    </w:rPr>
                    <w:t>5</w:t>
                  </w:r>
                </w:p>
              </w:tc>
              <w:tc>
                <w:tcPr>
                  <w:tcW w:w="620" w:type="dxa"/>
                  <w:tcBorders>
                    <w:top w:val="single" w:color="auto" w:sz="4" w:space="0"/>
                    <w:left w:val="single" w:color="auto" w:sz="4" w:space="0"/>
                    <w:bottom w:val="single" w:color="auto" w:sz="4" w:space="0"/>
                    <w:right w:val="single" w:color="auto" w:sz="4" w:space="0"/>
                  </w:tcBorders>
                  <w:vAlign w:val="center"/>
                </w:tcPr>
                <w:p w14:paraId="3670E13A">
                  <w:pPr>
                    <w:jc w:val="center"/>
                    <w:rPr>
                      <w:color w:val="auto"/>
                      <w:szCs w:val="21"/>
                    </w:rPr>
                  </w:pPr>
                  <w:r>
                    <w:rPr>
                      <w:rFonts w:hint="eastAsia"/>
                      <w:color w:val="auto"/>
                      <w:szCs w:val="21"/>
                      <w:lang w:val="en-US" w:eastAsia="zh-CN"/>
                    </w:rPr>
                    <w:t>72</w:t>
                  </w:r>
                  <w:r>
                    <w:rPr>
                      <w:rFonts w:hint="eastAsia"/>
                      <w:color w:val="auto"/>
                      <w:szCs w:val="21"/>
                    </w:rPr>
                    <w:t>.1</w:t>
                  </w:r>
                </w:p>
              </w:tc>
              <w:tc>
                <w:tcPr>
                  <w:tcW w:w="582" w:type="dxa"/>
                  <w:vMerge w:val="restart"/>
                  <w:tcBorders>
                    <w:top w:val="single" w:color="auto" w:sz="4" w:space="0"/>
                    <w:left w:val="single" w:color="auto" w:sz="4" w:space="0"/>
                    <w:right w:val="single" w:color="auto" w:sz="4" w:space="0"/>
                  </w:tcBorders>
                  <w:vAlign w:val="center"/>
                </w:tcPr>
                <w:p w14:paraId="707DD502">
                  <w:pPr>
                    <w:jc w:val="center"/>
                    <w:rPr>
                      <w:color w:val="auto"/>
                      <w:szCs w:val="21"/>
                    </w:rPr>
                  </w:pPr>
                  <w:r>
                    <w:rPr>
                      <w:rFonts w:hint="eastAsia"/>
                      <w:color w:val="auto"/>
                      <w:szCs w:val="21"/>
                    </w:rPr>
                    <w:t>8</w:t>
                  </w:r>
                  <w:r>
                    <w:rPr>
                      <w:color w:val="auto"/>
                      <w:szCs w:val="21"/>
                      <w:lang w:eastAsia="en-US"/>
                    </w:rPr>
                    <w:t>:00-</w:t>
                  </w:r>
                  <w:r>
                    <w:rPr>
                      <w:rFonts w:hint="eastAsia"/>
                      <w:color w:val="auto"/>
                      <w:szCs w:val="21"/>
                      <w:lang w:val="en-US" w:eastAsia="zh-CN"/>
                    </w:rPr>
                    <w:t>20</w:t>
                  </w:r>
                  <w:r>
                    <w:rPr>
                      <w:color w:val="auto"/>
                      <w:szCs w:val="21"/>
                      <w:lang w:eastAsia="en-US"/>
                    </w:rPr>
                    <w:t>:00</w:t>
                  </w:r>
                </w:p>
              </w:tc>
              <w:tc>
                <w:tcPr>
                  <w:tcW w:w="692" w:type="dxa"/>
                  <w:vMerge w:val="restart"/>
                  <w:tcBorders>
                    <w:top w:val="single" w:color="auto" w:sz="4" w:space="0"/>
                    <w:left w:val="single" w:color="auto" w:sz="4" w:space="0"/>
                    <w:right w:val="single" w:color="auto" w:sz="4" w:space="0"/>
                  </w:tcBorders>
                  <w:vAlign w:val="center"/>
                </w:tcPr>
                <w:p w14:paraId="5360AC6D">
                  <w:pPr>
                    <w:jc w:val="center"/>
                    <w:rPr>
                      <w:rFonts w:hint="eastAsia" w:eastAsia="宋体"/>
                      <w:color w:val="auto"/>
                      <w:szCs w:val="21"/>
                      <w:lang w:eastAsia="zh-CN"/>
                    </w:rPr>
                  </w:pPr>
                  <w:r>
                    <w:rPr>
                      <w:rFonts w:hint="eastAsia"/>
                      <w:color w:val="auto"/>
                      <w:szCs w:val="21"/>
                      <w:lang w:val="en-US" w:eastAsia="zh-CN"/>
                    </w:rPr>
                    <w:t>21</w:t>
                  </w:r>
                </w:p>
              </w:tc>
              <w:tc>
                <w:tcPr>
                  <w:tcW w:w="652" w:type="dxa"/>
                  <w:vMerge w:val="restart"/>
                  <w:tcBorders>
                    <w:top w:val="single" w:color="auto" w:sz="4" w:space="0"/>
                    <w:left w:val="single" w:color="auto" w:sz="4" w:space="0"/>
                    <w:right w:val="single" w:color="auto" w:sz="4" w:space="0"/>
                  </w:tcBorders>
                  <w:vAlign w:val="center"/>
                </w:tcPr>
                <w:p w14:paraId="3BA14C27">
                  <w:pPr>
                    <w:pStyle w:val="109"/>
                    <w:autoSpaceDE/>
                    <w:autoSpaceDN/>
                    <w:snapToGrid w:val="0"/>
                    <w:spacing w:before="0"/>
                    <w:rPr>
                      <w:color w:val="auto"/>
                      <w:sz w:val="21"/>
                      <w:szCs w:val="21"/>
                    </w:rPr>
                  </w:pPr>
                  <w:r>
                    <w:rPr>
                      <w:rFonts w:hint="eastAsia"/>
                      <w:color w:val="auto"/>
                      <w:sz w:val="21"/>
                      <w:szCs w:val="21"/>
                    </w:rPr>
                    <w:t>东侧</w:t>
                  </w:r>
                </w:p>
                <w:p w14:paraId="13977C0F">
                  <w:pPr>
                    <w:pStyle w:val="109"/>
                    <w:autoSpaceDE/>
                    <w:autoSpaceDN/>
                    <w:snapToGrid w:val="0"/>
                    <w:spacing w:before="0"/>
                    <w:rPr>
                      <w:color w:val="auto"/>
                      <w:sz w:val="21"/>
                      <w:szCs w:val="21"/>
                    </w:rPr>
                  </w:pPr>
                  <w:r>
                    <w:rPr>
                      <w:rFonts w:hint="eastAsia"/>
                      <w:color w:val="auto"/>
                      <w:sz w:val="21"/>
                      <w:szCs w:val="21"/>
                    </w:rPr>
                    <w:t>（昼间）：54.4</w:t>
                  </w:r>
                </w:p>
                <w:p w14:paraId="3FF346E1">
                  <w:pPr>
                    <w:pStyle w:val="109"/>
                    <w:autoSpaceDE/>
                    <w:autoSpaceDN/>
                    <w:snapToGrid w:val="0"/>
                    <w:spacing w:before="0"/>
                    <w:rPr>
                      <w:color w:val="auto"/>
                      <w:sz w:val="21"/>
                      <w:szCs w:val="21"/>
                    </w:rPr>
                  </w:pPr>
                  <w:r>
                    <w:rPr>
                      <w:rFonts w:hint="eastAsia"/>
                      <w:color w:val="auto"/>
                      <w:sz w:val="21"/>
                      <w:szCs w:val="21"/>
                    </w:rPr>
                    <w:t>南侧</w:t>
                  </w:r>
                </w:p>
                <w:p w14:paraId="549A18B1">
                  <w:pPr>
                    <w:pStyle w:val="109"/>
                    <w:autoSpaceDE/>
                    <w:autoSpaceDN/>
                    <w:snapToGrid w:val="0"/>
                    <w:spacing w:before="0"/>
                    <w:rPr>
                      <w:color w:val="auto"/>
                      <w:sz w:val="21"/>
                      <w:szCs w:val="21"/>
                    </w:rPr>
                  </w:pPr>
                  <w:r>
                    <w:rPr>
                      <w:rFonts w:hint="eastAsia"/>
                      <w:color w:val="auto"/>
                      <w:sz w:val="21"/>
                      <w:szCs w:val="21"/>
                    </w:rPr>
                    <w:t>（昼间）：53.9</w:t>
                  </w:r>
                </w:p>
                <w:p w14:paraId="0F4AE5BC">
                  <w:pPr>
                    <w:pStyle w:val="109"/>
                    <w:autoSpaceDE/>
                    <w:autoSpaceDN/>
                    <w:snapToGrid w:val="0"/>
                    <w:spacing w:before="0"/>
                    <w:rPr>
                      <w:color w:val="auto"/>
                      <w:sz w:val="21"/>
                      <w:szCs w:val="21"/>
                    </w:rPr>
                  </w:pPr>
                  <w:r>
                    <w:rPr>
                      <w:rFonts w:hint="eastAsia"/>
                      <w:color w:val="auto"/>
                      <w:sz w:val="21"/>
                      <w:szCs w:val="21"/>
                    </w:rPr>
                    <w:t>西侧</w:t>
                  </w:r>
                </w:p>
                <w:p w14:paraId="276539DE">
                  <w:pPr>
                    <w:pStyle w:val="109"/>
                    <w:autoSpaceDE/>
                    <w:autoSpaceDN/>
                    <w:snapToGrid w:val="0"/>
                    <w:spacing w:before="0"/>
                    <w:rPr>
                      <w:color w:val="auto"/>
                      <w:sz w:val="21"/>
                      <w:szCs w:val="21"/>
                    </w:rPr>
                  </w:pPr>
                  <w:r>
                    <w:rPr>
                      <w:rFonts w:hint="eastAsia"/>
                      <w:color w:val="auto"/>
                      <w:sz w:val="21"/>
                      <w:szCs w:val="21"/>
                    </w:rPr>
                    <w:t>（昼间）：52.7北侧</w:t>
                  </w:r>
                </w:p>
                <w:p w14:paraId="185D86B6">
                  <w:pPr>
                    <w:pStyle w:val="109"/>
                    <w:autoSpaceDE/>
                    <w:autoSpaceDN/>
                    <w:snapToGrid w:val="0"/>
                    <w:spacing w:before="0"/>
                    <w:rPr>
                      <w:color w:val="auto"/>
                      <w:szCs w:val="21"/>
                    </w:rPr>
                  </w:pPr>
                  <w:r>
                    <w:rPr>
                      <w:rFonts w:hint="eastAsia"/>
                      <w:color w:val="auto"/>
                      <w:sz w:val="21"/>
                      <w:szCs w:val="21"/>
                    </w:rPr>
                    <w:t>（昼间）：53.2</w:t>
                  </w:r>
                </w:p>
              </w:tc>
              <w:tc>
                <w:tcPr>
                  <w:tcW w:w="662" w:type="dxa"/>
                  <w:vMerge w:val="restart"/>
                  <w:tcBorders>
                    <w:top w:val="single" w:color="auto" w:sz="4" w:space="0"/>
                    <w:left w:val="single" w:color="auto" w:sz="4" w:space="0"/>
                    <w:right w:val="single" w:color="auto" w:sz="4" w:space="0"/>
                  </w:tcBorders>
                  <w:vAlign w:val="center"/>
                </w:tcPr>
                <w:p w14:paraId="06178633">
                  <w:pPr>
                    <w:jc w:val="center"/>
                    <w:rPr>
                      <w:color w:val="auto"/>
                      <w:szCs w:val="21"/>
                    </w:rPr>
                  </w:pPr>
                  <w:r>
                    <w:rPr>
                      <w:rFonts w:hint="eastAsia"/>
                      <w:color w:val="auto"/>
                      <w:szCs w:val="21"/>
                    </w:rPr>
                    <w:t>1</w:t>
                  </w:r>
                </w:p>
              </w:tc>
            </w:tr>
            <w:tr w14:paraId="320B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0A224E43">
                  <w:pPr>
                    <w:jc w:val="center"/>
                    <w:rPr>
                      <w:color w:val="auto"/>
                      <w:szCs w:val="21"/>
                    </w:rPr>
                  </w:pPr>
                </w:p>
              </w:tc>
              <w:tc>
                <w:tcPr>
                  <w:tcW w:w="471" w:type="dxa"/>
                  <w:vMerge w:val="continue"/>
                  <w:tcBorders>
                    <w:left w:val="single" w:color="auto" w:sz="4" w:space="0"/>
                    <w:right w:val="single" w:color="auto" w:sz="4" w:space="0"/>
                  </w:tcBorders>
                  <w:vAlign w:val="center"/>
                </w:tcPr>
                <w:p w14:paraId="25EA9205">
                  <w:pPr>
                    <w:jc w:val="center"/>
                    <w:rPr>
                      <w:color w:val="auto"/>
                      <w:szCs w:val="21"/>
                    </w:rPr>
                  </w:pPr>
                </w:p>
              </w:tc>
              <w:tc>
                <w:tcPr>
                  <w:tcW w:w="691" w:type="dxa"/>
                  <w:vMerge w:val="continue"/>
                  <w:tcBorders>
                    <w:left w:val="single" w:color="auto" w:sz="4" w:space="0"/>
                    <w:right w:val="single" w:color="auto" w:sz="4" w:space="0"/>
                  </w:tcBorders>
                  <w:vAlign w:val="center"/>
                </w:tcPr>
                <w:p w14:paraId="0EB10CB4">
                  <w:pPr>
                    <w:pStyle w:val="32"/>
                    <w:spacing w:before="0" w:beforeAutospacing="0" w:after="0" w:afterAutospacing="0"/>
                    <w:jc w:val="center"/>
                    <w:rPr>
                      <w:rFonts w:ascii="Times New Roman" w:hAnsi="Times New Roman"/>
                      <w:color w:val="auto"/>
                      <w:sz w:val="21"/>
                      <w:szCs w:val="21"/>
                      <w:lang w:eastAsia="en-US"/>
                    </w:rPr>
                  </w:pPr>
                </w:p>
              </w:tc>
              <w:tc>
                <w:tcPr>
                  <w:tcW w:w="733" w:type="dxa"/>
                  <w:vMerge w:val="continue"/>
                  <w:tcBorders>
                    <w:left w:val="single" w:color="auto" w:sz="4" w:space="0"/>
                    <w:right w:val="single" w:color="auto" w:sz="4" w:space="0"/>
                  </w:tcBorders>
                  <w:vAlign w:val="center"/>
                </w:tcPr>
                <w:p w14:paraId="58F49AB6">
                  <w:pPr>
                    <w:jc w:val="center"/>
                    <w:rPr>
                      <w:color w:val="auto"/>
                      <w:szCs w:val="21"/>
                    </w:rPr>
                  </w:pPr>
                </w:p>
              </w:tc>
              <w:tc>
                <w:tcPr>
                  <w:tcW w:w="445" w:type="dxa"/>
                  <w:vMerge w:val="continue"/>
                  <w:tcBorders>
                    <w:left w:val="single" w:color="auto" w:sz="4" w:space="0"/>
                    <w:right w:val="single" w:color="auto" w:sz="4" w:space="0"/>
                  </w:tcBorders>
                  <w:vAlign w:val="center"/>
                </w:tcPr>
                <w:p w14:paraId="7959211C">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3935F92B">
                  <w:pPr>
                    <w:jc w:val="center"/>
                    <w:rPr>
                      <w:color w:val="auto"/>
                      <w:szCs w:val="21"/>
                    </w:rPr>
                  </w:pPr>
                </w:p>
              </w:tc>
              <w:tc>
                <w:tcPr>
                  <w:tcW w:w="689" w:type="dxa"/>
                  <w:vMerge w:val="continue"/>
                  <w:tcBorders>
                    <w:left w:val="single" w:color="auto" w:sz="4" w:space="0"/>
                    <w:right w:val="single" w:color="auto" w:sz="4" w:space="0"/>
                  </w:tcBorders>
                  <w:vAlign w:val="center"/>
                </w:tcPr>
                <w:p w14:paraId="58B9EBB9">
                  <w:pPr>
                    <w:jc w:val="center"/>
                    <w:rPr>
                      <w:color w:val="auto"/>
                      <w:szCs w:val="21"/>
                    </w:rPr>
                  </w:pPr>
                </w:p>
              </w:tc>
              <w:tc>
                <w:tcPr>
                  <w:tcW w:w="370" w:type="dxa"/>
                  <w:vMerge w:val="continue"/>
                  <w:tcBorders>
                    <w:left w:val="single" w:color="auto" w:sz="4" w:space="0"/>
                    <w:right w:val="single" w:color="auto" w:sz="4" w:space="0"/>
                  </w:tcBorders>
                  <w:vAlign w:val="center"/>
                </w:tcPr>
                <w:p w14:paraId="114BEAC2">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79EBC235">
                  <w:pPr>
                    <w:jc w:val="center"/>
                    <w:rPr>
                      <w:color w:val="auto"/>
                      <w:szCs w:val="21"/>
                    </w:rPr>
                  </w:pPr>
                  <w:r>
                    <w:rPr>
                      <w:color w:val="auto"/>
                      <w:szCs w:val="21"/>
                    </w:rPr>
                    <w:t>南</w:t>
                  </w:r>
                </w:p>
              </w:tc>
              <w:tc>
                <w:tcPr>
                  <w:tcW w:w="572" w:type="dxa"/>
                  <w:tcBorders>
                    <w:top w:val="single" w:color="auto" w:sz="4" w:space="0"/>
                    <w:left w:val="single" w:color="auto" w:sz="4" w:space="0"/>
                    <w:bottom w:val="single" w:color="auto" w:sz="4" w:space="0"/>
                    <w:right w:val="single" w:color="auto" w:sz="4" w:space="0"/>
                  </w:tcBorders>
                  <w:vAlign w:val="center"/>
                </w:tcPr>
                <w:p w14:paraId="59CCFC0B">
                  <w:pPr>
                    <w:jc w:val="center"/>
                    <w:rPr>
                      <w:color w:val="auto"/>
                      <w:szCs w:val="21"/>
                    </w:rPr>
                  </w:pPr>
                  <w:r>
                    <w:rPr>
                      <w:rFonts w:hint="eastAsia"/>
                      <w:color w:val="auto"/>
                      <w:szCs w:val="21"/>
                    </w:rPr>
                    <w:t>5</w:t>
                  </w:r>
                </w:p>
              </w:tc>
              <w:tc>
                <w:tcPr>
                  <w:tcW w:w="620" w:type="dxa"/>
                  <w:tcBorders>
                    <w:top w:val="single" w:color="auto" w:sz="4" w:space="0"/>
                    <w:left w:val="single" w:color="auto" w:sz="4" w:space="0"/>
                    <w:bottom w:val="single" w:color="auto" w:sz="4" w:space="0"/>
                    <w:right w:val="single" w:color="auto" w:sz="4" w:space="0"/>
                  </w:tcBorders>
                  <w:vAlign w:val="center"/>
                </w:tcPr>
                <w:p w14:paraId="6B157ADA">
                  <w:pPr>
                    <w:jc w:val="center"/>
                    <w:rPr>
                      <w:color w:val="auto"/>
                      <w:szCs w:val="21"/>
                    </w:rPr>
                  </w:pPr>
                  <w:r>
                    <w:rPr>
                      <w:rFonts w:hint="eastAsia"/>
                      <w:color w:val="auto"/>
                      <w:szCs w:val="21"/>
                      <w:lang w:val="en-US" w:eastAsia="zh-CN"/>
                    </w:rPr>
                    <w:t>72</w:t>
                  </w:r>
                  <w:r>
                    <w:rPr>
                      <w:rFonts w:hint="eastAsia"/>
                      <w:color w:val="auto"/>
                      <w:szCs w:val="21"/>
                    </w:rPr>
                    <w:t>.1</w:t>
                  </w:r>
                </w:p>
              </w:tc>
              <w:tc>
                <w:tcPr>
                  <w:tcW w:w="582" w:type="dxa"/>
                  <w:vMerge w:val="continue"/>
                  <w:tcBorders>
                    <w:left w:val="single" w:color="auto" w:sz="4" w:space="0"/>
                    <w:right w:val="single" w:color="auto" w:sz="4" w:space="0"/>
                  </w:tcBorders>
                  <w:vAlign w:val="center"/>
                </w:tcPr>
                <w:p w14:paraId="7711F8C5">
                  <w:pPr>
                    <w:jc w:val="center"/>
                    <w:rPr>
                      <w:color w:val="auto"/>
                      <w:szCs w:val="21"/>
                    </w:rPr>
                  </w:pPr>
                </w:p>
              </w:tc>
              <w:tc>
                <w:tcPr>
                  <w:tcW w:w="692" w:type="dxa"/>
                  <w:vMerge w:val="continue"/>
                  <w:tcBorders>
                    <w:left w:val="single" w:color="auto" w:sz="4" w:space="0"/>
                    <w:right w:val="single" w:color="auto" w:sz="4" w:space="0"/>
                  </w:tcBorders>
                  <w:vAlign w:val="center"/>
                </w:tcPr>
                <w:p w14:paraId="5516C5A5">
                  <w:pPr>
                    <w:jc w:val="center"/>
                    <w:rPr>
                      <w:color w:val="auto"/>
                      <w:szCs w:val="21"/>
                    </w:rPr>
                  </w:pPr>
                </w:p>
              </w:tc>
              <w:tc>
                <w:tcPr>
                  <w:tcW w:w="652" w:type="dxa"/>
                  <w:vMerge w:val="continue"/>
                  <w:tcBorders>
                    <w:left w:val="single" w:color="auto" w:sz="4" w:space="0"/>
                    <w:right w:val="single" w:color="auto" w:sz="4" w:space="0"/>
                  </w:tcBorders>
                  <w:vAlign w:val="center"/>
                </w:tcPr>
                <w:p w14:paraId="0E91ED95">
                  <w:pPr>
                    <w:jc w:val="center"/>
                    <w:rPr>
                      <w:color w:val="auto"/>
                      <w:szCs w:val="21"/>
                    </w:rPr>
                  </w:pPr>
                </w:p>
              </w:tc>
              <w:tc>
                <w:tcPr>
                  <w:tcW w:w="662" w:type="dxa"/>
                  <w:vMerge w:val="continue"/>
                  <w:tcBorders>
                    <w:left w:val="single" w:color="auto" w:sz="4" w:space="0"/>
                    <w:right w:val="single" w:color="auto" w:sz="4" w:space="0"/>
                  </w:tcBorders>
                  <w:vAlign w:val="center"/>
                </w:tcPr>
                <w:p w14:paraId="6888D3B8">
                  <w:pPr>
                    <w:jc w:val="center"/>
                    <w:rPr>
                      <w:color w:val="auto"/>
                      <w:szCs w:val="21"/>
                    </w:rPr>
                  </w:pPr>
                </w:p>
              </w:tc>
            </w:tr>
            <w:tr w14:paraId="2874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34D482EB">
                  <w:pPr>
                    <w:jc w:val="center"/>
                    <w:rPr>
                      <w:color w:val="auto"/>
                      <w:szCs w:val="21"/>
                    </w:rPr>
                  </w:pPr>
                </w:p>
              </w:tc>
              <w:tc>
                <w:tcPr>
                  <w:tcW w:w="471" w:type="dxa"/>
                  <w:vMerge w:val="continue"/>
                  <w:tcBorders>
                    <w:left w:val="single" w:color="auto" w:sz="4" w:space="0"/>
                    <w:right w:val="single" w:color="auto" w:sz="4" w:space="0"/>
                  </w:tcBorders>
                  <w:vAlign w:val="center"/>
                </w:tcPr>
                <w:p w14:paraId="78ABC621">
                  <w:pPr>
                    <w:jc w:val="center"/>
                    <w:rPr>
                      <w:color w:val="auto"/>
                      <w:szCs w:val="21"/>
                    </w:rPr>
                  </w:pPr>
                </w:p>
              </w:tc>
              <w:tc>
                <w:tcPr>
                  <w:tcW w:w="691" w:type="dxa"/>
                  <w:vMerge w:val="continue"/>
                  <w:tcBorders>
                    <w:left w:val="single" w:color="auto" w:sz="4" w:space="0"/>
                    <w:bottom w:val="single" w:color="auto" w:sz="4" w:space="0"/>
                    <w:right w:val="single" w:color="auto" w:sz="4" w:space="0"/>
                  </w:tcBorders>
                  <w:vAlign w:val="center"/>
                </w:tcPr>
                <w:p w14:paraId="1FB2020A">
                  <w:pPr>
                    <w:pStyle w:val="32"/>
                    <w:spacing w:before="0" w:beforeAutospacing="0" w:after="0" w:afterAutospacing="0"/>
                    <w:jc w:val="center"/>
                    <w:rPr>
                      <w:rFonts w:ascii="Times New Roman" w:hAnsi="Times New Roman"/>
                      <w:color w:val="auto"/>
                      <w:sz w:val="21"/>
                      <w:szCs w:val="21"/>
                      <w:lang w:eastAsia="en-US"/>
                    </w:rPr>
                  </w:pPr>
                </w:p>
              </w:tc>
              <w:tc>
                <w:tcPr>
                  <w:tcW w:w="733" w:type="dxa"/>
                  <w:vMerge w:val="continue"/>
                  <w:tcBorders>
                    <w:left w:val="single" w:color="auto" w:sz="4" w:space="0"/>
                    <w:bottom w:val="single" w:color="auto" w:sz="4" w:space="0"/>
                    <w:right w:val="single" w:color="auto" w:sz="4" w:space="0"/>
                  </w:tcBorders>
                  <w:vAlign w:val="center"/>
                </w:tcPr>
                <w:p w14:paraId="082D9B7C">
                  <w:pPr>
                    <w:jc w:val="center"/>
                    <w:rPr>
                      <w:color w:val="auto"/>
                      <w:szCs w:val="21"/>
                    </w:rPr>
                  </w:pPr>
                </w:p>
              </w:tc>
              <w:tc>
                <w:tcPr>
                  <w:tcW w:w="445" w:type="dxa"/>
                  <w:vMerge w:val="continue"/>
                  <w:tcBorders>
                    <w:left w:val="single" w:color="auto" w:sz="4" w:space="0"/>
                    <w:right w:val="single" w:color="auto" w:sz="4" w:space="0"/>
                  </w:tcBorders>
                  <w:vAlign w:val="center"/>
                </w:tcPr>
                <w:p w14:paraId="349C9412">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5322F5B2">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0970D236">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77ABE59F">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4774365E">
                  <w:pPr>
                    <w:jc w:val="center"/>
                    <w:rPr>
                      <w:color w:val="auto"/>
                      <w:szCs w:val="21"/>
                    </w:rPr>
                  </w:pPr>
                  <w:r>
                    <w:rPr>
                      <w:color w:val="auto"/>
                      <w:szCs w:val="21"/>
                    </w:rPr>
                    <w:t>西</w:t>
                  </w:r>
                </w:p>
              </w:tc>
              <w:tc>
                <w:tcPr>
                  <w:tcW w:w="572" w:type="dxa"/>
                  <w:tcBorders>
                    <w:top w:val="single" w:color="auto" w:sz="4" w:space="0"/>
                    <w:left w:val="single" w:color="auto" w:sz="4" w:space="0"/>
                    <w:bottom w:val="single" w:color="auto" w:sz="4" w:space="0"/>
                    <w:right w:val="single" w:color="auto" w:sz="4" w:space="0"/>
                  </w:tcBorders>
                  <w:vAlign w:val="center"/>
                </w:tcPr>
                <w:p w14:paraId="475C44C1">
                  <w:pPr>
                    <w:jc w:val="center"/>
                    <w:rPr>
                      <w:color w:val="auto"/>
                      <w:szCs w:val="21"/>
                    </w:rPr>
                  </w:pPr>
                  <w:r>
                    <w:rPr>
                      <w:rFonts w:hint="eastAsia"/>
                      <w:color w:val="auto"/>
                      <w:szCs w:val="21"/>
                    </w:rPr>
                    <w:t>63</w:t>
                  </w:r>
                </w:p>
              </w:tc>
              <w:tc>
                <w:tcPr>
                  <w:tcW w:w="620" w:type="dxa"/>
                  <w:tcBorders>
                    <w:top w:val="single" w:color="auto" w:sz="4" w:space="0"/>
                    <w:left w:val="single" w:color="auto" w:sz="4" w:space="0"/>
                    <w:bottom w:val="single" w:color="auto" w:sz="4" w:space="0"/>
                    <w:right w:val="single" w:color="auto" w:sz="4" w:space="0"/>
                  </w:tcBorders>
                  <w:vAlign w:val="center"/>
                </w:tcPr>
                <w:p w14:paraId="7B5A5560">
                  <w:pPr>
                    <w:jc w:val="center"/>
                    <w:rPr>
                      <w:color w:val="auto"/>
                      <w:szCs w:val="21"/>
                    </w:rPr>
                  </w:pPr>
                  <w:r>
                    <w:rPr>
                      <w:rFonts w:hint="eastAsia"/>
                      <w:color w:val="auto"/>
                      <w:szCs w:val="21"/>
                      <w:lang w:val="en-US" w:eastAsia="zh-CN"/>
                    </w:rPr>
                    <w:t>70</w:t>
                  </w:r>
                  <w:r>
                    <w:rPr>
                      <w:rFonts w:hint="eastAsia"/>
                      <w:color w:val="auto"/>
                      <w:szCs w:val="21"/>
                    </w:rPr>
                    <w:t>.0</w:t>
                  </w:r>
                </w:p>
              </w:tc>
              <w:tc>
                <w:tcPr>
                  <w:tcW w:w="582" w:type="dxa"/>
                  <w:vMerge w:val="continue"/>
                  <w:tcBorders>
                    <w:left w:val="single" w:color="auto" w:sz="4" w:space="0"/>
                    <w:right w:val="single" w:color="auto" w:sz="4" w:space="0"/>
                  </w:tcBorders>
                  <w:vAlign w:val="center"/>
                </w:tcPr>
                <w:p w14:paraId="5F2CD784">
                  <w:pPr>
                    <w:jc w:val="center"/>
                    <w:rPr>
                      <w:color w:val="auto"/>
                      <w:szCs w:val="21"/>
                    </w:rPr>
                  </w:pPr>
                </w:p>
              </w:tc>
              <w:tc>
                <w:tcPr>
                  <w:tcW w:w="692" w:type="dxa"/>
                  <w:vMerge w:val="continue"/>
                  <w:tcBorders>
                    <w:left w:val="single" w:color="auto" w:sz="4" w:space="0"/>
                    <w:right w:val="single" w:color="auto" w:sz="4" w:space="0"/>
                  </w:tcBorders>
                  <w:vAlign w:val="center"/>
                </w:tcPr>
                <w:p w14:paraId="7D21DD5F">
                  <w:pPr>
                    <w:jc w:val="center"/>
                    <w:rPr>
                      <w:color w:val="auto"/>
                      <w:szCs w:val="21"/>
                    </w:rPr>
                  </w:pPr>
                </w:p>
              </w:tc>
              <w:tc>
                <w:tcPr>
                  <w:tcW w:w="652" w:type="dxa"/>
                  <w:vMerge w:val="continue"/>
                  <w:tcBorders>
                    <w:left w:val="single" w:color="auto" w:sz="4" w:space="0"/>
                    <w:right w:val="single" w:color="auto" w:sz="4" w:space="0"/>
                  </w:tcBorders>
                  <w:vAlign w:val="center"/>
                </w:tcPr>
                <w:p w14:paraId="642FC063">
                  <w:pPr>
                    <w:jc w:val="center"/>
                    <w:rPr>
                      <w:color w:val="auto"/>
                      <w:szCs w:val="21"/>
                    </w:rPr>
                  </w:pPr>
                </w:p>
              </w:tc>
              <w:tc>
                <w:tcPr>
                  <w:tcW w:w="662" w:type="dxa"/>
                  <w:vMerge w:val="continue"/>
                  <w:tcBorders>
                    <w:left w:val="single" w:color="auto" w:sz="4" w:space="0"/>
                    <w:right w:val="single" w:color="auto" w:sz="4" w:space="0"/>
                  </w:tcBorders>
                  <w:vAlign w:val="center"/>
                </w:tcPr>
                <w:p w14:paraId="279ECF14">
                  <w:pPr>
                    <w:jc w:val="center"/>
                    <w:rPr>
                      <w:color w:val="auto"/>
                      <w:szCs w:val="21"/>
                    </w:rPr>
                  </w:pPr>
                </w:p>
              </w:tc>
            </w:tr>
            <w:tr w14:paraId="540F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7D8708DF">
                  <w:pPr>
                    <w:jc w:val="center"/>
                    <w:rPr>
                      <w:color w:val="auto"/>
                      <w:szCs w:val="21"/>
                    </w:rPr>
                  </w:pPr>
                </w:p>
              </w:tc>
              <w:tc>
                <w:tcPr>
                  <w:tcW w:w="471" w:type="dxa"/>
                  <w:vMerge w:val="continue"/>
                  <w:tcBorders>
                    <w:left w:val="single" w:color="auto" w:sz="4" w:space="0"/>
                    <w:right w:val="single" w:color="auto" w:sz="4" w:space="0"/>
                  </w:tcBorders>
                  <w:vAlign w:val="center"/>
                </w:tcPr>
                <w:p w14:paraId="086363C2">
                  <w:pPr>
                    <w:jc w:val="center"/>
                    <w:rPr>
                      <w:color w:val="auto"/>
                      <w:szCs w:val="21"/>
                    </w:rPr>
                  </w:pPr>
                </w:p>
              </w:tc>
              <w:tc>
                <w:tcPr>
                  <w:tcW w:w="691" w:type="dxa"/>
                  <w:vMerge w:val="continue"/>
                  <w:tcBorders>
                    <w:left w:val="single" w:color="auto" w:sz="4" w:space="0"/>
                    <w:bottom w:val="single" w:color="auto" w:sz="4" w:space="0"/>
                    <w:right w:val="single" w:color="auto" w:sz="4" w:space="0"/>
                  </w:tcBorders>
                  <w:vAlign w:val="center"/>
                </w:tcPr>
                <w:p w14:paraId="11A8A4A1">
                  <w:pPr>
                    <w:pStyle w:val="32"/>
                    <w:spacing w:before="0" w:beforeAutospacing="0" w:after="0" w:afterAutospacing="0"/>
                    <w:jc w:val="center"/>
                    <w:rPr>
                      <w:rFonts w:ascii="Times New Roman" w:hAnsi="Times New Roman"/>
                      <w:color w:val="auto"/>
                      <w:sz w:val="21"/>
                      <w:szCs w:val="21"/>
                      <w:lang w:eastAsia="en-US"/>
                    </w:rPr>
                  </w:pPr>
                </w:p>
              </w:tc>
              <w:tc>
                <w:tcPr>
                  <w:tcW w:w="733" w:type="dxa"/>
                  <w:vMerge w:val="continue"/>
                  <w:tcBorders>
                    <w:left w:val="single" w:color="auto" w:sz="4" w:space="0"/>
                    <w:bottom w:val="single" w:color="auto" w:sz="4" w:space="0"/>
                    <w:right w:val="single" w:color="auto" w:sz="4" w:space="0"/>
                  </w:tcBorders>
                  <w:vAlign w:val="center"/>
                </w:tcPr>
                <w:p w14:paraId="6F5BBBD2">
                  <w:pPr>
                    <w:jc w:val="center"/>
                    <w:rPr>
                      <w:color w:val="auto"/>
                      <w:szCs w:val="21"/>
                    </w:rPr>
                  </w:pPr>
                </w:p>
              </w:tc>
              <w:tc>
                <w:tcPr>
                  <w:tcW w:w="445" w:type="dxa"/>
                  <w:vMerge w:val="continue"/>
                  <w:tcBorders>
                    <w:left w:val="single" w:color="auto" w:sz="4" w:space="0"/>
                    <w:right w:val="single" w:color="auto" w:sz="4" w:space="0"/>
                  </w:tcBorders>
                  <w:vAlign w:val="center"/>
                </w:tcPr>
                <w:p w14:paraId="3AD46F76">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1FAE417F">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2F9CF2ED">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29655843">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67DC25BC">
                  <w:pPr>
                    <w:jc w:val="center"/>
                    <w:rPr>
                      <w:color w:val="auto"/>
                      <w:szCs w:val="21"/>
                    </w:rPr>
                  </w:pPr>
                  <w:r>
                    <w:rPr>
                      <w:color w:val="auto"/>
                      <w:szCs w:val="21"/>
                    </w:rPr>
                    <w:t>北</w:t>
                  </w:r>
                </w:p>
              </w:tc>
              <w:tc>
                <w:tcPr>
                  <w:tcW w:w="572" w:type="dxa"/>
                  <w:tcBorders>
                    <w:top w:val="single" w:color="auto" w:sz="4" w:space="0"/>
                    <w:left w:val="single" w:color="auto" w:sz="4" w:space="0"/>
                    <w:bottom w:val="single" w:color="auto" w:sz="4" w:space="0"/>
                    <w:right w:val="single" w:color="auto" w:sz="4" w:space="0"/>
                  </w:tcBorders>
                  <w:vAlign w:val="center"/>
                </w:tcPr>
                <w:p w14:paraId="068ECFA0">
                  <w:pPr>
                    <w:jc w:val="center"/>
                    <w:rPr>
                      <w:color w:val="auto"/>
                      <w:szCs w:val="21"/>
                    </w:rPr>
                  </w:pPr>
                  <w:r>
                    <w:rPr>
                      <w:rFonts w:hint="eastAsia"/>
                      <w:color w:val="auto"/>
                      <w:szCs w:val="21"/>
                    </w:rPr>
                    <w:t>40</w:t>
                  </w:r>
                </w:p>
              </w:tc>
              <w:tc>
                <w:tcPr>
                  <w:tcW w:w="620" w:type="dxa"/>
                  <w:tcBorders>
                    <w:top w:val="single" w:color="auto" w:sz="4" w:space="0"/>
                    <w:left w:val="single" w:color="auto" w:sz="4" w:space="0"/>
                    <w:bottom w:val="single" w:color="auto" w:sz="4" w:space="0"/>
                    <w:right w:val="single" w:color="auto" w:sz="4" w:space="0"/>
                  </w:tcBorders>
                  <w:vAlign w:val="center"/>
                </w:tcPr>
                <w:p w14:paraId="260D7965">
                  <w:pPr>
                    <w:jc w:val="center"/>
                    <w:rPr>
                      <w:color w:val="auto"/>
                      <w:szCs w:val="21"/>
                    </w:rPr>
                  </w:pPr>
                  <w:r>
                    <w:rPr>
                      <w:rFonts w:hint="eastAsia"/>
                      <w:color w:val="auto"/>
                      <w:szCs w:val="21"/>
                      <w:lang w:val="en-US" w:eastAsia="zh-CN"/>
                    </w:rPr>
                    <w:t>70</w:t>
                  </w:r>
                  <w:r>
                    <w:rPr>
                      <w:rFonts w:hint="eastAsia"/>
                      <w:color w:val="auto"/>
                      <w:szCs w:val="21"/>
                    </w:rPr>
                    <w:t>.0</w:t>
                  </w:r>
                </w:p>
              </w:tc>
              <w:tc>
                <w:tcPr>
                  <w:tcW w:w="582" w:type="dxa"/>
                  <w:vMerge w:val="continue"/>
                  <w:tcBorders>
                    <w:left w:val="single" w:color="auto" w:sz="4" w:space="0"/>
                    <w:right w:val="single" w:color="auto" w:sz="4" w:space="0"/>
                  </w:tcBorders>
                  <w:vAlign w:val="center"/>
                </w:tcPr>
                <w:p w14:paraId="3AC62402">
                  <w:pPr>
                    <w:jc w:val="center"/>
                    <w:rPr>
                      <w:color w:val="auto"/>
                      <w:szCs w:val="21"/>
                    </w:rPr>
                  </w:pPr>
                </w:p>
              </w:tc>
              <w:tc>
                <w:tcPr>
                  <w:tcW w:w="692" w:type="dxa"/>
                  <w:vMerge w:val="continue"/>
                  <w:tcBorders>
                    <w:left w:val="single" w:color="auto" w:sz="4" w:space="0"/>
                    <w:right w:val="single" w:color="auto" w:sz="4" w:space="0"/>
                  </w:tcBorders>
                  <w:vAlign w:val="center"/>
                </w:tcPr>
                <w:p w14:paraId="7031DC55">
                  <w:pPr>
                    <w:jc w:val="center"/>
                    <w:rPr>
                      <w:color w:val="auto"/>
                      <w:szCs w:val="21"/>
                    </w:rPr>
                  </w:pPr>
                </w:p>
              </w:tc>
              <w:tc>
                <w:tcPr>
                  <w:tcW w:w="652" w:type="dxa"/>
                  <w:vMerge w:val="continue"/>
                  <w:tcBorders>
                    <w:left w:val="single" w:color="auto" w:sz="4" w:space="0"/>
                    <w:right w:val="single" w:color="auto" w:sz="4" w:space="0"/>
                  </w:tcBorders>
                  <w:vAlign w:val="center"/>
                </w:tcPr>
                <w:p w14:paraId="7F13DA8B">
                  <w:pPr>
                    <w:jc w:val="center"/>
                    <w:rPr>
                      <w:color w:val="auto"/>
                      <w:szCs w:val="21"/>
                    </w:rPr>
                  </w:pPr>
                </w:p>
              </w:tc>
              <w:tc>
                <w:tcPr>
                  <w:tcW w:w="662" w:type="dxa"/>
                  <w:vMerge w:val="continue"/>
                  <w:tcBorders>
                    <w:left w:val="single" w:color="auto" w:sz="4" w:space="0"/>
                    <w:right w:val="single" w:color="auto" w:sz="4" w:space="0"/>
                  </w:tcBorders>
                  <w:vAlign w:val="center"/>
                </w:tcPr>
                <w:p w14:paraId="109AE513">
                  <w:pPr>
                    <w:jc w:val="center"/>
                    <w:rPr>
                      <w:color w:val="auto"/>
                      <w:szCs w:val="21"/>
                    </w:rPr>
                  </w:pPr>
                </w:p>
              </w:tc>
            </w:tr>
            <w:tr w14:paraId="2588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restart"/>
                  <w:tcBorders>
                    <w:left w:val="single" w:color="auto" w:sz="4" w:space="0"/>
                    <w:right w:val="single" w:color="auto" w:sz="4" w:space="0"/>
                  </w:tcBorders>
                  <w:vAlign w:val="center"/>
                </w:tcPr>
                <w:p w14:paraId="338B1A61">
                  <w:pPr>
                    <w:jc w:val="center"/>
                    <w:rPr>
                      <w:color w:val="auto"/>
                      <w:szCs w:val="21"/>
                    </w:rPr>
                  </w:pPr>
                  <w:r>
                    <w:rPr>
                      <w:rFonts w:hint="eastAsia"/>
                      <w:color w:val="auto"/>
                      <w:szCs w:val="21"/>
                    </w:rPr>
                    <w:t>2</w:t>
                  </w:r>
                </w:p>
              </w:tc>
              <w:tc>
                <w:tcPr>
                  <w:tcW w:w="471" w:type="dxa"/>
                  <w:vMerge w:val="continue"/>
                  <w:tcBorders>
                    <w:left w:val="single" w:color="auto" w:sz="4" w:space="0"/>
                    <w:right w:val="single" w:color="auto" w:sz="4" w:space="0"/>
                  </w:tcBorders>
                  <w:vAlign w:val="center"/>
                </w:tcPr>
                <w:p w14:paraId="2FEBDEB7">
                  <w:pPr>
                    <w:pStyle w:val="32"/>
                    <w:spacing w:before="0" w:beforeAutospacing="0" w:after="0" w:afterAutospacing="0"/>
                    <w:jc w:val="center"/>
                    <w:rPr>
                      <w:rFonts w:ascii="Times New Roman" w:hAnsi="Times New Roman"/>
                      <w:color w:val="auto"/>
                      <w:sz w:val="21"/>
                      <w:szCs w:val="21"/>
                    </w:rPr>
                  </w:pPr>
                </w:p>
              </w:tc>
              <w:tc>
                <w:tcPr>
                  <w:tcW w:w="691" w:type="dxa"/>
                  <w:vMerge w:val="restart"/>
                  <w:tcBorders>
                    <w:left w:val="single" w:color="auto" w:sz="4" w:space="0"/>
                    <w:right w:val="single" w:color="auto" w:sz="4" w:space="0"/>
                  </w:tcBorders>
                  <w:vAlign w:val="center"/>
                </w:tcPr>
                <w:p w14:paraId="6C6615F5">
                  <w:pPr>
                    <w:pStyle w:val="32"/>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eastAsia="zh-CN"/>
                    </w:rPr>
                    <w:t>注塑</w:t>
                  </w:r>
                  <w:r>
                    <w:rPr>
                      <w:rFonts w:hint="eastAsia" w:ascii="Times New Roman" w:hAnsi="Times New Roman"/>
                      <w:color w:val="auto"/>
                      <w:sz w:val="21"/>
                      <w:szCs w:val="21"/>
                    </w:rPr>
                    <w:t>（20台）</w:t>
                  </w:r>
                </w:p>
              </w:tc>
              <w:tc>
                <w:tcPr>
                  <w:tcW w:w="733" w:type="dxa"/>
                  <w:vMerge w:val="restart"/>
                  <w:tcBorders>
                    <w:left w:val="single" w:color="auto" w:sz="4" w:space="0"/>
                    <w:right w:val="single" w:color="auto" w:sz="4" w:space="0"/>
                  </w:tcBorders>
                  <w:vAlign w:val="center"/>
                </w:tcPr>
                <w:p w14:paraId="48722DFC">
                  <w:pPr>
                    <w:jc w:val="center"/>
                    <w:rPr>
                      <w:color w:val="auto"/>
                      <w:szCs w:val="21"/>
                    </w:rPr>
                  </w:pPr>
                  <w:r>
                    <w:rPr>
                      <w:rFonts w:hint="eastAsia"/>
                      <w:color w:val="auto"/>
                      <w:szCs w:val="21"/>
                      <w:lang w:val="en-US" w:eastAsia="zh-CN"/>
                    </w:rPr>
                    <w:t>91</w:t>
                  </w:r>
                  <w:r>
                    <w:rPr>
                      <w:rFonts w:hint="eastAsia"/>
                      <w:color w:val="auto"/>
                      <w:szCs w:val="21"/>
                    </w:rPr>
                    <w:t>（单台</w:t>
                  </w:r>
                  <w:r>
                    <w:rPr>
                      <w:rFonts w:hint="eastAsia"/>
                      <w:color w:val="auto"/>
                      <w:szCs w:val="21"/>
                      <w:lang w:val="en-US" w:eastAsia="zh-CN"/>
                    </w:rPr>
                    <w:t>78</w:t>
                  </w:r>
                  <w:r>
                    <w:rPr>
                      <w:rFonts w:hint="eastAsia"/>
                      <w:color w:val="auto"/>
                      <w:szCs w:val="21"/>
                    </w:rPr>
                    <w:t>）</w:t>
                  </w:r>
                </w:p>
              </w:tc>
              <w:tc>
                <w:tcPr>
                  <w:tcW w:w="445" w:type="dxa"/>
                  <w:vMerge w:val="continue"/>
                  <w:tcBorders>
                    <w:left w:val="single" w:color="auto" w:sz="4" w:space="0"/>
                    <w:right w:val="single" w:color="auto" w:sz="4" w:space="0"/>
                  </w:tcBorders>
                  <w:vAlign w:val="center"/>
                </w:tcPr>
                <w:p w14:paraId="569EF17C">
                  <w:pPr>
                    <w:pStyle w:val="32"/>
                    <w:spacing w:before="0" w:beforeAutospacing="0" w:after="0" w:afterAutospacing="0"/>
                    <w:jc w:val="center"/>
                    <w:rPr>
                      <w:rFonts w:ascii="Times New Roman" w:hAnsi="Times New Roman"/>
                      <w:color w:val="auto"/>
                      <w:sz w:val="21"/>
                      <w:szCs w:val="21"/>
                    </w:rPr>
                  </w:pPr>
                </w:p>
              </w:tc>
              <w:tc>
                <w:tcPr>
                  <w:tcW w:w="689" w:type="dxa"/>
                  <w:vMerge w:val="restart"/>
                  <w:tcBorders>
                    <w:left w:val="single" w:color="auto" w:sz="4" w:space="0"/>
                    <w:right w:val="single" w:color="auto" w:sz="4" w:space="0"/>
                  </w:tcBorders>
                  <w:vAlign w:val="center"/>
                </w:tcPr>
                <w:p w14:paraId="567675E6">
                  <w:pPr>
                    <w:jc w:val="center"/>
                    <w:rPr>
                      <w:color w:val="auto"/>
                      <w:szCs w:val="21"/>
                    </w:rPr>
                  </w:pPr>
                  <w:r>
                    <w:rPr>
                      <w:rFonts w:hint="eastAsia"/>
                      <w:color w:val="auto"/>
                      <w:szCs w:val="21"/>
                    </w:rPr>
                    <w:t>0</w:t>
                  </w:r>
                </w:p>
              </w:tc>
              <w:tc>
                <w:tcPr>
                  <w:tcW w:w="689" w:type="dxa"/>
                  <w:vMerge w:val="restart"/>
                  <w:tcBorders>
                    <w:left w:val="single" w:color="auto" w:sz="4" w:space="0"/>
                    <w:right w:val="single" w:color="auto" w:sz="4" w:space="0"/>
                  </w:tcBorders>
                  <w:vAlign w:val="center"/>
                </w:tcPr>
                <w:p w14:paraId="28215227">
                  <w:pPr>
                    <w:jc w:val="center"/>
                    <w:rPr>
                      <w:color w:val="auto"/>
                      <w:szCs w:val="21"/>
                    </w:rPr>
                  </w:pPr>
                  <w:r>
                    <w:rPr>
                      <w:rFonts w:hint="eastAsia"/>
                      <w:color w:val="auto"/>
                      <w:szCs w:val="21"/>
                    </w:rPr>
                    <w:t>-17.5</w:t>
                  </w:r>
                </w:p>
              </w:tc>
              <w:tc>
                <w:tcPr>
                  <w:tcW w:w="370" w:type="dxa"/>
                  <w:vMerge w:val="restart"/>
                  <w:tcBorders>
                    <w:left w:val="single" w:color="auto" w:sz="4" w:space="0"/>
                    <w:right w:val="single" w:color="auto" w:sz="4" w:space="0"/>
                  </w:tcBorders>
                  <w:vAlign w:val="center"/>
                </w:tcPr>
                <w:p w14:paraId="1AABD713">
                  <w:pPr>
                    <w:jc w:val="center"/>
                    <w:rPr>
                      <w:color w:val="auto"/>
                      <w:szCs w:val="21"/>
                    </w:rPr>
                  </w:pPr>
                  <w:r>
                    <w:rPr>
                      <w:rFonts w:hint="eastAsia"/>
                      <w:color w:val="auto"/>
                      <w:szCs w:val="21"/>
                    </w:rPr>
                    <w:t>1</w:t>
                  </w:r>
                </w:p>
              </w:tc>
              <w:tc>
                <w:tcPr>
                  <w:tcW w:w="465" w:type="dxa"/>
                  <w:tcBorders>
                    <w:top w:val="single" w:color="auto" w:sz="4" w:space="0"/>
                    <w:left w:val="single" w:color="auto" w:sz="4" w:space="0"/>
                    <w:bottom w:val="single" w:color="auto" w:sz="4" w:space="0"/>
                    <w:right w:val="single" w:color="auto" w:sz="4" w:space="0"/>
                  </w:tcBorders>
                  <w:vAlign w:val="center"/>
                </w:tcPr>
                <w:p w14:paraId="25F7E67C">
                  <w:pPr>
                    <w:jc w:val="center"/>
                    <w:rPr>
                      <w:color w:val="auto"/>
                      <w:szCs w:val="21"/>
                    </w:rPr>
                  </w:pPr>
                  <w:r>
                    <w:rPr>
                      <w:color w:val="auto"/>
                      <w:szCs w:val="21"/>
                    </w:rPr>
                    <w:t>东</w:t>
                  </w:r>
                </w:p>
              </w:tc>
              <w:tc>
                <w:tcPr>
                  <w:tcW w:w="572" w:type="dxa"/>
                  <w:tcBorders>
                    <w:top w:val="single" w:color="auto" w:sz="4" w:space="0"/>
                    <w:left w:val="single" w:color="auto" w:sz="4" w:space="0"/>
                    <w:bottom w:val="single" w:color="auto" w:sz="4" w:space="0"/>
                    <w:right w:val="single" w:color="auto" w:sz="4" w:space="0"/>
                  </w:tcBorders>
                  <w:vAlign w:val="center"/>
                </w:tcPr>
                <w:p w14:paraId="0F185C6B">
                  <w:pPr>
                    <w:jc w:val="center"/>
                    <w:rPr>
                      <w:color w:val="auto"/>
                      <w:szCs w:val="21"/>
                    </w:rPr>
                  </w:pPr>
                  <w:r>
                    <w:rPr>
                      <w:rFonts w:hint="eastAsia"/>
                      <w:color w:val="auto"/>
                      <w:szCs w:val="21"/>
                    </w:rPr>
                    <w:t>34</w:t>
                  </w:r>
                </w:p>
              </w:tc>
              <w:tc>
                <w:tcPr>
                  <w:tcW w:w="620" w:type="dxa"/>
                  <w:tcBorders>
                    <w:left w:val="single" w:color="auto" w:sz="4" w:space="0"/>
                    <w:bottom w:val="single" w:color="auto" w:sz="4" w:space="0"/>
                    <w:right w:val="single" w:color="auto" w:sz="4" w:space="0"/>
                  </w:tcBorders>
                  <w:vAlign w:val="center"/>
                </w:tcPr>
                <w:p w14:paraId="0B9B6B14">
                  <w:pPr>
                    <w:jc w:val="center"/>
                    <w:rPr>
                      <w:color w:val="auto"/>
                      <w:szCs w:val="21"/>
                    </w:rPr>
                  </w:pPr>
                  <w:r>
                    <w:rPr>
                      <w:rFonts w:hint="eastAsia"/>
                      <w:color w:val="auto"/>
                      <w:szCs w:val="21"/>
                    </w:rPr>
                    <w:t>6</w:t>
                  </w:r>
                  <w:r>
                    <w:rPr>
                      <w:rFonts w:hint="eastAsia"/>
                      <w:color w:val="auto"/>
                      <w:szCs w:val="21"/>
                      <w:lang w:val="en-US" w:eastAsia="zh-CN"/>
                    </w:rPr>
                    <w:t>8</w:t>
                  </w:r>
                  <w:r>
                    <w:rPr>
                      <w:rFonts w:hint="eastAsia"/>
                      <w:color w:val="auto"/>
                      <w:szCs w:val="21"/>
                    </w:rPr>
                    <w:t>.0</w:t>
                  </w:r>
                </w:p>
              </w:tc>
              <w:tc>
                <w:tcPr>
                  <w:tcW w:w="582" w:type="dxa"/>
                  <w:vMerge w:val="continue"/>
                  <w:tcBorders>
                    <w:left w:val="single" w:color="auto" w:sz="4" w:space="0"/>
                    <w:right w:val="single" w:color="auto" w:sz="4" w:space="0"/>
                  </w:tcBorders>
                  <w:vAlign w:val="center"/>
                </w:tcPr>
                <w:p w14:paraId="523B9EBA">
                  <w:pPr>
                    <w:jc w:val="center"/>
                    <w:rPr>
                      <w:color w:val="auto"/>
                      <w:szCs w:val="21"/>
                    </w:rPr>
                  </w:pPr>
                </w:p>
              </w:tc>
              <w:tc>
                <w:tcPr>
                  <w:tcW w:w="692" w:type="dxa"/>
                  <w:vMerge w:val="continue"/>
                  <w:tcBorders>
                    <w:left w:val="single" w:color="auto" w:sz="4" w:space="0"/>
                    <w:right w:val="single" w:color="auto" w:sz="4" w:space="0"/>
                  </w:tcBorders>
                  <w:vAlign w:val="center"/>
                </w:tcPr>
                <w:p w14:paraId="2DAD58AB">
                  <w:pPr>
                    <w:jc w:val="center"/>
                    <w:rPr>
                      <w:color w:val="auto"/>
                      <w:szCs w:val="21"/>
                    </w:rPr>
                  </w:pPr>
                </w:p>
              </w:tc>
              <w:tc>
                <w:tcPr>
                  <w:tcW w:w="652" w:type="dxa"/>
                  <w:vMerge w:val="continue"/>
                  <w:tcBorders>
                    <w:left w:val="single" w:color="auto" w:sz="4" w:space="0"/>
                    <w:right w:val="single" w:color="auto" w:sz="4" w:space="0"/>
                  </w:tcBorders>
                  <w:vAlign w:val="center"/>
                </w:tcPr>
                <w:p w14:paraId="5443C526">
                  <w:pPr>
                    <w:jc w:val="center"/>
                    <w:rPr>
                      <w:color w:val="auto"/>
                      <w:szCs w:val="21"/>
                    </w:rPr>
                  </w:pPr>
                </w:p>
              </w:tc>
              <w:tc>
                <w:tcPr>
                  <w:tcW w:w="662" w:type="dxa"/>
                  <w:vMerge w:val="continue"/>
                  <w:tcBorders>
                    <w:left w:val="single" w:color="auto" w:sz="4" w:space="0"/>
                    <w:right w:val="single" w:color="auto" w:sz="4" w:space="0"/>
                  </w:tcBorders>
                  <w:vAlign w:val="center"/>
                </w:tcPr>
                <w:p w14:paraId="2139F0E0">
                  <w:pPr>
                    <w:rPr>
                      <w:color w:val="auto"/>
                      <w:szCs w:val="21"/>
                    </w:rPr>
                  </w:pPr>
                </w:p>
              </w:tc>
            </w:tr>
            <w:tr w14:paraId="0065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596B6256">
                  <w:pPr>
                    <w:jc w:val="center"/>
                    <w:rPr>
                      <w:color w:val="auto"/>
                      <w:szCs w:val="21"/>
                    </w:rPr>
                  </w:pPr>
                </w:p>
              </w:tc>
              <w:tc>
                <w:tcPr>
                  <w:tcW w:w="471" w:type="dxa"/>
                  <w:vMerge w:val="continue"/>
                  <w:tcBorders>
                    <w:left w:val="single" w:color="auto" w:sz="4" w:space="0"/>
                    <w:right w:val="single" w:color="auto" w:sz="4" w:space="0"/>
                  </w:tcBorders>
                  <w:vAlign w:val="center"/>
                </w:tcPr>
                <w:p w14:paraId="7135E8FB">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303F17E6">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6017A641">
                  <w:pPr>
                    <w:jc w:val="center"/>
                    <w:rPr>
                      <w:color w:val="auto"/>
                      <w:szCs w:val="21"/>
                    </w:rPr>
                  </w:pPr>
                </w:p>
              </w:tc>
              <w:tc>
                <w:tcPr>
                  <w:tcW w:w="445" w:type="dxa"/>
                  <w:vMerge w:val="continue"/>
                  <w:tcBorders>
                    <w:left w:val="single" w:color="auto" w:sz="4" w:space="0"/>
                    <w:right w:val="single" w:color="auto" w:sz="4" w:space="0"/>
                  </w:tcBorders>
                  <w:vAlign w:val="center"/>
                </w:tcPr>
                <w:p w14:paraId="160CA254">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2BFC2ABD">
                  <w:pPr>
                    <w:jc w:val="center"/>
                    <w:rPr>
                      <w:color w:val="auto"/>
                      <w:szCs w:val="21"/>
                    </w:rPr>
                  </w:pPr>
                </w:p>
              </w:tc>
              <w:tc>
                <w:tcPr>
                  <w:tcW w:w="689" w:type="dxa"/>
                  <w:vMerge w:val="continue"/>
                  <w:tcBorders>
                    <w:left w:val="single" w:color="auto" w:sz="4" w:space="0"/>
                    <w:right w:val="single" w:color="auto" w:sz="4" w:space="0"/>
                  </w:tcBorders>
                  <w:vAlign w:val="center"/>
                </w:tcPr>
                <w:p w14:paraId="2D3E88CB">
                  <w:pPr>
                    <w:jc w:val="center"/>
                    <w:rPr>
                      <w:color w:val="auto"/>
                      <w:szCs w:val="21"/>
                    </w:rPr>
                  </w:pPr>
                </w:p>
              </w:tc>
              <w:tc>
                <w:tcPr>
                  <w:tcW w:w="370" w:type="dxa"/>
                  <w:vMerge w:val="continue"/>
                  <w:tcBorders>
                    <w:left w:val="single" w:color="auto" w:sz="4" w:space="0"/>
                    <w:right w:val="single" w:color="auto" w:sz="4" w:space="0"/>
                  </w:tcBorders>
                  <w:vAlign w:val="center"/>
                </w:tcPr>
                <w:p w14:paraId="7D481438">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1F40D9E5">
                  <w:pPr>
                    <w:jc w:val="center"/>
                    <w:rPr>
                      <w:color w:val="auto"/>
                      <w:szCs w:val="21"/>
                    </w:rPr>
                  </w:pPr>
                  <w:r>
                    <w:rPr>
                      <w:color w:val="auto"/>
                      <w:szCs w:val="21"/>
                    </w:rPr>
                    <w:t>南</w:t>
                  </w:r>
                </w:p>
              </w:tc>
              <w:tc>
                <w:tcPr>
                  <w:tcW w:w="572" w:type="dxa"/>
                  <w:tcBorders>
                    <w:top w:val="single" w:color="auto" w:sz="4" w:space="0"/>
                    <w:left w:val="single" w:color="auto" w:sz="4" w:space="0"/>
                    <w:bottom w:val="single" w:color="auto" w:sz="4" w:space="0"/>
                    <w:right w:val="single" w:color="auto" w:sz="4" w:space="0"/>
                  </w:tcBorders>
                  <w:vAlign w:val="center"/>
                </w:tcPr>
                <w:p w14:paraId="10D7D885">
                  <w:pPr>
                    <w:jc w:val="center"/>
                    <w:rPr>
                      <w:color w:val="auto"/>
                      <w:szCs w:val="21"/>
                    </w:rPr>
                  </w:pPr>
                  <w:r>
                    <w:rPr>
                      <w:rFonts w:hint="eastAsia"/>
                      <w:color w:val="auto"/>
                      <w:szCs w:val="21"/>
                    </w:rPr>
                    <w:t>5</w:t>
                  </w:r>
                </w:p>
              </w:tc>
              <w:tc>
                <w:tcPr>
                  <w:tcW w:w="620" w:type="dxa"/>
                  <w:tcBorders>
                    <w:left w:val="single" w:color="auto" w:sz="4" w:space="0"/>
                    <w:bottom w:val="single" w:color="auto" w:sz="4" w:space="0"/>
                    <w:right w:val="single" w:color="auto" w:sz="4" w:space="0"/>
                  </w:tcBorders>
                  <w:vAlign w:val="center"/>
                </w:tcPr>
                <w:p w14:paraId="5CEFE8D3">
                  <w:pPr>
                    <w:jc w:val="center"/>
                    <w:rPr>
                      <w:color w:val="auto"/>
                      <w:szCs w:val="21"/>
                    </w:rPr>
                  </w:pPr>
                  <w:r>
                    <w:rPr>
                      <w:rFonts w:hint="eastAsia"/>
                      <w:color w:val="auto"/>
                      <w:szCs w:val="21"/>
                      <w:lang w:val="en-US" w:eastAsia="zh-CN"/>
                    </w:rPr>
                    <w:t>70</w:t>
                  </w:r>
                  <w:r>
                    <w:rPr>
                      <w:rFonts w:hint="eastAsia"/>
                      <w:color w:val="auto"/>
                      <w:szCs w:val="21"/>
                    </w:rPr>
                    <w:t>.1</w:t>
                  </w:r>
                </w:p>
              </w:tc>
              <w:tc>
                <w:tcPr>
                  <w:tcW w:w="582" w:type="dxa"/>
                  <w:vMerge w:val="continue"/>
                  <w:tcBorders>
                    <w:left w:val="single" w:color="auto" w:sz="4" w:space="0"/>
                    <w:right w:val="single" w:color="auto" w:sz="4" w:space="0"/>
                  </w:tcBorders>
                  <w:vAlign w:val="center"/>
                </w:tcPr>
                <w:p w14:paraId="292B2680">
                  <w:pPr>
                    <w:jc w:val="center"/>
                    <w:rPr>
                      <w:color w:val="auto"/>
                      <w:szCs w:val="21"/>
                    </w:rPr>
                  </w:pPr>
                </w:p>
              </w:tc>
              <w:tc>
                <w:tcPr>
                  <w:tcW w:w="692" w:type="dxa"/>
                  <w:vMerge w:val="continue"/>
                  <w:tcBorders>
                    <w:left w:val="single" w:color="auto" w:sz="4" w:space="0"/>
                    <w:right w:val="single" w:color="auto" w:sz="4" w:space="0"/>
                  </w:tcBorders>
                  <w:vAlign w:val="center"/>
                </w:tcPr>
                <w:p w14:paraId="75F51FCA">
                  <w:pPr>
                    <w:jc w:val="center"/>
                    <w:rPr>
                      <w:color w:val="auto"/>
                      <w:szCs w:val="21"/>
                    </w:rPr>
                  </w:pPr>
                </w:p>
              </w:tc>
              <w:tc>
                <w:tcPr>
                  <w:tcW w:w="652" w:type="dxa"/>
                  <w:vMerge w:val="continue"/>
                  <w:tcBorders>
                    <w:left w:val="single" w:color="auto" w:sz="4" w:space="0"/>
                    <w:right w:val="single" w:color="auto" w:sz="4" w:space="0"/>
                  </w:tcBorders>
                  <w:vAlign w:val="center"/>
                </w:tcPr>
                <w:p w14:paraId="4CC0777B">
                  <w:pPr>
                    <w:jc w:val="center"/>
                    <w:rPr>
                      <w:color w:val="auto"/>
                      <w:szCs w:val="21"/>
                    </w:rPr>
                  </w:pPr>
                </w:p>
              </w:tc>
              <w:tc>
                <w:tcPr>
                  <w:tcW w:w="662" w:type="dxa"/>
                  <w:vMerge w:val="continue"/>
                  <w:tcBorders>
                    <w:left w:val="single" w:color="auto" w:sz="4" w:space="0"/>
                    <w:right w:val="single" w:color="auto" w:sz="4" w:space="0"/>
                  </w:tcBorders>
                  <w:vAlign w:val="center"/>
                </w:tcPr>
                <w:p w14:paraId="3B9ED8AA">
                  <w:pPr>
                    <w:rPr>
                      <w:color w:val="auto"/>
                      <w:szCs w:val="21"/>
                    </w:rPr>
                  </w:pPr>
                </w:p>
              </w:tc>
            </w:tr>
            <w:tr w14:paraId="3726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5CB244EF">
                  <w:pPr>
                    <w:jc w:val="center"/>
                    <w:rPr>
                      <w:color w:val="auto"/>
                      <w:szCs w:val="21"/>
                    </w:rPr>
                  </w:pPr>
                </w:p>
              </w:tc>
              <w:tc>
                <w:tcPr>
                  <w:tcW w:w="471" w:type="dxa"/>
                  <w:vMerge w:val="continue"/>
                  <w:tcBorders>
                    <w:left w:val="single" w:color="auto" w:sz="4" w:space="0"/>
                    <w:right w:val="single" w:color="auto" w:sz="4" w:space="0"/>
                  </w:tcBorders>
                  <w:vAlign w:val="center"/>
                </w:tcPr>
                <w:p w14:paraId="7904E78C">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48F3E2EC">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6892B19B">
                  <w:pPr>
                    <w:jc w:val="center"/>
                    <w:rPr>
                      <w:color w:val="auto"/>
                      <w:szCs w:val="21"/>
                    </w:rPr>
                  </w:pPr>
                </w:p>
              </w:tc>
              <w:tc>
                <w:tcPr>
                  <w:tcW w:w="445" w:type="dxa"/>
                  <w:vMerge w:val="continue"/>
                  <w:tcBorders>
                    <w:left w:val="single" w:color="auto" w:sz="4" w:space="0"/>
                    <w:right w:val="single" w:color="auto" w:sz="4" w:space="0"/>
                  </w:tcBorders>
                  <w:vAlign w:val="center"/>
                </w:tcPr>
                <w:p w14:paraId="47B67DDF">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61B51402">
                  <w:pPr>
                    <w:jc w:val="center"/>
                    <w:rPr>
                      <w:color w:val="auto"/>
                      <w:szCs w:val="21"/>
                    </w:rPr>
                  </w:pPr>
                </w:p>
              </w:tc>
              <w:tc>
                <w:tcPr>
                  <w:tcW w:w="689" w:type="dxa"/>
                  <w:vMerge w:val="continue"/>
                  <w:tcBorders>
                    <w:left w:val="single" w:color="auto" w:sz="4" w:space="0"/>
                    <w:right w:val="single" w:color="auto" w:sz="4" w:space="0"/>
                  </w:tcBorders>
                  <w:vAlign w:val="center"/>
                </w:tcPr>
                <w:p w14:paraId="4B38B0D1">
                  <w:pPr>
                    <w:jc w:val="center"/>
                    <w:rPr>
                      <w:color w:val="auto"/>
                      <w:szCs w:val="21"/>
                    </w:rPr>
                  </w:pPr>
                </w:p>
              </w:tc>
              <w:tc>
                <w:tcPr>
                  <w:tcW w:w="370" w:type="dxa"/>
                  <w:vMerge w:val="continue"/>
                  <w:tcBorders>
                    <w:left w:val="single" w:color="auto" w:sz="4" w:space="0"/>
                    <w:right w:val="single" w:color="auto" w:sz="4" w:space="0"/>
                  </w:tcBorders>
                  <w:vAlign w:val="center"/>
                </w:tcPr>
                <w:p w14:paraId="314E6F93">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0AAEABC9">
                  <w:pPr>
                    <w:jc w:val="center"/>
                    <w:rPr>
                      <w:color w:val="auto"/>
                      <w:szCs w:val="21"/>
                    </w:rPr>
                  </w:pPr>
                  <w:r>
                    <w:rPr>
                      <w:color w:val="auto"/>
                      <w:szCs w:val="21"/>
                    </w:rPr>
                    <w:t>西</w:t>
                  </w:r>
                </w:p>
              </w:tc>
              <w:tc>
                <w:tcPr>
                  <w:tcW w:w="572" w:type="dxa"/>
                  <w:tcBorders>
                    <w:top w:val="single" w:color="auto" w:sz="4" w:space="0"/>
                    <w:left w:val="single" w:color="auto" w:sz="4" w:space="0"/>
                    <w:bottom w:val="single" w:color="auto" w:sz="4" w:space="0"/>
                    <w:right w:val="single" w:color="auto" w:sz="4" w:space="0"/>
                  </w:tcBorders>
                  <w:vAlign w:val="center"/>
                </w:tcPr>
                <w:p w14:paraId="6429C2B2">
                  <w:pPr>
                    <w:jc w:val="center"/>
                    <w:rPr>
                      <w:color w:val="auto"/>
                      <w:szCs w:val="21"/>
                    </w:rPr>
                  </w:pPr>
                  <w:r>
                    <w:rPr>
                      <w:rFonts w:hint="eastAsia"/>
                      <w:color w:val="auto"/>
                      <w:szCs w:val="21"/>
                    </w:rPr>
                    <w:t>34</w:t>
                  </w:r>
                </w:p>
              </w:tc>
              <w:tc>
                <w:tcPr>
                  <w:tcW w:w="620" w:type="dxa"/>
                  <w:tcBorders>
                    <w:left w:val="single" w:color="auto" w:sz="4" w:space="0"/>
                    <w:bottom w:val="single" w:color="auto" w:sz="4" w:space="0"/>
                    <w:right w:val="single" w:color="auto" w:sz="4" w:space="0"/>
                  </w:tcBorders>
                  <w:vAlign w:val="center"/>
                </w:tcPr>
                <w:p w14:paraId="43FF742C">
                  <w:pPr>
                    <w:jc w:val="center"/>
                    <w:rPr>
                      <w:color w:val="auto"/>
                      <w:szCs w:val="21"/>
                    </w:rPr>
                  </w:pPr>
                  <w:r>
                    <w:rPr>
                      <w:rFonts w:hint="eastAsia"/>
                      <w:color w:val="auto"/>
                      <w:szCs w:val="21"/>
                    </w:rPr>
                    <w:t>6</w:t>
                  </w:r>
                  <w:r>
                    <w:rPr>
                      <w:rFonts w:hint="eastAsia"/>
                      <w:color w:val="auto"/>
                      <w:szCs w:val="21"/>
                      <w:lang w:val="en-US" w:eastAsia="zh-CN"/>
                    </w:rPr>
                    <w:t>8</w:t>
                  </w:r>
                  <w:r>
                    <w:rPr>
                      <w:rFonts w:hint="eastAsia"/>
                      <w:color w:val="auto"/>
                      <w:szCs w:val="21"/>
                    </w:rPr>
                    <w:t>.0</w:t>
                  </w:r>
                </w:p>
              </w:tc>
              <w:tc>
                <w:tcPr>
                  <w:tcW w:w="582" w:type="dxa"/>
                  <w:vMerge w:val="continue"/>
                  <w:tcBorders>
                    <w:left w:val="single" w:color="auto" w:sz="4" w:space="0"/>
                    <w:right w:val="single" w:color="auto" w:sz="4" w:space="0"/>
                  </w:tcBorders>
                  <w:vAlign w:val="center"/>
                </w:tcPr>
                <w:p w14:paraId="4E727008">
                  <w:pPr>
                    <w:jc w:val="center"/>
                    <w:rPr>
                      <w:color w:val="auto"/>
                      <w:szCs w:val="21"/>
                    </w:rPr>
                  </w:pPr>
                </w:p>
              </w:tc>
              <w:tc>
                <w:tcPr>
                  <w:tcW w:w="692" w:type="dxa"/>
                  <w:vMerge w:val="continue"/>
                  <w:tcBorders>
                    <w:left w:val="single" w:color="auto" w:sz="4" w:space="0"/>
                    <w:right w:val="single" w:color="auto" w:sz="4" w:space="0"/>
                  </w:tcBorders>
                  <w:vAlign w:val="center"/>
                </w:tcPr>
                <w:p w14:paraId="02134F15">
                  <w:pPr>
                    <w:jc w:val="center"/>
                    <w:rPr>
                      <w:color w:val="auto"/>
                      <w:szCs w:val="21"/>
                    </w:rPr>
                  </w:pPr>
                </w:p>
              </w:tc>
              <w:tc>
                <w:tcPr>
                  <w:tcW w:w="652" w:type="dxa"/>
                  <w:vMerge w:val="continue"/>
                  <w:tcBorders>
                    <w:left w:val="single" w:color="auto" w:sz="4" w:space="0"/>
                    <w:right w:val="single" w:color="auto" w:sz="4" w:space="0"/>
                  </w:tcBorders>
                  <w:vAlign w:val="center"/>
                </w:tcPr>
                <w:p w14:paraId="5189F433">
                  <w:pPr>
                    <w:jc w:val="center"/>
                    <w:rPr>
                      <w:color w:val="auto"/>
                      <w:szCs w:val="21"/>
                    </w:rPr>
                  </w:pPr>
                </w:p>
              </w:tc>
              <w:tc>
                <w:tcPr>
                  <w:tcW w:w="662" w:type="dxa"/>
                  <w:vMerge w:val="continue"/>
                  <w:tcBorders>
                    <w:left w:val="single" w:color="auto" w:sz="4" w:space="0"/>
                    <w:right w:val="single" w:color="auto" w:sz="4" w:space="0"/>
                  </w:tcBorders>
                  <w:vAlign w:val="center"/>
                </w:tcPr>
                <w:p w14:paraId="6B095F98">
                  <w:pPr>
                    <w:rPr>
                      <w:color w:val="auto"/>
                      <w:szCs w:val="21"/>
                    </w:rPr>
                  </w:pPr>
                </w:p>
              </w:tc>
            </w:tr>
            <w:tr w14:paraId="2D12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7A53FD54">
                  <w:pPr>
                    <w:jc w:val="center"/>
                    <w:rPr>
                      <w:color w:val="auto"/>
                      <w:szCs w:val="21"/>
                    </w:rPr>
                  </w:pPr>
                </w:p>
              </w:tc>
              <w:tc>
                <w:tcPr>
                  <w:tcW w:w="471" w:type="dxa"/>
                  <w:vMerge w:val="continue"/>
                  <w:tcBorders>
                    <w:left w:val="single" w:color="auto" w:sz="4" w:space="0"/>
                    <w:right w:val="single" w:color="auto" w:sz="4" w:space="0"/>
                  </w:tcBorders>
                  <w:vAlign w:val="center"/>
                </w:tcPr>
                <w:p w14:paraId="1728B9B3">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bottom w:val="single" w:color="auto" w:sz="4" w:space="0"/>
                    <w:right w:val="single" w:color="auto" w:sz="4" w:space="0"/>
                  </w:tcBorders>
                  <w:vAlign w:val="center"/>
                </w:tcPr>
                <w:p w14:paraId="2A8AD4CC">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bottom w:val="single" w:color="auto" w:sz="4" w:space="0"/>
                    <w:right w:val="single" w:color="auto" w:sz="4" w:space="0"/>
                  </w:tcBorders>
                  <w:vAlign w:val="center"/>
                </w:tcPr>
                <w:p w14:paraId="4FC703DB">
                  <w:pPr>
                    <w:jc w:val="center"/>
                    <w:rPr>
                      <w:color w:val="auto"/>
                      <w:szCs w:val="21"/>
                    </w:rPr>
                  </w:pPr>
                </w:p>
              </w:tc>
              <w:tc>
                <w:tcPr>
                  <w:tcW w:w="445" w:type="dxa"/>
                  <w:vMerge w:val="continue"/>
                  <w:tcBorders>
                    <w:left w:val="single" w:color="auto" w:sz="4" w:space="0"/>
                    <w:right w:val="single" w:color="auto" w:sz="4" w:space="0"/>
                  </w:tcBorders>
                  <w:vAlign w:val="center"/>
                </w:tcPr>
                <w:p w14:paraId="76989BC0">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28592EE2">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0F9B0418">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1E9708C3">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5C78AD06">
                  <w:pPr>
                    <w:jc w:val="center"/>
                    <w:rPr>
                      <w:color w:val="auto"/>
                      <w:szCs w:val="21"/>
                    </w:rPr>
                  </w:pPr>
                  <w:r>
                    <w:rPr>
                      <w:color w:val="auto"/>
                      <w:szCs w:val="21"/>
                    </w:rPr>
                    <w:t>北</w:t>
                  </w:r>
                </w:p>
              </w:tc>
              <w:tc>
                <w:tcPr>
                  <w:tcW w:w="572" w:type="dxa"/>
                  <w:tcBorders>
                    <w:top w:val="single" w:color="auto" w:sz="4" w:space="0"/>
                    <w:left w:val="single" w:color="auto" w:sz="4" w:space="0"/>
                    <w:bottom w:val="single" w:color="auto" w:sz="4" w:space="0"/>
                    <w:right w:val="single" w:color="auto" w:sz="4" w:space="0"/>
                  </w:tcBorders>
                  <w:vAlign w:val="center"/>
                </w:tcPr>
                <w:p w14:paraId="2224BB58">
                  <w:pPr>
                    <w:jc w:val="center"/>
                    <w:rPr>
                      <w:color w:val="auto"/>
                      <w:szCs w:val="21"/>
                    </w:rPr>
                  </w:pPr>
                  <w:r>
                    <w:rPr>
                      <w:rFonts w:hint="eastAsia"/>
                      <w:color w:val="auto"/>
                      <w:szCs w:val="21"/>
                    </w:rPr>
                    <w:t>40</w:t>
                  </w:r>
                </w:p>
              </w:tc>
              <w:tc>
                <w:tcPr>
                  <w:tcW w:w="620" w:type="dxa"/>
                  <w:tcBorders>
                    <w:left w:val="single" w:color="auto" w:sz="4" w:space="0"/>
                    <w:bottom w:val="single" w:color="auto" w:sz="4" w:space="0"/>
                    <w:right w:val="single" w:color="auto" w:sz="4" w:space="0"/>
                  </w:tcBorders>
                  <w:vAlign w:val="center"/>
                </w:tcPr>
                <w:p w14:paraId="78D641FD">
                  <w:pPr>
                    <w:jc w:val="center"/>
                    <w:rPr>
                      <w:color w:val="auto"/>
                      <w:szCs w:val="21"/>
                    </w:rPr>
                  </w:pPr>
                  <w:r>
                    <w:rPr>
                      <w:rFonts w:hint="eastAsia"/>
                      <w:color w:val="auto"/>
                      <w:szCs w:val="21"/>
                    </w:rPr>
                    <w:t>6</w:t>
                  </w:r>
                  <w:r>
                    <w:rPr>
                      <w:rFonts w:hint="eastAsia"/>
                      <w:color w:val="auto"/>
                      <w:szCs w:val="21"/>
                      <w:lang w:val="en-US" w:eastAsia="zh-CN"/>
                    </w:rPr>
                    <w:t>8</w:t>
                  </w:r>
                  <w:r>
                    <w:rPr>
                      <w:rFonts w:hint="eastAsia"/>
                      <w:color w:val="auto"/>
                      <w:szCs w:val="21"/>
                    </w:rPr>
                    <w:t>.0</w:t>
                  </w:r>
                </w:p>
              </w:tc>
              <w:tc>
                <w:tcPr>
                  <w:tcW w:w="582" w:type="dxa"/>
                  <w:vMerge w:val="continue"/>
                  <w:tcBorders>
                    <w:left w:val="single" w:color="auto" w:sz="4" w:space="0"/>
                    <w:right w:val="single" w:color="auto" w:sz="4" w:space="0"/>
                  </w:tcBorders>
                  <w:vAlign w:val="center"/>
                </w:tcPr>
                <w:p w14:paraId="4C5ECAC1">
                  <w:pPr>
                    <w:jc w:val="center"/>
                    <w:rPr>
                      <w:color w:val="auto"/>
                      <w:szCs w:val="21"/>
                    </w:rPr>
                  </w:pPr>
                </w:p>
              </w:tc>
              <w:tc>
                <w:tcPr>
                  <w:tcW w:w="692" w:type="dxa"/>
                  <w:vMerge w:val="continue"/>
                  <w:tcBorders>
                    <w:left w:val="single" w:color="auto" w:sz="4" w:space="0"/>
                    <w:right w:val="single" w:color="auto" w:sz="4" w:space="0"/>
                  </w:tcBorders>
                  <w:vAlign w:val="center"/>
                </w:tcPr>
                <w:p w14:paraId="65173354">
                  <w:pPr>
                    <w:jc w:val="center"/>
                    <w:rPr>
                      <w:color w:val="auto"/>
                      <w:szCs w:val="21"/>
                    </w:rPr>
                  </w:pPr>
                </w:p>
              </w:tc>
              <w:tc>
                <w:tcPr>
                  <w:tcW w:w="652" w:type="dxa"/>
                  <w:vMerge w:val="continue"/>
                  <w:tcBorders>
                    <w:left w:val="single" w:color="auto" w:sz="4" w:space="0"/>
                    <w:right w:val="single" w:color="auto" w:sz="4" w:space="0"/>
                  </w:tcBorders>
                  <w:vAlign w:val="center"/>
                </w:tcPr>
                <w:p w14:paraId="679957BA">
                  <w:pPr>
                    <w:jc w:val="center"/>
                    <w:rPr>
                      <w:color w:val="auto"/>
                      <w:szCs w:val="21"/>
                    </w:rPr>
                  </w:pPr>
                </w:p>
              </w:tc>
              <w:tc>
                <w:tcPr>
                  <w:tcW w:w="662" w:type="dxa"/>
                  <w:vMerge w:val="continue"/>
                  <w:tcBorders>
                    <w:left w:val="single" w:color="auto" w:sz="4" w:space="0"/>
                    <w:right w:val="single" w:color="auto" w:sz="4" w:space="0"/>
                  </w:tcBorders>
                  <w:vAlign w:val="center"/>
                </w:tcPr>
                <w:p w14:paraId="08538E2C">
                  <w:pPr>
                    <w:rPr>
                      <w:color w:val="auto"/>
                      <w:szCs w:val="21"/>
                    </w:rPr>
                  </w:pPr>
                </w:p>
              </w:tc>
            </w:tr>
            <w:tr w14:paraId="5109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restart"/>
                  <w:tcBorders>
                    <w:left w:val="single" w:color="auto" w:sz="4" w:space="0"/>
                    <w:right w:val="single" w:color="auto" w:sz="4" w:space="0"/>
                  </w:tcBorders>
                  <w:vAlign w:val="center"/>
                </w:tcPr>
                <w:p w14:paraId="166E1508">
                  <w:pPr>
                    <w:jc w:val="center"/>
                    <w:rPr>
                      <w:color w:val="auto"/>
                      <w:szCs w:val="21"/>
                    </w:rPr>
                  </w:pPr>
                  <w:r>
                    <w:rPr>
                      <w:rFonts w:hint="eastAsia"/>
                      <w:color w:val="auto"/>
                      <w:szCs w:val="21"/>
                    </w:rPr>
                    <w:t>3</w:t>
                  </w:r>
                </w:p>
              </w:tc>
              <w:tc>
                <w:tcPr>
                  <w:tcW w:w="471" w:type="dxa"/>
                  <w:vMerge w:val="continue"/>
                  <w:tcBorders>
                    <w:left w:val="single" w:color="auto" w:sz="4" w:space="0"/>
                    <w:right w:val="single" w:color="auto" w:sz="4" w:space="0"/>
                  </w:tcBorders>
                  <w:vAlign w:val="center"/>
                </w:tcPr>
                <w:p w14:paraId="09FEE611">
                  <w:pPr>
                    <w:pStyle w:val="32"/>
                    <w:spacing w:before="0" w:beforeAutospacing="0" w:after="0" w:afterAutospacing="0"/>
                    <w:jc w:val="center"/>
                    <w:rPr>
                      <w:rFonts w:ascii="Times New Roman" w:hAnsi="Times New Roman"/>
                      <w:color w:val="auto"/>
                      <w:sz w:val="21"/>
                      <w:szCs w:val="21"/>
                    </w:rPr>
                  </w:pPr>
                </w:p>
              </w:tc>
              <w:tc>
                <w:tcPr>
                  <w:tcW w:w="691" w:type="dxa"/>
                  <w:vMerge w:val="restart"/>
                  <w:tcBorders>
                    <w:left w:val="single" w:color="auto" w:sz="4" w:space="0"/>
                    <w:right w:val="single" w:color="auto" w:sz="4" w:space="0"/>
                  </w:tcBorders>
                  <w:vAlign w:val="center"/>
                </w:tcPr>
                <w:p w14:paraId="5C203A5D">
                  <w:pPr>
                    <w:pStyle w:val="32"/>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eastAsia="zh-CN"/>
                    </w:rPr>
                    <w:t>烘干机</w:t>
                  </w:r>
                  <w:r>
                    <w:rPr>
                      <w:rFonts w:hint="eastAsia" w:ascii="Times New Roman" w:hAnsi="Times New Roman"/>
                      <w:color w:val="auto"/>
                      <w:sz w:val="21"/>
                      <w:szCs w:val="21"/>
                    </w:rPr>
                    <w:t>（2</w:t>
                  </w:r>
                  <w:r>
                    <w:rPr>
                      <w:rFonts w:hint="eastAsia" w:ascii="Times New Roman" w:hAnsi="Times New Roman"/>
                      <w:color w:val="auto"/>
                      <w:sz w:val="21"/>
                      <w:szCs w:val="21"/>
                      <w:lang w:val="en-US" w:eastAsia="zh-CN"/>
                    </w:rPr>
                    <w:t>0</w:t>
                  </w:r>
                  <w:r>
                    <w:rPr>
                      <w:rFonts w:hint="eastAsia" w:ascii="Times New Roman" w:hAnsi="Times New Roman"/>
                      <w:color w:val="auto"/>
                      <w:sz w:val="21"/>
                      <w:szCs w:val="21"/>
                      <w:lang w:eastAsia="zh-CN"/>
                    </w:rPr>
                    <w:t>台</w:t>
                  </w:r>
                  <w:r>
                    <w:rPr>
                      <w:rFonts w:hint="eastAsia" w:ascii="Times New Roman" w:hAnsi="Times New Roman"/>
                      <w:color w:val="auto"/>
                      <w:sz w:val="21"/>
                      <w:szCs w:val="21"/>
                    </w:rPr>
                    <w:t>）</w:t>
                  </w:r>
                </w:p>
              </w:tc>
              <w:tc>
                <w:tcPr>
                  <w:tcW w:w="733" w:type="dxa"/>
                  <w:vMerge w:val="restart"/>
                  <w:tcBorders>
                    <w:left w:val="single" w:color="auto" w:sz="4" w:space="0"/>
                    <w:right w:val="single" w:color="auto" w:sz="4" w:space="0"/>
                  </w:tcBorders>
                  <w:vAlign w:val="center"/>
                </w:tcPr>
                <w:p w14:paraId="5188E6F9">
                  <w:pPr>
                    <w:jc w:val="center"/>
                    <w:rPr>
                      <w:color w:val="auto"/>
                      <w:szCs w:val="21"/>
                    </w:rPr>
                  </w:pPr>
                  <w:r>
                    <w:rPr>
                      <w:rFonts w:hint="eastAsia"/>
                      <w:color w:val="auto"/>
                      <w:szCs w:val="21"/>
                      <w:lang w:val="en-US" w:eastAsia="zh-CN"/>
                    </w:rPr>
                    <w:t>81</w:t>
                  </w:r>
                  <w:r>
                    <w:rPr>
                      <w:rFonts w:hint="eastAsia"/>
                      <w:color w:val="auto"/>
                      <w:szCs w:val="21"/>
                    </w:rPr>
                    <w:t>（单台7</w:t>
                  </w:r>
                  <w:r>
                    <w:rPr>
                      <w:rFonts w:hint="eastAsia"/>
                      <w:color w:val="auto"/>
                      <w:szCs w:val="21"/>
                      <w:lang w:val="en-US" w:eastAsia="zh-CN"/>
                    </w:rPr>
                    <w:t>8</w:t>
                  </w:r>
                  <w:r>
                    <w:rPr>
                      <w:rFonts w:hint="eastAsia"/>
                      <w:color w:val="auto"/>
                      <w:szCs w:val="21"/>
                    </w:rPr>
                    <w:t>）</w:t>
                  </w:r>
                </w:p>
              </w:tc>
              <w:tc>
                <w:tcPr>
                  <w:tcW w:w="445" w:type="dxa"/>
                  <w:vMerge w:val="continue"/>
                  <w:tcBorders>
                    <w:left w:val="single" w:color="auto" w:sz="4" w:space="0"/>
                    <w:right w:val="single" w:color="auto" w:sz="4" w:space="0"/>
                  </w:tcBorders>
                  <w:vAlign w:val="center"/>
                </w:tcPr>
                <w:p w14:paraId="0A855B7B">
                  <w:pPr>
                    <w:pStyle w:val="32"/>
                    <w:spacing w:before="0" w:beforeAutospacing="0" w:after="0" w:afterAutospacing="0"/>
                    <w:jc w:val="center"/>
                    <w:rPr>
                      <w:rFonts w:ascii="Times New Roman" w:hAnsi="Times New Roman"/>
                      <w:color w:val="auto"/>
                      <w:sz w:val="21"/>
                      <w:szCs w:val="21"/>
                    </w:rPr>
                  </w:pPr>
                </w:p>
              </w:tc>
              <w:tc>
                <w:tcPr>
                  <w:tcW w:w="689" w:type="dxa"/>
                  <w:vMerge w:val="restart"/>
                  <w:tcBorders>
                    <w:left w:val="single" w:color="auto" w:sz="4" w:space="0"/>
                    <w:right w:val="single" w:color="auto" w:sz="4" w:space="0"/>
                  </w:tcBorders>
                  <w:vAlign w:val="center"/>
                </w:tcPr>
                <w:p w14:paraId="547A5ACE">
                  <w:pPr>
                    <w:jc w:val="center"/>
                    <w:rPr>
                      <w:color w:val="auto"/>
                      <w:szCs w:val="21"/>
                    </w:rPr>
                  </w:pPr>
                  <w:r>
                    <w:rPr>
                      <w:rFonts w:hint="eastAsia"/>
                      <w:color w:val="auto"/>
                      <w:szCs w:val="21"/>
                    </w:rPr>
                    <w:t>-24</w:t>
                  </w:r>
                </w:p>
              </w:tc>
              <w:tc>
                <w:tcPr>
                  <w:tcW w:w="689" w:type="dxa"/>
                  <w:vMerge w:val="restart"/>
                  <w:tcBorders>
                    <w:left w:val="single" w:color="auto" w:sz="4" w:space="0"/>
                    <w:right w:val="single" w:color="auto" w:sz="4" w:space="0"/>
                  </w:tcBorders>
                  <w:vAlign w:val="center"/>
                </w:tcPr>
                <w:p w14:paraId="305B681B">
                  <w:pPr>
                    <w:jc w:val="center"/>
                    <w:rPr>
                      <w:color w:val="auto"/>
                      <w:szCs w:val="21"/>
                    </w:rPr>
                  </w:pPr>
                  <w:r>
                    <w:rPr>
                      <w:rFonts w:hint="eastAsia"/>
                      <w:color w:val="auto"/>
                      <w:szCs w:val="21"/>
                    </w:rPr>
                    <w:t>-17.5</w:t>
                  </w:r>
                </w:p>
              </w:tc>
              <w:tc>
                <w:tcPr>
                  <w:tcW w:w="370" w:type="dxa"/>
                  <w:vMerge w:val="restart"/>
                  <w:tcBorders>
                    <w:left w:val="single" w:color="auto" w:sz="4" w:space="0"/>
                    <w:right w:val="single" w:color="auto" w:sz="4" w:space="0"/>
                  </w:tcBorders>
                  <w:vAlign w:val="center"/>
                </w:tcPr>
                <w:p w14:paraId="2918AC9B">
                  <w:pPr>
                    <w:jc w:val="center"/>
                    <w:rPr>
                      <w:color w:val="auto"/>
                      <w:szCs w:val="21"/>
                    </w:rPr>
                  </w:pPr>
                  <w:r>
                    <w:rPr>
                      <w:rFonts w:hint="eastAsia"/>
                      <w:color w:val="auto"/>
                      <w:szCs w:val="21"/>
                    </w:rPr>
                    <w:t>1</w:t>
                  </w:r>
                </w:p>
              </w:tc>
              <w:tc>
                <w:tcPr>
                  <w:tcW w:w="465" w:type="dxa"/>
                  <w:tcBorders>
                    <w:top w:val="single" w:color="auto" w:sz="4" w:space="0"/>
                    <w:left w:val="single" w:color="auto" w:sz="4" w:space="0"/>
                    <w:bottom w:val="single" w:color="auto" w:sz="4" w:space="0"/>
                    <w:right w:val="single" w:color="auto" w:sz="4" w:space="0"/>
                  </w:tcBorders>
                  <w:vAlign w:val="center"/>
                </w:tcPr>
                <w:p w14:paraId="5DADACBF">
                  <w:pPr>
                    <w:jc w:val="center"/>
                    <w:rPr>
                      <w:color w:val="auto"/>
                      <w:szCs w:val="21"/>
                    </w:rPr>
                  </w:pPr>
                  <w:r>
                    <w:rPr>
                      <w:color w:val="auto"/>
                      <w:szCs w:val="21"/>
                    </w:rPr>
                    <w:t>东</w:t>
                  </w:r>
                </w:p>
              </w:tc>
              <w:tc>
                <w:tcPr>
                  <w:tcW w:w="572" w:type="dxa"/>
                  <w:tcBorders>
                    <w:top w:val="single" w:color="auto" w:sz="4" w:space="0"/>
                    <w:left w:val="single" w:color="auto" w:sz="4" w:space="0"/>
                    <w:bottom w:val="single" w:color="auto" w:sz="4" w:space="0"/>
                    <w:right w:val="single" w:color="auto" w:sz="4" w:space="0"/>
                  </w:tcBorders>
                  <w:vAlign w:val="center"/>
                </w:tcPr>
                <w:p w14:paraId="3FABA2F0">
                  <w:pPr>
                    <w:jc w:val="center"/>
                    <w:rPr>
                      <w:color w:val="auto"/>
                      <w:szCs w:val="21"/>
                    </w:rPr>
                  </w:pPr>
                  <w:r>
                    <w:rPr>
                      <w:rFonts w:hint="eastAsia"/>
                      <w:color w:val="auto"/>
                      <w:szCs w:val="21"/>
                    </w:rPr>
                    <w:t>58</w:t>
                  </w:r>
                </w:p>
              </w:tc>
              <w:tc>
                <w:tcPr>
                  <w:tcW w:w="620" w:type="dxa"/>
                  <w:tcBorders>
                    <w:left w:val="single" w:color="auto" w:sz="4" w:space="0"/>
                    <w:bottom w:val="single" w:color="auto" w:sz="4" w:space="0"/>
                    <w:right w:val="single" w:color="auto" w:sz="4" w:space="0"/>
                  </w:tcBorders>
                  <w:vAlign w:val="center"/>
                </w:tcPr>
                <w:p w14:paraId="3EAA5581">
                  <w:pPr>
                    <w:jc w:val="center"/>
                    <w:rPr>
                      <w:color w:val="auto"/>
                      <w:szCs w:val="21"/>
                    </w:rPr>
                  </w:pPr>
                  <w:r>
                    <w:rPr>
                      <w:rFonts w:hint="eastAsia"/>
                      <w:color w:val="auto"/>
                      <w:szCs w:val="21"/>
                    </w:rPr>
                    <w:t>5</w:t>
                  </w:r>
                  <w:r>
                    <w:rPr>
                      <w:rFonts w:hint="eastAsia"/>
                      <w:color w:val="auto"/>
                      <w:szCs w:val="21"/>
                      <w:lang w:val="en-US" w:eastAsia="zh-CN"/>
                    </w:rPr>
                    <w:t>8</w:t>
                  </w:r>
                  <w:r>
                    <w:rPr>
                      <w:rFonts w:hint="eastAsia"/>
                      <w:color w:val="auto"/>
                      <w:szCs w:val="21"/>
                    </w:rPr>
                    <w:t>.0</w:t>
                  </w:r>
                </w:p>
              </w:tc>
              <w:tc>
                <w:tcPr>
                  <w:tcW w:w="582" w:type="dxa"/>
                  <w:vMerge w:val="continue"/>
                  <w:tcBorders>
                    <w:left w:val="single" w:color="auto" w:sz="4" w:space="0"/>
                    <w:right w:val="single" w:color="auto" w:sz="4" w:space="0"/>
                  </w:tcBorders>
                  <w:vAlign w:val="center"/>
                </w:tcPr>
                <w:p w14:paraId="7956C246">
                  <w:pPr>
                    <w:jc w:val="center"/>
                    <w:rPr>
                      <w:color w:val="auto"/>
                      <w:szCs w:val="21"/>
                    </w:rPr>
                  </w:pPr>
                </w:p>
              </w:tc>
              <w:tc>
                <w:tcPr>
                  <w:tcW w:w="692" w:type="dxa"/>
                  <w:vMerge w:val="continue"/>
                  <w:tcBorders>
                    <w:left w:val="single" w:color="auto" w:sz="4" w:space="0"/>
                    <w:right w:val="single" w:color="auto" w:sz="4" w:space="0"/>
                  </w:tcBorders>
                  <w:vAlign w:val="center"/>
                </w:tcPr>
                <w:p w14:paraId="68FF1751">
                  <w:pPr>
                    <w:jc w:val="center"/>
                    <w:rPr>
                      <w:color w:val="auto"/>
                      <w:szCs w:val="21"/>
                    </w:rPr>
                  </w:pPr>
                </w:p>
              </w:tc>
              <w:tc>
                <w:tcPr>
                  <w:tcW w:w="652" w:type="dxa"/>
                  <w:vMerge w:val="continue"/>
                  <w:tcBorders>
                    <w:left w:val="single" w:color="auto" w:sz="4" w:space="0"/>
                    <w:right w:val="single" w:color="auto" w:sz="4" w:space="0"/>
                  </w:tcBorders>
                  <w:vAlign w:val="center"/>
                </w:tcPr>
                <w:p w14:paraId="42B210CE">
                  <w:pPr>
                    <w:jc w:val="center"/>
                    <w:rPr>
                      <w:color w:val="auto"/>
                      <w:szCs w:val="21"/>
                    </w:rPr>
                  </w:pPr>
                </w:p>
              </w:tc>
              <w:tc>
                <w:tcPr>
                  <w:tcW w:w="662" w:type="dxa"/>
                  <w:vMerge w:val="continue"/>
                  <w:tcBorders>
                    <w:left w:val="single" w:color="auto" w:sz="4" w:space="0"/>
                    <w:right w:val="single" w:color="auto" w:sz="4" w:space="0"/>
                  </w:tcBorders>
                  <w:vAlign w:val="center"/>
                </w:tcPr>
                <w:p w14:paraId="12E55CF3">
                  <w:pPr>
                    <w:rPr>
                      <w:color w:val="auto"/>
                      <w:szCs w:val="21"/>
                    </w:rPr>
                  </w:pPr>
                </w:p>
              </w:tc>
            </w:tr>
            <w:tr w14:paraId="1504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2EDEB916">
                  <w:pPr>
                    <w:jc w:val="center"/>
                    <w:rPr>
                      <w:color w:val="auto"/>
                      <w:szCs w:val="21"/>
                    </w:rPr>
                  </w:pPr>
                </w:p>
              </w:tc>
              <w:tc>
                <w:tcPr>
                  <w:tcW w:w="471" w:type="dxa"/>
                  <w:vMerge w:val="continue"/>
                  <w:tcBorders>
                    <w:left w:val="single" w:color="auto" w:sz="4" w:space="0"/>
                    <w:right w:val="single" w:color="auto" w:sz="4" w:space="0"/>
                  </w:tcBorders>
                  <w:vAlign w:val="center"/>
                </w:tcPr>
                <w:p w14:paraId="03319957">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041EA4FB">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7A918030">
                  <w:pPr>
                    <w:jc w:val="center"/>
                    <w:rPr>
                      <w:color w:val="auto"/>
                      <w:szCs w:val="21"/>
                    </w:rPr>
                  </w:pPr>
                </w:p>
              </w:tc>
              <w:tc>
                <w:tcPr>
                  <w:tcW w:w="445" w:type="dxa"/>
                  <w:vMerge w:val="continue"/>
                  <w:tcBorders>
                    <w:left w:val="single" w:color="auto" w:sz="4" w:space="0"/>
                    <w:right w:val="single" w:color="auto" w:sz="4" w:space="0"/>
                  </w:tcBorders>
                  <w:vAlign w:val="center"/>
                </w:tcPr>
                <w:p w14:paraId="3CD32745">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07A31D60">
                  <w:pPr>
                    <w:jc w:val="center"/>
                    <w:rPr>
                      <w:color w:val="auto"/>
                      <w:szCs w:val="21"/>
                    </w:rPr>
                  </w:pPr>
                </w:p>
              </w:tc>
              <w:tc>
                <w:tcPr>
                  <w:tcW w:w="689" w:type="dxa"/>
                  <w:vMerge w:val="continue"/>
                  <w:tcBorders>
                    <w:left w:val="single" w:color="auto" w:sz="4" w:space="0"/>
                    <w:right w:val="single" w:color="auto" w:sz="4" w:space="0"/>
                  </w:tcBorders>
                  <w:vAlign w:val="center"/>
                </w:tcPr>
                <w:p w14:paraId="133D807F">
                  <w:pPr>
                    <w:jc w:val="center"/>
                    <w:rPr>
                      <w:color w:val="auto"/>
                      <w:szCs w:val="21"/>
                    </w:rPr>
                  </w:pPr>
                </w:p>
              </w:tc>
              <w:tc>
                <w:tcPr>
                  <w:tcW w:w="370" w:type="dxa"/>
                  <w:vMerge w:val="continue"/>
                  <w:tcBorders>
                    <w:left w:val="single" w:color="auto" w:sz="4" w:space="0"/>
                    <w:right w:val="single" w:color="auto" w:sz="4" w:space="0"/>
                  </w:tcBorders>
                  <w:vAlign w:val="center"/>
                </w:tcPr>
                <w:p w14:paraId="42D071E0">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5E021AD8">
                  <w:pPr>
                    <w:jc w:val="center"/>
                    <w:rPr>
                      <w:color w:val="auto"/>
                      <w:szCs w:val="21"/>
                    </w:rPr>
                  </w:pPr>
                  <w:r>
                    <w:rPr>
                      <w:color w:val="auto"/>
                      <w:szCs w:val="21"/>
                    </w:rPr>
                    <w:t>南</w:t>
                  </w:r>
                </w:p>
              </w:tc>
              <w:tc>
                <w:tcPr>
                  <w:tcW w:w="572" w:type="dxa"/>
                  <w:tcBorders>
                    <w:top w:val="single" w:color="auto" w:sz="4" w:space="0"/>
                    <w:left w:val="single" w:color="auto" w:sz="4" w:space="0"/>
                    <w:bottom w:val="single" w:color="auto" w:sz="4" w:space="0"/>
                    <w:right w:val="single" w:color="auto" w:sz="4" w:space="0"/>
                  </w:tcBorders>
                  <w:vAlign w:val="center"/>
                </w:tcPr>
                <w:p w14:paraId="275CAE2B">
                  <w:pPr>
                    <w:jc w:val="center"/>
                    <w:rPr>
                      <w:color w:val="auto"/>
                      <w:szCs w:val="21"/>
                    </w:rPr>
                  </w:pPr>
                  <w:r>
                    <w:rPr>
                      <w:rFonts w:hint="eastAsia"/>
                      <w:color w:val="auto"/>
                      <w:szCs w:val="21"/>
                    </w:rPr>
                    <w:t>5</w:t>
                  </w:r>
                </w:p>
              </w:tc>
              <w:tc>
                <w:tcPr>
                  <w:tcW w:w="620" w:type="dxa"/>
                  <w:tcBorders>
                    <w:left w:val="single" w:color="auto" w:sz="4" w:space="0"/>
                    <w:bottom w:val="single" w:color="auto" w:sz="4" w:space="0"/>
                    <w:right w:val="single" w:color="auto" w:sz="4" w:space="0"/>
                  </w:tcBorders>
                  <w:vAlign w:val="center"/>
                </w:tcPr>
                <w:p w14:paraId="59D52159">
                  <w:pPr>
                    <w:jc w:val="center"/>
                    <w:rPr>
                      <w:color w:val="auto"/>
                      <w:szCs w:val="21"/>
                    </w:rPr>
                  </w:pPr>
                  <w:r>
                    <w:rPr>
                      <w:rFonts w:hint="eastAsia"/>
                      <w:color w:val="auto"/>
                      <w:szCs w:val="21"/>
                      <w:lang w:val="en-US" w:eastAsia="zh-CN"/>
                    </w:rPr>
                    <w:t>60</w:t>
                  </w:r>
                  <w:r>
                    <w:rPr>
                      <w:rFonts w:hint="eastAsia"/>
                      <w:color w:val="auto"/>
                      <w:szCs w:val="21"/>
                    </w:rPr>
                    <w:t>.1</w:t>
                  </w:r>
                </w:p>
              </w:tc>
              <w:tc>
                <w:tcPr>
                  <w:tcW w:w="582" w:type="dxa"/>
                  <w:vMerge w:val="continue"/>
                  <w:tcBorders>
                    <w:left w:val="single" w:color="auto" w:sz="4" w:space="0"/>
                    <w:right w:val="single" w:color="auto" w:sz="4" w:space="0"/>
                  </w:tcBorders>
                  <w:vAlign w:val="center"/>
                </w:tcPr>
                <w:p w14:paraId="53F1899B">
                  <w:pPr>
                    <w:jc w:val="center"/>
                    <w:rPr>
                      <w:color w:val="auto"/>
                      <w:szCs w:val="21"/>
                    </w:rPr>
                  </w:pPr>
                </w:p>
              </w:tc>
              <w:tc>
                <w:tcPr>
                  <w:tcW w:w="692" w:type="dxa"/>
                  <w:vMerge w:val="continue"/>
                  <w:tcBorders>
                    <w:left w:val="single" w:color="auto" w:sz="4" w:space="0"/>
                    <w:right w:val="single" w:color="auto" w:sz="4" w:space="0"/>
                  </w:tcBorders>
                  <w:vAlign w:val="center"/>
                </w:tcPr>
                <w:p w14:paraId="786FA832">
                  <w:pPr>
                    <w:jc w:val="center"/>
                    <w:rPr>
                      <w:color w:val="auto"/>
                      <w:szCs w:val="21"/>
                    </w:rPr>
                  </w:pPr>
                </w:p>
              </w:tc>
              <w:tc>
                <w:tcPr>
                  <w:tcW w:w="652" w:type="dxa"/>
                  <w:vMerge w:val="continue"/>
                  <w:tcBorders>
                    <w:left w:val="single" w:color="auto" w:sz="4" w:space="0"/>
                    <w:right w:val="single" w:color="auto" w:sz="4" w:space="0"/>
                  </w:tcBorders>
                  <w:vAlign w:val="center"/>
                </w:tcPr>
                <w:p w14:paraId="41827F46">
                  <w:pPr>
                    <w:jc w:val="center"/>
                    <w:rPr>
                      <w:color w:val="auto"/>
                      <w:szCs w:val="21"/>
                    </w:rPr>
                  </w:pPr>
                </w:p>
              </w:tc>
              <w:tc>
                <w:tcPr>
                  <w:tcW w:w="662" w:type="dxa"/>
                  <w:vMerge w:val="continue"/>
                  <w:tcBorders>
                    <w:left w:val="single" w:color="auto" w:sz="4" w:space="0"/>
                    <w:right w:val="single" w:color="auto" w:sz="4" w:space="0"/>
                  </w:tcBorders>
                  <w:vAlign w:val="center"/>
                </w:tcPr>
                <w:p w14:paraId="618610B9">
                  <w:pPr>
                    <w:rPr>
                      <w:color w:val="auto"/>
                      <w:szCs w:val="21"/>
                    </w:rPr>
                  </w:pPr>
                </w:p>
              </w:tc>
            </w:tr>
            <w:tr w14:paraId="55EF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36F731CC">
                  <w:pPr>
                    <w:jc w:val="center"/>
                    <w:rPr>
                      <w:color w:val="auto"/>
                      <w:szCs w:val="21"/>
                    </w:rPr>
                  </w:pPr>
                </w:p>
              </w:tc>
              <w:tc>
                <w:tcPr>
                  <w:tcW w:w="471" w:type="dxa"/>
                  <w:vMerge w:val="continue"/>
                  <w:tcBorders>
                    <w:left w:val="single" w:color="auto" w:sz="4" w:space="0"/>
                    <w:right w:val="single" w:color="auto" w:sz="4" w:space="0"/>
                  </w:tcBorders>
                  <w:vAlign w:val="center"/>
                </w:tcPr>
                <w:p w14:paraId="6E466D6B">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17365470">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34C78374">
                  <w:pPr>
                    <w:jc w:val="center"/>
                    <w:rPr>
                      <w:color w:val="auto"/>
                      <w:szCs w:val="21"/>
                    </w:rPr>
                  </w:pPr>
                </w:p>
              </w:tc>
              <w:tc>
                <w:tcPr>
                  <w:tcW w:w="445" w:type="dxa"/>
                  <w:vMerge w:val="continue"/>
                  <w:tcBorders>
                    <w:left w:val="single" w:color="auto" w:sz="4" w:space="0"/>
                    <w:right w:val="single" w:color="auto" w:sz="4" w:space="0"/>
                  </w:tcBorders>
                  <w:vAlign w:val="center"/>
                </w:tcPr>
                <w:p w14:paraId="1DEE3FB4">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5417172E">
                  <w:pPr>
                    <w:jc w:val="center"/>
                    <w:rPr>
                      <w:color w:val="auto"/>
                      <w:szCs w:val="21"/>
                    </w:rPr>
                  </w:pPr>
                </w:p>
              </w:tc>
              <w:tc>
                <w:tcPr>
                  <w:tcW w:w="689" w:type="dxa"/>
                  <w:vMerge w:val="continue"/>
                  <w:tcBorders>
                    <w:left w:val="single" w:color="auto" w:sz="4" w:space="0"/>
                    <w:right w:val="single" w:color="auto" w:sz="4" w:space="0"/>
                  </w:tcBorders>
                  <w:vAlign w:val="center"/>
                </w:tcPr>
                <w:p w14:paraId="35E3B204">
                  <w:pPr>
                    <w:jc w:val="center"/>
                    <w:rPr>
                      <w:color w:val="auto"/>
                      <w:szCs w:val="21"/>
                    </w:rPr>
                  </w:pPr>
                </w:p>
              </w:tc>
              <w:tc>
                <w:tcPr>
                  <w:tcW w:w="370" w:type="dxa"/>
                  <w:vMerge w:val="continue"/>
                  <w:tcBorders>
                    <w:left w:val="single" w:color="auto" w:sz="4" w:space="0"/>
                    <w:right w:val="single" w:color="auto" w:sz="4" w:space="0"/>
                  </w:tcBorders>
                  <w:vAlign w:val="center"/>
                </w:tcPr>
                <w:p w14:paraId="0E683D70">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0315B441">
                  <w:pPr>
                    <w:jc w:val="center"/>
                    <w:rPr>
                      <w:color w:val="auto"/>
                      <w:szCs w:val="21"/>
                    </w:rPr>
                  </w:pPr>
                  <w:r>
                    <w:rPr>
                      <w:color w:val="auto"/>
                      <w:szCs w:val="21"/>
                    </w:rPr>
                    <w:t>西</w:t>
                  </w:r>
                </w:p>
              </w:tc>
              <w:tc>
                <w:tcPr>
                  <w:tcW w:w="572" w:type="dxa"/>
                  <w:tcBorders>
                    <w:top w:val="single" w:color="auto" w:sz="4" w:space="0"/>
                    <w:left w:val="single" w:color="auto" w:sz="4" w:space="0"/>
                    <w:bottom w:val="single" w:color="auto" w:sz="4" w:space="0"/>
                    <w:right w:val="single" w:color="auto" w:sz="4" w:space="0"/>
                  </w:tcBorders>
                  <w:vAlign w:val="center"/>
                </w:tcPr>
                <w:p w14:paraId="0F71B173">
                  <w:pPr>
                    <w:jc w:val="center"/>
                    <w:rPr>
                      <w:color w:val="auto"/>
                      <w:szCs w:val="21"/>
                    </w:rPr>
                  </w:pPr>
                  <w:r>
                    <w:rPr>
                      <w:rFonts w:hint="eastAsia"/>
                      <w:color w:val="auto"/>
                      <w:szCs w:val="21"/>
                    </w:rPr>
                    <w:t>10</w:t>
                  </w:r>
                </w:p>
              </w:tc>
              <w:tc>
                <w:tcPr>
                  <w:tcW w:w="620" w:type="dxa"/>
                  <w:tcBorders>
                    <w:left w:val="single" w:color="auto" w:sz="4" w:space="0"/>
                    <w:bottom w:val="single" w:color="auto" w:sz="4" w:space="0"/>
                    <w:right w:val="single" w:color="auto" w:sz="4" w:space="0"/>
                  </w:tcBorders>
                  <w:vAlign w:val="center"/>
                </w:tcPr>
                <w:p w14:paraId="4C4EE518">
                  <w:pPr>
                    <w:jc w:val="center"/>
                    <w:rPr>
                      <w:color w:val="auto"/>
                      <w:szCs w:val="21"/>
                    </w:rPr>
                  </w:pPr>
                  <w:r>
                    <w:rPr>
                      <w:rFonts w:hint="eastAsia"/>
                      <w:color w:val="auto"/>
                      <w:szCs w:val="21"/>
                    </w:rPr>
                    <w:t>5</w:t>
                  </w:r>
                  <w:r>
                    <w:rPr>
                      <w:rFonts w:hint="eastAsia"/>
                      <w:color w:val="auto"/>
                      <w:szCs w:val="21"/>
                      <w:lang w:val="en-US" w:eastAsia="zh-CN"/>
                    </w:rPr>
                    <w:t>8</w:t>
                  </w:r>
                  <w:r>
                    <w:rPr>
                      <w:rFonts w:hint="eastAsia"/>
                      <w:color w:val="auto"/>
                      <w:szCs w:val="21"/>
                    </w:rPr>
                    <w:t>.6</w:t>
                  </w:r>
                </w:p>
              </w:tc>
              <w:tc>
                <w:tcPr>
                  <w:tcW w:w="582" w:type="dxa"/>
                  <w:vMerge w:val="continue"/>
                  <w:tcBorders>
                    <w:left w:val="single" w:color="auto" w:sz="4" w:space="0"/>
                    <w:right w:val="single" w:color="auto" w:sz="4" w:space="0"/>
                  </w:tcBorders>
                  <w:vAlign w:val="center"/>
                </w:tcPr>
                <w:p w14:paraId="2ECBBCCB">
                  <w:pPr>
                    <w:jc w:val="center"/>
                    <w:rPr>
                      <w:color w:val="auto"/>
                      <w:szCs w:val="21"/>
                    </w:rPr>
                  </w:pPr>
                </w:p>
              </w:tc>
              <w:tc>
                <w:tcPr>
                  <w:tcW w:w="692" w:type="dxa"/>
                  <w:vMerge w:val="continue"/>
                  <w:tcBorders>
                    <w:left w:val="single" w:color="auto" w:sz="4" w:space="0"/>
                    <w:right w:val="single" w:color="auto" w:sz="4" w:space="0"/>
                  </w:tcBorders>
                  <w:vAlign w:val="center"/>
                </w:tcPr>
                <w:p w14:paraId="48AE4518">
                  <w:pPr>
                    <w:jc w:val="center"/>
                    <w:rPr>
                      <w:color w:val="auto"/>
                      <w:szCs w:val="21"/>
                    </w:rPr>
                  </w:pPr>
                </w:p>
              </w:tc>
              <w:tc>
                <w:tcPr>
                  <w:tcW w:w="652" w:type="dxa"/>
                  <w:vMerge w:val="continue"/>
                  <w:tcBorders>
                    <w:left w:val="single" w:color="auto" w:sz="4" w:space="0"/>
                    <w:right w:val="single" w:color="auto" w:sz="4" w:space="0"/>
                  </w:tcBorders>
                  <w:vAlign w:val="center"/>
                </w:tcPr>
                <w:p w14:paraId="1AF34D19">
                  <w:pPr>
                    <w:jc w:val="center"/>
                    <w:rPr>
                      <w:color w:val="auto"/>
                      <w:szCs w:val="21"/>
                    </w:rPr>
                  </w:pPr>
                </w:p>
              </w:tc>
              <w:tc>
                <w:tcPr>
                  <w:tcW w:w="662" w:type="dxa"/>
                  <w:vMerge w:val="continue"/>
                  <w:tcBorders>
                    <w:left w:val="single" w:color="auto" w:sz="4" w:space="0"/>
                    <w:right w:val="single" w:color="auto" w:sz="4" w:space="0"/>
                  </w:tcBorders>
                  <w:vAlign w:val="center"/>
                </w:tcPr>
                <w:p w14:paraId="262F0452">
                  <w:pPr>
                    <w:rPr>
                      <w:color w:val="auto"/>
                      <w:szCs w:val="21"/>
                    </w:rPr>
                  </w:pPr>
                </w:p>
              </w:tc>
            </w:tr>
            <w:tr w14:paraId="797D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050BE05D">
                  <w:pPr>
                    <w:jc w:val="center"/>
                    <w:rPr>
                      <w:color w:val="auto"/>
                      <w:szCs w:val="21"/>
                    </w:rPr>
                  </w:pPr>
                </w:p>
              </w:tc>
              <w:tc>
                <w:tcPr>
                  <w:tcW w:w="471" w:type="dxa"/>
                  <w:vMerge w:val="continue"/>
                  <w:tcBorders>
                    <w:left w:val="single" w:color="auto" w:sz="4" w:space="0"/>
                    <w:right w:val="single" w:color="auto" w:sz="4" w:space="0"/>
                  </w:tcBorders>
                  <w:vAlign w:val="center"/>
                </w:tcPr>
                <w:p w14:paraId="6C761E1A">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bottom w:val="single" w:color="auto" w:sz="4" w:space="0"/>
                    <w:right w:val="single" w:color="auto" w:sz="4" w:space="0"/>
                  </w:tcBorders>
                  <w:vAlign w:val="center"/>
                </w:tcPr>
                <w:p w14:paraId="51B4E0B0">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bottom w:val="single" w:color="auto" w:sz="4" w:space="0"/>
                    <w:right w:val="single" w:color="auto" w:sz="4" w:space="0"/>
                  </w:tcBorders>
                  <w:vAlign w:val="center"/>
                </w:tcPr>
                <w:p w14:paraId="1D4B3F3E">
                  <w:pPr>
                    <w:jc w:val="center"/>
                    <w:rPr>
                      <w:color w:val="auto"/>
                      <w:szCs w:val="21"/>
                    </w:rPr>
                  </w:pPr>
                </w:p>
              </w:tc>
              <w:tc>
                <w:tcPr>
                  <w:tcW w:w="445" w:type="dxa"/>
                  <w:vMerge w:val="continue"/>
                  <w:tcBorders>
                    <w:left w:val="single" w:color="auto" w:sz="4" w:space="0"/>
                    <w:right w:val="single" w:color="auto" w:sz="4" w:space="0"/>
                  </w:tcBorders>
                  <w:vAlign w:val="center"/>
                </w:tcPr>
                <w:p w14:paraId="3887EF98">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3986CF2D">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0FF032A2">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6FB4B866">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4210BCBF">
                  <w:pPr>
                    <w:jc w:val="center"/>
                    <w:rPr>
                      <w:color w:val="auto"/>
                      <w:szCs w:val="21"/>
                    </w:rPr>
                  </w:pPr>
                  <w:r>
                    <w:rPr>
                      <w:color w:val="auto"/>
                      <w:szCs w:val="21"/>
                    </w:rPr>
                    <w:t>北</w:t>
                  </w:r>
                </w:p>
              </w:tc>
              <w:tc>
                <w:tcPr>
                  <w:tcW w:w="572" w:type="dxa"/>
                  <w:tcBorders>
                    <w:top w:val="single" w:color="auto" w:sz="4" w:space="0"/>
                    <w:left w:val="single" w:color="auto" w:sz="4" w:space="0"/>
                    <w:bottom w:val="single" w:color="auto" w:sz="4" w:space="0"/>
                    <w:right w:val="single" w:color="auto" w:sz="4" w:space="0"/>
                  </w:tcBorders>
                  <w:vAlign w:val="center"/>
                </w:tcPr>
                <w:p w14:paraId="46489A02">
                  <w:pPr>
                    <w:jc w:val="center"/>
                    <w:rPr>
                      <w:color w:val="auto"/>
                      <w:szCs w:val="21"/>
                    </w:rPr>
                  </w:pPr>
                  <w:r>
                    <w:rPr>
                      <w:rFonts w:hint="eastAsia"/>
                      <w:color w:val="auto"/>
                      <w:szCs w:val="21"/>
                    </w:rPr>
                    <w:t>40</w:t>
                  </w:r>
                </w:p>
              </w:tc>
              <w:tc>
                <w:tcPr>
                  <w:tcW w:w="620" w:type="dxa"/>
                  <w:tcBorders>
                    <w:left w:val="single" w:color="auto" w:sz="4" w:space="0"/>
                    <w:bottom w:val="single" w:color="auto" w:sz="4" w:space="0"/>
                    <w:right w:val="single" w:color="auto" w:sz="4" w:space="0"/>
                  </w:tcBorders>
                  <w:vAlign w:val="center"/>
                </w:tcPr>
                <w:p w14:paraId="35D208CF">
                  <w:pPr>
                    <w:jc w:val="center"/>
                    <w:rPr>
                      <w:color w:val="auto"/>
                      <w:szCs w:val="21"/>
                    </w:rPr>
                  </w:pPr>
                  <w:r>
                    <w:rPr>
                      <w:rFonts w:hint="eastAsia"/>
                      <w:color w:val="auto"/>
                      <w:szCs w:val="21"/>
                    </w:rPr>
                    <w:t>5</w:t>
                  </w:r>
                  <w:r>
                    <w:rPr>
                      <w:rFonts w:hint="eastAsia"/>
                      <w:color w:val="auto"/>
                      <w:szCs w:val="21"/>
                      <w:lang w:val="en-US" w:eastAsia="zh-CN"/>
                    </w:rPr>
                    <w:t>8</w:t>
                  </w:r>
                  <w:r>
                    <w:rPr>
                      <w:rFonts w:hint="eastAsia"/>
                      <w:color w:val="auto"/>
                      <w:szCs w:val="21"/>
                    </w:rPr>
                    <w:t>.0</w:t>
                  </w:r>
                </w:p>
              </w:tc>
              <w:tc>
                <w:tcPr>
                  <w:tcW w:w="582" w:type="dxa"/>
                  <w:vMerge w:val="continue"/>
                  <w:tcBorders>
                    <w:left w:val="single" w:color="auto" w:sz="4" w:space="0"/>
                    <w:right w:val="single" w:color="auto" w:sz="4" w:space="0"/>
                  </w:tcBorders>
                  <w:vAlign w:val="center"/>
                </w:tcPr>
                <w:p w14:paraId="5EA13891">
                  <w:pPr>
                    <w:jc w:val="center"/>
                    <w:rPr>
                      <w:color w:val="auto"/>
                      <w:szCs w:val="21"/>
                    </w:rPr>
                  </w:pPr>
                </w:p>
              </w:tc>
              <w:tc>
                <w:tcPr>
                  <w:tcW w:w="692" w:type="dxa"/>
                  <w:vMerge w:val="continue"/>
                  <w:tcBorders>
                    <w:left w:val="single" w:color="auto" w:sz="4" w:space="0"/>
                    <w:right w:val="single" w:color="auto" w:sz="4" w:space="0"/>
                  </w:tcBorders>
                  <w:vAlign w:val="center"/>
                </w:tcPr>
                <w:p w14:paraId="49B67314">
                  <w:pPr>
                    <w:jc w:val="center"/>
                    <w:rPr>
                      <w:color w:val="auto"/>
                      <w:szCs w:val="21"/>
                    </w:rPr>
                  </w:pPr>
                </w:p>
              </w:tc>
              <w:tc>
                <w:tcPr>
                  <w:tcW w:w="652" w:type="dxa"/>
                  <w:vMerge w:val="continue"/>
                  <w:tcBorders>
                    <w:left w:val="single" w:color="auto" w:sz="4" w:space="0"/>
                    <w:right w:val="single" w:color="auto" w:sz="4" w:space="0"/>
                  </w:tcBorders>
                  <w:vAlign w:val="center"/>
                </w:tcPr>
                <w:p w14:paraId="30CC87D7">
                  <w:pPr>
                    <w:jc w:val="center"/>
                    <w:rPr>
                      <w:color w:val="auto"/>
                      <w:szCs w:val="21"/>
                    </w:rPr>
                  </w:pPr>
                </w:p>
              </w:tc>
              <w:tc>
                <w:tcPr>
                  <w:tcW w:w="662" w:type="dxa"/>
                  <w:vMerge w:val="continue"/>
                  <w:tcBorders>
                    <w:left w:val="single" w:color="auto" w:sz="4" w:space="0"/>
                    <w:right w:val="single" w:color="auto" w:sz="4" w:space="0"/>
                  </w:tcBorders>
                  <w:vAlign w:val="center"/>
                </w:tcPr>
                <w:p w14:paraId="6947EB88">
                  <w:pPr>
                    <w:rPr>
                      <w:color w:val="auto"/>
                      <w:szCs w:val="21"/>
                    </w:rPr>
                  </w:pPr>
                </w:p>
              </w:tc>
            </w:tr>
            <w:tr w14:paraId="7EA7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restart"/>
                  <w:tcBorders>
                    <w:left w:val="single" w:color="auto" w:sz="4" w:space="0"/>
                    <w:right w:val="single" w:color="auto" w:sz="4" w:space="0"/>
                  </w:tcBorders>
                  <w:vAlign w:val="center"/>
                </w:tcPr>
                <w:p w14:paraId="3A0748CD">
                  <w:pPr>
                    <w:jc w:val="center"/>
                    <w:rPr>
                      <w:color w:val="auto"/>
                      <w:szCs w:val="21"/>
                    </w:rPr>
                  </w:pPr>
                  <w:r>
                    <w:rPr>
                      <w:rFonts w:hint="eastAsia"/>
                      <w:color w:val="auto"/>
                      <w:szCs w:val="21"/>
                    </w:rPr>
                    <w:t>4</w:t>
                  </w:r>
                </w:p>
              </w:tc>
              <w:tc>
                <w:tcPr>
                  <w:tcW w:w="471" w:type="dxa"/>
                  <w:vMerge w:val="continue"/>
                  <w:tcBorders>
                    <w:left w:val="single" w:color="auto" w:sz="4" w:space="0"/>
                    <w:right w:val="single" w:color="auto" w:sz="4" w:space="0"/>
                  </w:tcBorders>
                  <w:vAlign w:val="center"/>
                </w:tcPr>
                <w:p w14:paraId="02FE0D14">
                  <w:pPr>
                    <w:pStyle w:val="32"/>
                    <w:spacing w:before="0" w:beforeAutospacing="0" w:after="0" w:afterAutospacing="0"/>
                    <w:jc w:val="center"/>
                    <w:rPr>
                      <w:rFonts w:ascii="Times New Roman" w:hAnsi="Times New Roman"/>
                      <w:color w:val="auto"/>
                      <w:sz w:val="21"/>
                      <w:szCs w:val="21"/>
                    </w:rPr>
                  </w:pPr>
                </w:p>
              </w:tc>
              <w:tc>
                <w:tcPr>
                  <w:tcW w:w="691" w:type="dxa"/>
                  <w:vMerge w:val="restart"/>
                  <w:tcBorders>
                    <w:left w:val="single" w:color="auto" w:sz="4" w:space="0"/>
                    <w:right w:val="single" w:color="auto" w:sz="4" w:space="0"/>
                  </w:tcBorders>
                  <w:vAlign w:val="center"/>
                </w:tcPr>
                <w:p w14:paraId="52EDEC30">
                  <w:pPr>
                    <w:pStyle w:val="32"/>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eastAsia="zh-CN"/>
                    </w:rPr>
                    <w:t>焊机</w:t>
                  </w:r>
                  <w:r>
                    <w:rPr>
                      <w:rFonts w:hint="eastAsia" w:ascii="Times New Roman" w:hAnsi="Times New Roman"/>
                      <w:color w:val="auto"/>
                      <w:sz w:val="21"/>
                      <w:szCs w:val="21"/>
                    </w:rPr>
                    <w:t>（4台）</w:t>
                  </w:r>
                </w:p>
              </w:tc>
              <w:tc>
                <w:tcPr>
                  <w:tcW w:w="733" w:type="dxa"/>
                  <w:vMerge w:val="restart"/>
                  <w:tcBorders>
                    <w:left w:val="single" w:color="auto" w:sz="4" w:space="0"/>
                    <w:right w:val="single" w:color="auto" w:sz="4" w:space="0"/>
                  </w:tcBorders>
                  <w:vAlign w:val="center"/>
                </w:tcPr>
                <w:p w14:paraId="73B21401">
                  <w:pPr>
                    <w:jc w:val="center"/>
                    <w:rPr>
                      <w:color w:val="auto"/>
                      <w:szCs w:val="21"/>
                    </w:rPr>
                  </w:pPr>
                  <w:r>
                    <w:rPr>
                      <w:rFonts w:hint="eastAsia"/>
                      <w:color w:val="auto"/>
                      <w:szCs w:val="21"/>
                      <w:lang w:val="en-US" w:eastAsia="zh-CN"/>
                    </w:rPr>
                    <w:t>94</w:t>
                  </w:r>
                  <w:r>
                    <w:rPr>
                      <w:rFonts w:hint="eastAsia"/>
                      <w:color w:val="auto"/>
                      <w:szCs w:val="21"/>
                    </w:rPr>
                    <w:t>（单台8</w:t>
                  </w:r>
                  <w:r>
                    <w:rPr>
                      <w:rFonts w:hint="eastAsia"/>
                      <w:color w:val="auto"/>
                      <w:szCs w:val="21"/>
                      <w:lang w:val="en-US" w:eastAsia="zh-CN"/>
                    </w:rPr>
                    <w:t>8</w:t>
                  </w:r>
                  <w:r>
                    <w:rPr>
                      <w:rFonts w:hint="eastAsia"/>
                      <w:color w:val="auto"/>
                      <w:szCs w:val="21"/>
                    </w:rPr>
                    <w:t>）</w:t>
                  </w:r>
                </w:p>
              </w:tc>
              <w:tc>
                <w:tcPr>
                  <w:tcW w:w="445" w:type="dxa"/>
                  <w:vMerge w:val="continue"/>
                  <w:tcBorders>
                    <w:left w:val="single" w:color="auto" w:sz="4" w:space="0"/>
                    <w:right w:val="single" w:color="auto" w:sz="4" w:space="0"/>
                  </w:tcBorders>
                  <w:vAlign w:val="center"/>
                </w:tcPr>
                <w:p w14:paraId="7FF4CD4D">
                  <w:pPr>
                    <w:pStyle w:val="32"/>
                    <w:spacing w:before="0" w:beforeAutospacing="0" w:after="0" w:afterAutospacing="0"/>
                    <w:jc w:val="center"/>
                    <w:rPr>
                      <w:rFonts w:ascii="Times New Roman" w:hAnsi="Times New Roman"/>
                      <w:color w:val="auto"/>
                      <w:sz w:val="21"/>
                      <w:szCs w:val="21"/>
                    </w:rPr>
                  </w:pPr>
                </w:p>
              </w:tc>
              <w:tc>
                <w:tcPr>
                  <w:tcW w:w="689" w:type="dxa"/>
                  <w:vMerge w:val="restart"/>
                  <w:tcBorders>
                    <w:left w:val="single" w:color="auto" w:sz="4" w:space="0"/>
                    <w:right w:val="single" w:color="auto" w:sz="4" w:space="0"/>
                  </w:tcBorders>
                  <w:vAlign w:val="center"/>
                </w:tcPr>
                <w:p w14:paraId="4D9DC39A">
                  <w:pPr>
                    <w:jc w:val="center"/>
                    <w:rPr>
                      <w:color w:val="auto"/>
                      <w:szCs w:val="21"/>
                    </w:rPr>
                  </w:pPr>
                  <w:r>
                    <w:rPr>
                      <w:rFonts w:hint="eastAsia"/>
                      <w:color w:val="auto"/>
                      <w:szCs w:val="21"/>
                    </w:rPr>
                    <w:t>-24</w:t>
                  </w:r>
                </w:p>
              </w:tc>
              <w:tc>
                <w:tcPr>
                  <w:tcW w:w="689" w:type="dxa"/>
                  <w:vMerge w:val="restart"/>
                  <w:tcBorders>
                    <w:left w:val="single" w:color="auto" w:sz="4" w:space="0"/>
                    <w:right w:val="single" w:color="auto" w:sz="4" w:space="0"/>
                  </w:tcBorders>
                  <w:vAlign w:val="center"/>
                </w:tcPr>
                <w:p w14:paraId="18E522F8">
                  <w:pPr>
                    <w:jc w:val="center"/>
                    <w:rPr>
                      <w:color w:val="auto"/>
                      <w:szCs w:val="21"/>
                    </w:rPr>
                  </w:pPr>
                  <w:r>
                    <w:rPr>
                      <w:rFonts w:hint="eastAsia"/>
                      <w:color w:val="auto"/>
                      <w:szCs w:val="21"/>
                    </w:rPr>
                    <w:t>2.5</w:t>
                  </w:r>
                </w:p>
              </w:tc>
              <w:tc>
                <w:tcPr>
                  <w:tcW w:w="370" w:type="dxa"/>
                  <w:vMerge w:val="restart"/>
                  <w:tcBorders>
                    <w:left w:val="single" w:color="auto" w:sz="4" w:space="0"/>
                    <w:right w:val="single" w:color="auto" w:sz="4" w:space="0"/>
                  </w:tcBorders>
                  <w:vAlign w:val="center"/>
                </w:tcPr>
                <w:p w14:paraId="74518AAD">
                  <w:pPr>
                    <w:jc w:val="center"/>
                    <w:rPr>
                      <w:color w:val="auto"/>
                      <w:szCs w:val="21"/>
                    </w:rPr>
                  </w:pPr>
                  <w:r>
                    <w:rPr>
                      <w:rFonts w:hint="eastAsia"/>
                      <w:color w:val="auto"/>
                      <w:szCs w:val="21"/>
                    </w:rPr>
                    <w:t>1</w:t>
                  </w:r>
                </w:p>
              </w:tc>
              <w:tc>
                <w:tcPr>
                  <w:tcW w:w="465" w:type="dxa"/>
                  <w:tcBorders>
                    <w:top w:val="single" w:color="auto" w:sz="4" w:space="0"/>
                    <w:left w:val="single" w:color="auto" w:sz="4" w:space="0"/>
                    <w:bottom w:val="single" w:color="auto" w:sz="4" w:space="0"/>
                    <w:right w:val="single" w:color="auto" w:sz="4" w:space="0"/>
                  </w:tcBorders>
                  <w:vAlign w:val="center"/>
                </w:tcPr>
                <w:p w14:paraId="619A86D0">
                  <w:pPr>
                    <w:jc w:val="center"/>
                    <w:rPr>
                      <w:color w:val="auto"/>
                      <w:szCs w:val="21"/>
                    </w:rPr>
                  </w:pPr>
                  <w:r>
                    <w:rPr>
                      <w:color w:val="auto"/>
                      <w:szCs w:val="21"/>
                    </w:rPr>
                    <w:t>东</w:t>
                  </w:r>
                </w:p>
              </w:tc>
              <w:tc>
                <w:tcPr>
                  <w:tcW w:w="572" w:type="dxa"/>
                  <w:tcBorders>
                    <w:top w:val="single" w:color="auto" w:sz="4" w:space="0"/>
                    <w:left w:val="single" w:color="auto" w:sz="4" w:space="0"/>
                    <w:bottom w:val="single" w:color="auto" w:sz="4" w:space="0"/>
                    <w:right w:val="single" w:color="auto" w:sz="4" w:space="0"/>
                  </w:tcBorders>
                  <w:vAlign w:val="center"/>
                </w:tcPr>
                <w:p w14:paraId="5567171E">
                  <w:pPr>
                    <w:jc w:val="center"/>
                    <w:rPr>
                      <w:color w:val="auto"/>
                      <w:szCs w:val="21"/>
                    </w:rPr>
                  </w:pPr>
                  <w:r>
                    <w:rPr>
                      <w:rFonts w:hint="eastAsia"/>
                      <w:color w:val="auto"/>
                      <w:szCs w:val="21"/>
                    </w:rPr>
                    <w:t>58</w:t>
                  </w:r>
                </w:p>
              </w:tc>
              <w:tc>
                <w:tcPr>
                  <w:tcW w:w="620" w:type="dxa"/>
                  <w:tcBorders>
                    <w:left w:val="single" w:color="auto" w:sz="4" w:space="0"/>
                    <w:bottom w:val="single" w:color="auto" w:sz="4" w:space="0"/>
                    <w:right w:val="single" w:color="auto" w:sz="4" w:space="0"/>
                  </w:tcBorders>
                  <w:vAlign w:val="center"/>
                </w:tcPr>
                <w:p w14:paraId="0B53F267">
                  <w:pPr>
                    <w:jc w:val="center"/>
                    <w:rPr>
                      <w:color w:val="auto"/>
                      <w:szCs w:val="21"/>
                    </w:rPr>
                  </w:pPr>
                  <w:r>
                    <w:rPr>
                      <w:rFonts w:hint="eastAsia"/>
                      <w:color w:val="auto"/>
                      <w:szCs w:val="21"/>
                      <w:lang w:val="en-US" w:eastAsia="zh-CN"/>
                    </w:rPr>
                    <w:t>71</w:t>
                  </w:r>
                  <w:r>
                    <w:rPr>
                      <w:rFonts w:hint="eastAsia"/>
                      <w:color w:val="auto"/>
                      <w:szCs w:val="21"/>
                    </w:rPr>
                    <w:t>.0</w:t>
                  </w:r>
                </w:p>
              </w:tc>
              <w:tc>
                <w:tcPr>
                  <w:tcW w:w="582" w:type="dxa"/>
                  <w:vMerge w:val="continue"/>
                  <w:tcBorders>
                    <w:left w:val="single" w:color="auto" w:sz="4" w:space="0"/>
                    <w:right w:val="single" w:color="auto" w:sz="4" w:space="0"/>
                  </w:tcBorders>
                  <w:vAlign w:val="center"/>
                </w:tcPr>
                <w:p w14:paraId="4BBC7DA8">
                  <w:pPr>
                    <w:jc w:val="center"/>
                    <w:rPr>
                      <w:color w:val="auto"/>
                      <w:szCs w:val="21"/>
                    </w:rPr>
                  </w:pPr>
                </w:p>
              </w:tc>
              <w:tc>
                <w:tcPr>
                  <w:tcW w:w="692" w:type="dxa"/>
                  <w:vMerge w:val="continue"/>
                  <w:tcBorders>
                    <w:left w:val="single" w:color="auto" w:sz="4" w:space="0"/>
                    <w:right w:val="single" w:color="auto" w:sz="4" w:space="0"/>
                  </w:tcBorders>
                  <w:vAlign w:val="center"/>
                </w:tcPr>
                <w:p w14:paraId="0AFE8692">
                  <w:pPr>
                    <w:jc w:val="center"/>
                    <w:rPr>
                      <w:color w:val="auto"/>
                      <w:szCs w:val="21"/>
                    </w:rPr>
                  </w:pPr>
                </w:p>
              </w:tc>
              <w:tc>
                <w:tcPr>
                  <w:tcW w:w="652" w:type="dxa"/>
                  <w:vMerge w:val="continue"/>
                  <w:tcBorders>
                    <w:left w:val="single" w:color="auto" w:sz="4" w:space="0"/>
                    <w:right w:val="single" w:color="auto" w:sz="4" w:space="0"/>
                  </w:tcBorders>
                  <w:vAlign w:val="center"/>
                </w:tcPr>
                <w:p w14:paraId="416C11D8">
                  <w:pPr>
                    <w:jc w:val="center"/>
                    <w:rPr>
                      <w:color w:val="auto"/>
                      <w:szCs w:val="21"/>
                    </w:rPr>
                  </w:pPr>
                </w:p>
              </w:tc>
              <w:tc>
                <w:tcPr>
                  <w:tcW w:w="662" w:type="dxa"/>
                  <w:vMerge w:val="continue"/>
                  <w:tcBorders>
                    <w:left w:val="single" w:color="auto" w:sz="4" w:space="0"/>
                    <w:right w:val="single" w:color="auto" w:sz="4" w:space="0"/>
                  </w:tcBorders>
                  <w:vAlign w:val="center"/>
                </w:tcPr>
                <w:p w14:paraId="1943AADC">
                  <w:pPr>
                    <w:rPr>
                      <w:color w:val="auto"/>
                      <w:szCs w:val="21"/>
                    </w:rPr>
                  </w:pPr>
                </w:p>
              </w:tc>
            </w:tr>
            <w:tr w14:paraId="323A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4D81B3CE">
                  <w:pPr>
                    <w:jc w:val="center"/>
                    <w:rPr>
                      <w:color w:val="auto"/>
                      <w:szCs w:val="21"/>
                    </w:rPr>
                  </w:pPr>
                </w:p>
              </w:tc>
              <w:tc>
                <w:tcPr>
                  <w:tcW w:w="471" w:type="dxa"/>
                  <w:vMerge w:val="continue"/>
                  <w:tcBorders>
                    <w:left w:val="single" w:color="auto" w:sz="4" w:space="0"/>
                    <w:right w:val="single" w:color="auto" w:sz="4" w:space="0"/>
                  </w:tcBorders>
                  <w:vAlign w:val="center"/>
                </w:tcPr>
                <w:p w14:paraId="57FA2C54">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0BE89CF0">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2E8BE997">
                  <w:pPr>
                    <w:jc w:val="center"/>
                    <w:rPr>
                      <w:color w:val="auto"/>
                      <w:szCs w:val="21"/>
                    </w:rPr>
                  </w:pPr>
                </w:p>
              </w:tc>
              <w:tc>
                <w:tcPr>
                  <w:tcW w:w="445" w:type="dxa"/>
                  <w:vMerge w:val="continue"/>
                  <w:tcBorders>
                    <w:left w:val="single" w:color="auto" w:sz="4" w:space="0"/>
                    <w:right w:val="single" w:color="auto" w:sz="4" w:space="0"/>
                  </w:tcBorders>
                  <w:vAlign w:val="center"/>
                </w:tcPr>
                <w:p w14:paraId="3B6A8A55">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074158A1">
                  <w:pPr>
                    <w:jc w:val="center"/>
                    <w:rPr>
                      <w:color w:val="auto"/>
                      <w:szCs w:val="21"/>
                    </w:rPr>
                  </w:pPr>
                </w:p>
              </w:tc>
              <w:tc>
                <w:tcPr>
                  <w:tcW w:w="689" w:type="dxa"/>
                  <w:vMerge w:val="continue"/>
                  <w:tcBorders>
                    <w:left w:val="single" w:color="auto" w:sz="4" w:space="0"/>
                    <w:right w:val="single" w:color="auto" w:sz="4" w:space="0"/>
                  </w:tcBorders>
                  <w:vAlign w:val="center"/>
                </w:tcPr>
                <w:p w14:paraId="126AEE04">
                  <w:pPr>
                    <w:jc w:val="center"/>
                    <w:rPr>
                      <w:color w:val="auto"/>
                      <w:szCs w:val="21"/>
                    </w:rPr>
                  </w:pPr>
                </w:p>
              </w:tc>
              <w:tc>
                <w:tcPr>
                  <w:tcW w:w="370" w:type="dxa"/>
                  <w:vMerge w:val="continue"/>
                  <w:tcBorders>
                    <w:left w:val="single" w:color="auto" w:sz="4" w:space="0"/>
                    <w:right w:val="single" w:color="auto" w:sz="4" w:space="0"/>
                  </w:tcBorders>
                  <w:vAlign w:val="center"/>
                </w:tcPr>
                <w:p w14:paraId="5D2046AC">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4DFD7ADD">
                  <w:pPr>
                    <w:jc w:val="center"/>
                    <w:rPr>
                      <w:color w:val="auto"/>
                      <w:szCs w:val="21"/>
                    </w:rPr>
                  </w:pPr>
                  <w:r>
                    <w:rPr>
                      <w:color w:val="auto"/>
                      <w:szCs w:val="21"/>
                    </w:rPr>
                    <w:t>南</w:t>
                  </w:r>
                </w:p>
              </w:tc>
              <w:tc>
                <w:tcPr>
                  <w:tcW w:w="572" w:type="dxa"/>
                  <w:tcBorders>
                    <w:top w:val="single" w:color="auto" w:sz="4" w:space="0"/>
                    <w:left w:val="single" w:color="auto" w:sz="4" w:space="0"/>
                    <w:bottom w:val="single" w:color="auto" w:sz="4" w:space="0"/>
                    <w:right w:val="single" w:color="auto" w:sz="4" w:space="0"/>
                  </w:tcBorders>
                  <w:vAlign w:val="center"/>
                </w:tcPr>
                <w:p w14:paraId="0B687631">
                  <w:pPr>
                    <w:jc w:val="center"/>
                    <w:rPr>
                      <w:color w:val="auto"/>
                      <w:szCs w:val="21"/>
                    </w:rPr>
                  </w:pPr>
                  <w:r>
                    <w:rPr>
                      <w:rFonts w:hint="eastAsia"/>
                      <w:color w:val="auto"/>
                      <w:szCs w:val="21"/>
                    </w:rPr>
                    <w:t>25</w:t>
                  </w:r>
                </w:p>
              </w:tc>
              <w:tc>
                <w:tcPr>
                  <w:tcW w:w="620" w:type="dxa"/>
                  <w:tcBorders>
                    <w:left w:val="single" w:color="auto" w:sz="4" w:space="0"/>
                    <w:bottom w:val="single" w:color="auto" w:sz="4" w:space="0"/>
                    <w:right w:val="single" w:color="auto" w:sz="4" w:space="0"/>
                  </w:tcBorders>
                  <w:vAlign w:val="center"/>
                </w:tcPr>
                <w:p w14:paraId="3FAC3CC7">
                  <w:pPr>
                    <w:jc w:val="center"/>
                    <w:rPr>
                      <w:color w:val="auto"/>
                      <w:szCs w:val="21"/>
                    </w:rPr>
                  </w:pPr>
                  <w:r>
                    <w:rPr>
                      <w:rFonts w:hint="eastAsia"/>
                      <w:color w:val="auto"/>
                      <w:szCs w:val="21"/>
                      <w:lang w:val="en-US" w:eastAsia="zh-CN"/>
                    </w:rPr>
                    <w:t>71</w:t>
                  </w:r>
                  <w:r>
                    <w:rPr>
                      <w:rFonts w:hint="eastAsia"/>
                      <w:color w:val="auto"/>
                      <w:szCs w:val="21"/>
                    </w:rPr>
                    <w:t>.1</w:t>
                  </w:r>
                </w:p>
              </w:tc>
              <w:tc>
                <w:tcPr>
                  <w:tcW w:w="582" w:type="dxa"/>
                  <w:vMerge w:val="continue"/>
                  <w:tcBorders>
                    <w:left w:val="single" w:color="auto" w:sz="4" w:space="0"/>
                    <w:right w:val="single" w:color="auto" w:sz="4" w:space="0"/>
                  </w:tcBorders>
                  <w:vAlign w:val="center"/>
                </w:tcPr>
                <w:p w14:paraId="05FA1DE5">
                  <w:pPr>
                    <w:jc w:val="center"/>
                    <w:rPr>
                      <w:color w:val="auto"/>
                      <w:szCs w:val="21"/>
                    </w:rPr>
                  </w:pPr>
                </w:p>
              </w:tc>
              <w:tc>
                <w:tcPr>
                  <w:tcW w:w="692" w:type="dxa"/>
                  <w:vMerge w:val="continue"/>
                  <w:tcBorders>
                    <w:left w:val="single" w:color="auto" w:sz="4" w:space="0"/>
                    <w:right w:val="single" w:color="auto" w:sz="4" w:space="0"/>
                  </w:tcBorders>
                  <w:vAlign w:val="center"/>
                </w:tcPr>
                <w:p w14:paraId="6560FAAC">
                  <w:pPr>
                    <w:jc w:val="center"/>
                    <w:rPr>
                      <w:color w:val="auto"/>
                      <w:szCs w:val="21"/>
                    </w:rPr>
                  </w:pPr>
                </w:p>
              </w:tc>
              <w:tc>
                <w:tcPr>
                  <w:tcW w:w="652" w:type="dxa"/>
                  <w:vMerge w:val="continue"/>
                  <w:tcBorders>
                    <w:left w:val="single" w:color="auto" w:sz="4" w:space="0"/>
                    <w:right w:val="single" w:color="auto" w:sz="4" w:space="0"/>
                  </w:tcBorders>
                  <w:vAlign w:val="center"/>
                </w:tcPr>
                <w:p w14:paraId="6B46FC0E">
                  <w:pPr>
                    <w:jc w:val="center"/>
                    <w:rPr>
                      <w:color w:val="auto"/>
                      <w:szCs w:val="21"/>
                    </w:rPr>
                  </w:pPr>
                </w:p>
              </w:tc>
              <w:tc>
                <w:tcPr>
                  <w:tcW w:w="662" w:type="dxa"/>
                  <w:vMerge w:val="continue"/>
                  <w:tcBorders>
                    <w:left w:val="single" w:color="auto" w:sz="4" w:space="0"/>
                    <w:right w:val="single" w:color="auto" w:sz="4" w:space="0"/>
                  </w:tcBorders>
                  <w:vAlign w:val="center"/>
                </w:tcPr>
                <w:p w14:paraId="051C33E0">
                  <w:pPr>
                    <w:rPr>
                      <w:color w:val="auto"/>
                      <w:szCs w:val="21"/>
                    </w:rPr>
                  </w:pPr>
                </w:p>
              </w:tc>
            </w:tr>
            <w:tr w14:paraId="356F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vMerge w:val="continue"/>
                  <w:tcBorders>
                    <w:left w:val="single" w:color="auto" w:sz="4" w:space="0"/>
                    <w:right w:val="single" w:color="auto" w:sz="4" w:space="0"/>
                  </w:tcBorders>
                  <w:vAlign w:val="center"/>
                </w:tcPr>
                <w:p w14:paraId="6CB45006">
                  <w:pPr>
                    <w:jc w:val="center"/>
                    <w:rPr>
                      <w:color w:val="auto"/>
                      <w:szCs w:val="21"/>
                    </w:rPr>
                  </w:pPr>
                </w:p>
              </w:tc>
              <w:tc>
                <w:tcPr>
                  <w:tcW w:w="471" w:type="dxa"/>
                  <w:vMerge w:val="continue"/>
                  <w:tcBorders>
                    <w:left w:val="single" w:color="auto" w:sz="4" w:space="0"/>
                    <w:right w:val="single" w:color="auto" w:sz="4" w:space="0"/>
                  </w:tcBorders>
                  <w:vAlign w:val="center"/>
                </w:tcPr>
                <w:p w14:paraId="6B832C57">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3D9FABF9">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347285E5">
                  <w:pPr>
                    <w:jc w:val="center"/>
                    <w:rPr>
                      <w:color w:val="auto"/>
                      <w:szCs w:val="21"/>
                    </w:rPr>
                  </w:pPr>
                </w:p>
              </w:tc>
              <w:tc>
                <w:tcPr>
                  <w:tcW w:w="445" w:type="dxa"/>
                  <w:vMerge w:val="continue"/>
                  <w:tcBorders>
                    <w:left w:val="single" w:color="auto" w:sz="4" w:space="0"/>
                    <w:right w:val="single" w:color="auto" w:sz="4" w:space="0"/>
                  </w:tcBorders>
                  <w:vAlign w:val="center"/>
                </w:tcPr>
                <w:p w14:paraId="21DB6FDA">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71D941FD">
                  <w:pPr>
                    <w:jc w:val="center"/>
                    <w:rPr>
                      <w:color w:val="auto"/>
                      <w:szCs w:val="21"/>
                    </w:rPr>
                  </w:pPr>
                </w:p>
              </w:tc>
              <w:tc>
                <w:tcPr>
                  <w:tcW w:w="689" w:type="dxa"/>
                  <w:vMerge w:val="continue"/>
                  <w:tcBorders>
                    <w:left w:val="single" w:color="auto" w:sz="4" w:space="0"/>
                    <w:right w:val="single" w:color="auto" w:sz="4" w:space="0"/>
                  </w:tcBorders>
                  <w:vAlign w:val="center"/>
                </w:tcPr>
                <w:p w14:paraId="11CBAF8E">
                  <w:pPr>
                    <w:jc w:val="center"/>
                    <w:rPr>
                      <w:color w:val="auto"/>
                      <w:szCs w:val="21"/>
                    </w:rPr>
                  </w:pPr>
                </w:p>
              </w:tc>
              <w:tc>
                <w:tcPr>
                  <w:tcW w:w="370" w:type="dxa"/>
                  <w:vMerge w:val="continue"/>
                  <w:tcBorders>
                    <w:left w:val="single" w:color="auto" w:sz="4" w:space="0"/>
                    <w:right w:val="single" w:color="auto" w:sz="4" w:space="0"/>
                  </w:tcBorders>
                  <w:vAlign w:val="center"/>
                </w:tcPr>
                <w:p w14:paraId="07A6AE79">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3E0BCABD">
                  <w:pPr>
                    <w:jc w:val="center"/>
                    <w:rPr>
                      <w:color w:val="auto"/>
                      <w:szCs w:val="21"/>
                    </w:rPr>
                  </w:pPr>
                  <w:r>
                    <w:rPr>
                      <w:color w:val="auto"/>
                      <w:szCs w:val="21"/>
                    </w:rPr>
                    <w:t>西</w:t>
                  </w:r>
                </w:p>
              </w:tc>
              <w:tc>
                <w:tcPr>
                  <w:tcW w:w="572" w:type="dxa"/>
                  <w:tcBorders>
                    <w:top w:val="single" w:color="auto" w:sz="4" w:space="0"/>
                    <w:left w:val="single" w:color="auto" w:sz="4" w:space="0"/>
                    <w:bottom w:val="single" w:color="auto" w:sz="4" w:space="0"/>
                    <w:right w:val="single" w:color="auto" w:sz="4" w:space="0"/>
                  </w:tcBorders>
                  <w:vAlign w:val="center"/>
                </w:tcPr>
                <w:p w14:paraId="34EDBF97">
                  <w:pPr>
                    <w:jc w:val="center"/>
                    <w:rPr>
                      <w:color w:val="auto"/>
                      <w:szCs w:val="21"/>
                    </w:rPr>
                  </w:pPr>
                  <w:r>
                    <w:rPr>
                      <w:rFonts w:hint="eastAsia"/>
                      <w:color w:val="auto"/>
                      <w:szCs w:val="21"/>
                    </w:rPr>
                    <w:t>10</w:t>
                  </w:r>
                </w:p>
              </w:tc>
              <w:tc>
                <w:tcPr>
                  <w:tcW w:w="620" w:type="dxa"/>
                  <w:tcBorders>
                    <w:left w:val="single" w:color="auto" w:sz="4" w:space="0"/>
                    <w:bottom w:val="single" w:color="auto" w:sz="4" w:space="0"/>
                    <w:right w:val="single" w:color="auto" w:sz="4" w:space="0"/>
                  </w:tcBorders>
                  <w:vAlign w:val="center"/>
                </w:tcPr>
                <w:p w14:paraId="0EB51FBF">
                  <w:pPr>
                    <w:jc w:val="center"/>
                    <w:rPr>
                      <w:color w:val="auto"/>
                      <w:szCs w:val="21"/>
                    </w:rPr>
                  </w:pPr>
                  <w:r>
                    <w:rPr>
                      <w:rFonts w:hint="eastAsia"/>
                      <w:color w:val="auto"/>
                      <w:szCs w:val="21"/>
                      <w:lang w:val="en-US" w:eastAsia="zh-CN"/>
                    </w:rPr>
                    <w:t>71</w:t>
                  </w:r>
                  <w:r>
                    <w:rPr>
                      <w:rFonts w:hint="eastAsia"/>
                      <w:color w:val="auto"/>
                      <w:szCs w:val="21"/>
                    </w:rPr>
                    <w:t>.6</w:t>
                  </w:r>
                </w:p>
              </w:tc>
              <w:tc>
                <w:tcPr>
                  <w:tcW w:w="582" w:type="dxa"/>
                  <w:vMerge w:val="continue"/>
                  <w:tcBorders>
                    <w:left w:val="single" w:color="auto" w:sz="4" w:space="0"/>
                    <w:right w:val="single" w:color="auto" w:sz="4" w:space="0"/>
                  </w:tcBorders>
                  <w:vAlign w:val="center"/>
                </w:tcPr>
                <w:p w14:paraId="1078F62F">
                  <w:pPr>
                    <w:jc w:val="center"/>
                    <w:rPr>
                      <w:color w:val="auto"/>
                      <w:szCs w:val="21"/>
                    </w:rPr>
                  </w:pPr>
                </w:p>
              </w:tc>
              <w:tc>
                <w:tcPr>
                  <w:tcW w:w="692" w:type="dxa"/>
                  <w:vMerge w:val="continue"/>
                  <w:tcBorders>
                    <w:left w:val="single" w:color="auto" w:sz="4" w:space="0"/>
                    <w:right w:val="single" w:color="auto" w:sz="4" w:space="0"/>
                  </w:tcBorders>
                  <w:vAlign w:val="center"/>
                </w:tcPr>
                <w:p w14:paraId="4C044067">
                  <w:pPr>
                    <w:jc w:val="center"/>
                    <w:rPr>
                      <w:color w:val="auto"/>
                      <w:szCs w:val="21"/>
                    </w:rPr>
                  </w:pPr>
                </w:p>
              </w:tc>
              <w:tc>
                <w:tcPr>
                  <w:tcW w:w="652" w:type="dxa"/>
                  <w:vMerge w:val="continue"/>
                  <w:tcBorders>
                    <w:left w:val="single" w:color="auto" w:sz="4" w:space="0"/>
                    <w:right w:val="single" w:color="auto" w:sz="4" w:space="0"/>
                  </w:tcBorders>
                  <w:vAlign w:val="center"/>
                </w:tcPr>
                <w:p w14:paraId="6D8EAE3D">
                  <w:pPr>
                    <w:jc w:val="center"/>
                    <w:rPr>
                      <w:color w:val="auto"/>
                      <w:szCs w:val="21"/>
                    </w:rPr>
                  </w:pPr>
                </w:p>
              </w:tc>
              <w:tc>
                <w:tcPr>
                  <w:tcW w:w="662" w:type="dxa"/>
                  <w:vMerge w:val="continue"/>
                  <w:tcBorders>
                    <w:left w:val="single" w:color="auto" w:sz="4" w:space="0"/>
                    <w:right w:val="single" w:color="auto" w:sz="4" w:space="0"/>
                  </w:tcBorders>
                  <w:vAlign w:val="center"/>
                </w:tcPr>
                <w:p w14:paraId="581C894D">
                  <w:pPr>
                    <w:rPr>
                      <w:color w:val="auto"/>
                      <w:szCs w:val="21"/>
                    </w:rPr>
                  </w:pPr>
                </w:p>
              </w:tc>
            </w:tr>
            <w:tr w14:paraId="1CE1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7C48885F">
                  <w:pPr>
                    <w:jc w:val="center"/>
                    <w:rPr>
                      <w:color w:val="auto"/>
                      <w:szCs w:val="21"/>
                    </w:rPr>
                  </w:pPr>
                </w:p>
              </w:tc>
              <w:tc>
                <w:tcPr>
                  <w:tcW w:w="471" w:type="dxa"/>
                  <w:vMerge w:val="continue"/>
                  <w:tcBorders>
                    <w:left w:val="single" w:color="auto" w:sz="4" w:space="0"/>
                    <w:right w:val="single" w:color="auto" w:sz="4" w:space="0"/>
                  </w:tcBorders>
                  <w:vAlign w:val="center"/>
                </w:tcPr>
                <w:p w14:paraId="56DB4C38">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bottom w:val="single" w:color="auto" w:sz="4" w:space="0"/>
                    <w:right w:val="single" w:color="auto" w:sz="4" w:space="0"/>
                  </w:tcBorders>
                  <w:vAlign w:val="center"/>
                </w:tcPr>
                <w:p w14:paraId="7DCE5A47">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bottom w:val="single" w:color="auto" w:sz="4" w:space="0"/>
                    <w:right w:val="single" w:color="auto" w:sz="4" w:space="0"/>
                  </w:tcBorders>
                  <w:vAlign w:val="center"/>
                </w:tcPr>
                <w:p w14:paraId="710E1AF9">
                  <w:pPr>
                    <w:jc w:val="center"/>
                    <w:rPr>
                      <w:color w:val="auto"/>
                      <w:szCs w:val="21"/>
                    </w:rPr>
                  </w:pPr>
                </w:p>
              </w:tc>
              <w:tc>
                <w:tcPr>
                  <w:tcW w:w="445" w:type="dxa"/>
                  <w:vMerge w:val="continue"/>
                  <w:tcBorders>
                    <w:left w:val="single" w:color="auto" w:sz="4" w:space="0"/>
                    <w:right w:val="single" w:color="auto" w:sz="4" w:space="0"/>
                  </w:tcBorders>
                  <w:vAlign w:val="center"/>
                </w:tcPr>
                <w:p w14:paraId="593521EE">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0449E0CD">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712F466E">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7518A8B2">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376A985B">
                  <w:pPr>
                    <w:jc w:val="center"/>
                    <w:rPr>
                      <w:color w:val="auto"/>
                      <w:szCs w:val="21"/>
                    </w:rPr>
                  </w:pPr>
                  <w:r>
                    <w:rPr>
                      <w:color w:val="auto"/>
                      <w:szCs w:val="21"/>
                    </w:rPr>
                    <w:t>北</w:t>
                  </w:r>
                </w:p>
              </w:tc>
              <w:tc>
                <w:tcPr>
                  <w:tcW w:w="572" w:type="dxa"/>
                  <w:tcBorders>
                    <w:top w:val="single" w:color="auto" w:sz="4" w:space="0"/>
                    <w:left w:val="single" w:color="auto" w:sz="4" w:space="0"/>
                    <w:bottom w:val="single" w:color="auto" w:sz="4" w:space="0"/>
                    <w:right w:val="single" w:color="auto" w:sz="4" w:space="0"/>
                  </w:tcBorders>
                  <w:vAlign w:val="center"/>
                </w:tcPr>
                <w:p w14:paraId="59E9CB91">
                  <w:pPr>
                    <w:jc w:val="center"/>
                    <w:rPr>
                      <w:color w:val="auto"/>
                      <w:szCs w:val="21"/>
                    </w:rPr>
                  </w:pPr>
                  <w:r>
                    <w:rPr>
                      <w:rFonts w:hint="eastAsia"/>
                      <w:color w:val="auto"/>
                      <w:szCs w:val="21"/>
                    </w:rPr>
                    <w:t>20</w:t>
                  </w:r>
                </w:p>
              </w:tc>
              <w:tc>
                <w:tcPr>
                  <w:tcW w:w="620" w:type="dxa"/>
                  <w:tcBorders>
                    <w:left w:val="single" w:color="auto" w:sz="4" w:space="0"/>
                    <w:bottom w:val="single" w:color="auto" w:sz="4" w:space="0"/>
                    <w:right w:val="single" w:color="auto" w:sz="4" w:space="0"/>
                  </w:tcBorders>
                  <w:vAlign w:val="center"/>
                </w:tcPr>
                <w:p w14:paraId="7FD84710">
                  <w:pPr>
                    <w:jc w:val="center"/>
                    <w:rPr>
                      <w:color w:val="auto"/>
                      <w:szCs w:val="21"/>
                    </w:rPr>
                  </w:pPr>
                  <w:r>
                    <w:rPr>
                      <w:rFonts w:hint="eastAsia"/>
                      <w:color w:val="auto"/>
                      <w:szCs w:val="21"/>
                      <w:lang w:val="en-US" w:eastAsia="zh-CN"/>
                    </w:rPr>
                    <w:t>71</w:t>
                  </w:r>
                  <w:r>
                    <w:rPr>
                      <w:rFonts w:hint="eastAsia"/>
                      <w:color w:val="auto"/>
                      <w:szCs w:val="21"/>
                    </w:rPr>
                    <w:t>.1</w:t>
                  </w:r>
                </w:p>
              </w:tc>
              <w:tc>
                <w:tcPr>
                  <w:tcW w:w="582" w:type="dxa"/>
                  <w:vMerge w:val="continue"/>
                  <w:tcBorders>
                    <w:left w:val="single" w:color="auto" w:sz="4" w:space="0"/>
                    <w:right w:val="single" w:color="auto" w:sz="4" w:space="0"/>
                  </w:tcBorders>
                  <w:vAlign w:val="center"/>
                </w:tcPr>
                <w:p w14:paraId="35A6BB54">
                  <w:pPr>
                    <w:jc w:val="center"/>
                    <w:rPr>
                      <w:color w:val="auto"/>
                      <w:szCs w:val="21"/>
                    </w:rPr>
                  </w:pPr>
                </w:p>
              </w:tc>
              <w:tc>
                <w:tcPr>
                  <w:tcW w:w="692" w:type="dxa"/>
                  <w:vMerge w:val="continue"/>
                  <w:tcBorders>
                    <w:left w:val="single" w:color="auto" w:sz="4" w:space="0"/>
                    <w:right w:val="single" w:color="auto" w:sz="4" w:space="0"/>
                  </w:tcBorders>
                  <w:vAlign w:val="center"/>
                </w:tcPr>
                <w:p w14:paraId="693DE5E3">
                  <w:pPr>
                    <w:jc w:val="center"/>
                    <w:rPr>
                      <w:color w:val="auto"/>
                      <w:szCs w:val="21"/>
                    </w:rPr>
                  </w:pPr>
                </w:p>
              </w:tc>
              <w:tc>
                <w:tcPr>
                  <w:tcW w:w="652" w:type="dxa"/>
                  <w:vMerge w:val="continue"/>
                  <w:tcBorders>
                    <w:left w:val="single" w:color="auto" w:sz="4" w:space="0"/>
                    <w:right w:val="single" w:color="auto" w:sz="4" w:space="0"/>
                  </w:tcBorders>
                  <w:vAlign w:val="center"/>
                </w:tcPr>
                <w:p w14:paraId="0FAFF758">
                  <w:pPr>
                    <w:jc w:val="center"/>
                    <w:rPr>
                      <w:color w:val="auto"/>
                      <w:szCs w:val="21"/>
                    </w:rPr>
                  </w:pPr>
                </w:p>
              </w:tc>
              <w:tc>
                <w:tcPr>
                  <w:tcW w:w="662" w:type="dxa"/>
                  <w:vMerge w:val="continue"/>
                  <w:tcBorders>
                    <w:left w:val="single" w:color="auto" w:sz="4" w:space="0"/>
                    <w:right w:val="single" w:color="auto" w:sz="4" w:space="0"/>
                  </w:tcBorders>
                  <w:vAlign w:val="center"/>
                </w:tcPr>
                <w:p w14:paraId="44FC98A8">
                  <w:pPr>
                    <w:rPr>
                      <w:color w:val="auto"/>
                      <w:szCs w:val="21"/>
                    </w:rPr>
                  </w:pPr>
                </w:p>
              </w:tc>
            </w:tr>
            <w:tr w14:paraId="442B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restart"/>
                  <w:tcBorders>
                    <w:left w:val="single" w:color="auto" w:sz="4" w:space="0"/>
                    <w:right w:val="single" w:color="auto" w:sz="4" w:space="0"/>
                  </w:tcBorders>
                  <w:vAlign w:val="center"/>
                </w:tcPr>
                <w:p w14:paraId="72DF6AD1">
                  <w:pPr>
                    <w:jc w:val="center"/>
                    <w:rPr>
                      <w:color w:val="auto"/>
                      <w:szCs w:val="21"/>
                    </w:rPr>
                  </w:pPr>
                  <w:r>
                    <w:rPr>
                      <w:rFonts w:hint="eastAsia"/>
                      <w:color w:val="auto"/>
                      <w:szCs w:val="21"/>
                    </w:rPr>
                    <w:t>5</w:t>
                  </w:r>
                </w:p>
              </w:tc>
              <w:tc>
                <w:tcPr>
                  <w:tcW w:w="471" w:type="dxa"/>
                  <w:vMerge w:val="continue"/>
                  <w:tcBorders>
                    <w:left w:val="single" w:color="auto" w:sz="4" w:space="0"/>
                    <w:right w:val="single" w:color="auto" w:sz="4" w:space="0"/>
                  </w:tcBorders>
                  <w:vAlign w:val="center"/>
                </w:tcPr>
                <w:p w14:paraId="7A8964DB">
                  <w:pPr>
                    <w:pStyle w:val="32"/>
                    <w:spacing w:before="0" w:beforeAutospacing="0" w:after="0" w:afterAutospacing="0"/>
                    <w:jc w:val="center"/>
                    <w:rPr>
                      <w:rFonts w:ascii="Times New Roman" w:hAnsi="Times New Roman"/>
                      <w:color w:val="auto"/>
                      <w:sz w:val="21"/>
                      <w:szCs w:val="21"/>
                    </w:rPr>
                  </w:pPr>
                </w:p>
              </w:tc>
              <w:tc>
                <w:tcPr>
                  <w:tcW w:w="691" w:type="dxa"/>
                  <w:vMerge w:val="restart"/>
                  <w:tcBorders>
                    <w:left w:val="single" w:color="auto" w:sz="4" w:space="0"/>
                    <w:right w:val="single" w:color="auto" w:sz="4" w:space="0"/>
                  </w:tcBorders>
                  <w:vAlign w:val="center"/>
                </w:tcPr>
                <w:p w14:paraId="0FC5BDE8">
                  <w:pPr>
                    <w:pStyle w:val="32"/>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eastAsia="zh-CN"/>
                    </w:rPr>
                    <w:t>冲床</w:t>
                  </w:r>
                  <w:r>
                    <w:rPr>
                      <w:rFonts w:hint="eastAsia" w:ascii="Times New Roman" w:hAnsi="Times New Roman"/>
                      <w:color w:val="auto"/>
                      <w:sz w:val="21"/>
                      <w:szCs w:val="21"/>
                    </w:rPr>
                    <w:t>（3台）</w:t>
                  </w:r>
                </w:p>
              </w:tc>
              <w:tc>
                <w:tcPr>
                  <w:tcW w:w="733" w:type="dxa"/>
                  <w:vMerge w:val="restart"/>
                  <w:tcBorders>
                    <w:left w:val="single" w:color="auto" w:sz="4" w:space="0"/>
                    <w:right w:val="single" w:color="auto" w:sz="4" w:space="0"/>
                  </w:tcBorders>
                  <w:vAlign w:val="center"/>
                </w:tcPr>
                <w:p w14:paraId="66A88B0C">
                  <w:pPr>
                    <w:jc w:val="center"/>
                    <w:rPr>
                      <w:color w:val="auto"/>
                      <w:szCs w:val="21"/>
                    </w:rPr>
                  </w:pPr>
                  <w:r>
                    <w:rPr>
                      <w:rFonts w:hint="eastAsia"/>
                      <w:color w:val="auto"/>
                      <w:szCs w:val="21"/>
                    </w:rPr>
                    <w:t>7</w:t>
                  </w:r>
                  <w:r>
                    <w:rPr>
                      <w:rFonts w:hint="eastAsia"/>
                      <w:color w:val="auto"/>
                      <w:szCs w:val="21"/>
                      <w:lang w:val="en-US" w:eastAsia="zh-CN"/>
                    </w:rPr>
                    <w:t>8</w:t>
                  </w:r>
                  <w:r>
                    <w:rPr>
                      <w:rFonts w:hint="eastAsia"/>
                      <w:color w:val="auto"/>
                      <w:szCs w:val="21"/>
                    </w:rPr>
                    <w:t>（单台</w:t>
                  </w:r>
                  <w:r>
                    <w:rPr>
                      <w:rFonts w:hint="eastAsia"/>
                      <w:color w:val="auto"/>
                      <w:szCs w:val="21"/>
                      <w:lang w:val="en-US" w:eastAsia="zh-CN"/>
                    </w:rPr>
                    <w:t>73</w:t>
                  </w:r>
                  <w:r>
                    <w:rPr>
                      <w:rFonts w:hint="eastAsia"/>
                      <w:color w:val="auto"/>
                      <w:szCs w:val="21"/>
                    </w:rPr>
                    <w:t>）</w:t>
                  </w:r>
                </w:p>
              </w:tc>
              <w:tc>
                <w:tcPr>
                  <w:tcW w:w="445" w:type="dxa"/>
                  <w:vMerge w:val="continue"/>
                  <w:tcBorders>
                    <w:left w:val="single" w:color="auto" w:sz="4" w:space="0"/>
                    <w:right w:val="single" w:color="auto" w:sz="4" w:space="0"/>
                  </w:tcBorders>
                  <w:vAlign w:val="center"/>
                </w:tcPr>
                <w:p w14:paraId="6750777B">
                  <w:pPr>
                    <w:pStyle w:val="32"/>
                    <w:spacing w:before="0" w:beforeAutospacing="0" w:after="0" w:afterAutospacing="0"/>
                    <w:jc w:val="center"/>
                    <w:rPr>
                      <w:rFonts w:ascii="Times New Roman" w:hAnsi="Times New Roman"/>
                      <w:color w:val="auto"/>
                      <w:sz w:val="21"/>
                      <w:szCs w:val="21"/>
                    </w:rPr>
                  </w:pPr>
                </w:p>
              </w:tc>
              <w:tc>
                <w:tcPr>
                  <w:tcW w:w="689" w:type="dxa"/>
                  <w:vMerge w:val="restart"/>
                  <w:tcBorders>
                    <w:left w:val="single" w:color="auto" w:sz="4" w:space="0"/>
                    <w:right w:val="single" w:color="auto" w:sz="4" w:space="0"/>
                  </w:tcBorders>
                  <w:vAlign w:val="center"/>
                </w:tcPr>
                <w:p w14:paraId="5AAE9F16">
                  <w:pPr>
                    <w:jc w:val="center"/>
                    <w:rPr>
                      <w:color w:val="auto"/>
                      <w:szCs w:val="21"/>
                    </w:rPr>
                  </w:pPr>
                  <w:r>
                    <w:rPr>
                      <w:rFonts w:hint="eastAsia"/>
                      <w:color w:val="auto"/>
                      <w:szCs w:val="21"/>
                    </w:rPr>
                    <w:t>29</w:t>
                  </w:r>
                </w:p>
              </w:tc>
              <w:tc>
                <w:tcPr>
                  <w:tcW w:w="689" w:type="dxa"/>
                  <w:vMerge w:val="restart"/>
                  <w:tcBorders>
                    <w:left w:val="single" w:color="auto" w:sz="4" w:space="0"/>
                    <w:right w:val="single" w:color="auto" w:sz="4" w:space="0"/>
                  </w:tcBorders>
                  <w:vAlign w:val="center"/>
                </w:tcPr>
                <w:p w14:paraId="5CC53280">
                  <w:pPr>
                    <w:jc w:val="center"/>
                    <w:rPr>
                      <w:color w:val="auto"/>
                      <w:szCs w:val="21"/>
                    </w:rPr>
                  </w:pPr>
                  <w:r>
                    <w:rPr>
                      <w:rFonts w:hint="eastAsia"/>
                      <w:color w:val="auto"/>
                      <w:szCs w:val="21"/>
                    </w:rPr>
                    <w:t>-2.5</w:t>
                  </w:r>
                </w:p>
              </w:tc>
              <w:tc>
                <w:tcPr>
                  <w:tcW w:w="370" w:type="dxa"/>
                  <w:vMerge w:val="restart"/>
                  <w:tcBorders>
                    <w:left w:val="single" w:color="auto" w:sz="4" w:space="0"/>
                    <w:right w:val="single" w:color="auto" w:sz="4" w:space="0"/>
                  </w:tcBorders>
                  <w:vAlign w:val="center"/>
                </w:tcPr>
                <w:p w14:paraId="6518EBF3">
                  <w:pPr>
                    <w:jc w:val="center"/>
                    <w:rPr>
                      <w:color w:val="auto"/>
                      <w:szCs w:val="21"/>
                    </w:rPr>
                  </w:pPr>
                  <w:r>
                    <w:rPr>
                      <w:rFonts w:hint="eastAsia"/>
                      <w:color w:val="auto"/>
                      <w:szCs w:val="21"/>
                    </w:rPr>
                    <w:t>1</w:t>
                  </w:r>
                </w:p>
              </w:tc>
              <w:tc>
                <w:tcPr>
                  <w:tcW w:w="465" w:type="dxa"/>
                  <w:tcBorders>
                    <w:top w:val="single" w:color="auto" w:sz="4" w:space="0"/>
                    <w:left w:val="single" w:color="auto" w:sz="4" w:space="0"/>
                    <w:bottom w:val="single" w:color="auto" w:sz="4" w:space="0"/>
                    <w:right w:val="single" w:color="auto" w:sz="4" w:space="0"/>
                  </w:tcBorders>
                  <w:vAlign w:val="center"/>
                </w:tcPr>
                <w:p w14:paraId="1BB8ED44">
                  <w:pPr>
                    <w:jc w:val="center"/>
                    <w:rPr>
                      <w:color w:val="auto"/>
                      <w:szCs w:val="21"/>
                    </w:rPr>
                  </w:pPr>
                  <w:r>
                    <w:rPr>
                      <w:color w:val="auto"/>
                      <w:szCs w:val="21"/>
                    </w:rPr>
                    <w:t>东</w:t>
                  </w:r>
                </w:p>
              </w:tc>
              <w:tc>
                <w:tcPr>
                  <w:tcW w:w="572" w:type="dxa"/>
                  <w:tcBorders>
                    <w:top w:val="single" w:color="auto" w:sz="4" w:space="0"/>
                    <w:left w:val="single" w:color="auto" w:sz="4" w:space="0"/>
                    <w:bottom w:val="single" w:color="auto" w:sz="4" w:space="0"/>
                    <w:right w:val="single" w:color="auto" w:sz="4" w:space="0"/>
                  </w:tcBorders>
                  <w:vAlign w:val="center"/>
                </w:tcPr>
                <w:p w14:paraId="389D4572">
                  <w:pPr>
                    <w:jc w:val="center"/>
                    <w:rPr>
                      <w:color w:val="auto"/>
                      <w:szCs w:val="21"/>
                    </w:rPr>
                  </w:pPr>
                  <w:r>
                    <w:rPr>
                      <w:rFonts w:hint="eastAsia"/>
                      <w:color w:val="auto"/>
                      <w:szCs w:val="21"/>
                    </w:rPr>
                    <w:t>5</w:t>
                  </w:r>
                </w:p>
              </w:tc>
              <w:tc>
                <w:tcPr>
                  <w:tcW w:w="620" w:type="dxa"/>
                  <w:tcBorders>
                    <w:left w:val="single" w:color="auto" w:sz="4" w:space="0"/>
                    <w:bottom w:val="single" w:color="auto" w:sz="4" w:space="0"/>
                    <w:right w:val="single" w:color="auto" w:sz="4" w:space="0"/>
                  </w:tcBorders>
                  <w:vAlign w:val="center"/>
                </w:tcPr>
                <w:p w14:paraId="1A5E0663">
                  <w:pPr>
                    <w:jc w:val="center"/>
                    <w:rPr>
                      <w:color w:val="auto"/>
                      <w:szCs w:val="21"/>
                    </w:rPr>
                  </w:pPr>
                  <w:r>
                    <w:rPr>
                      <w:rFonts w:hint="eastAsia"/>
                      <w:color w:val="auto"/>
                      <w:szCs w:val="21"/>
                      <w:lang w:val="en-US" w:eastAsia="zh-CN"/>
                    </w:rPr>
                    <w:t>57</w:t>
                  </w:r>
                  <w:r>
                    <w:rPr>
                      <w:rFonts w:hint="eastAsia"/>
                      <w:color w:val="auto"/>
                      <w:szCs w:val="21"/>
                    </w:rPr>
                    <w:t>.1</w:t>
                  </w:r>
                </w:p>
              </w:tc>
              <w:tc>
                <w:tcPr>
                  <w:tcW w:w="582" w:type="dxa"/>
                  <w:vMerge w:val="continue"/>
                  <w:tcBorders>
                    <w:left w:val="single" w:color="auto" w:sz="4" w:space="0"/>
                    <w:right w:val="single" w:color="auto" w:sz="4" w:space="0"/>
                  </w:tcBorders>
                  <w:vAlign w:val="center"/>
                </w:tcPr>
                <w:p w14:paraId="17E24C2F">
                  <w:pPr>
                    <w:jc w:val="center"/>
                    <w:rPr>
                      <w:color w:val="auto"/>
                      <w:szCs w:val="21"/>
                    </w:rPr>
                  </w:pPr>
                </w:p>
              </w:tc>
              <w:tc>
                <w:tcPr>
                  <w:tcW w:w="692" w:type="dxa"/>
                  <w:vMerge w:val="continue"/>
                  <w:tcBorders>
                    <w:left w:val="single" w:color="auto" w:sz="4" w:space="0"/>
                    <w:right w:val="single" w:color="auto" w:sz="4" w:space="0"/>
                  </w:tcBorders>
                  <w:vAlign w:val="center"/>
                </w:tcPr>
                <w:p w14:paraId="0C1AA5D2">
                  <w:pPr>
                    <w:jc w:val="center"/>
                    <w:rPr>
                      <w:color w:val="auto"/>
                      <w:szCs w:val="21"/>
                    </w:rPr>
                  </w:pPr>
                </w:p>
              </w:tc>
              <w:tc>
                <w:tcPr>
                  <w:tcW w:w="652" w:type="dxa"/>
                  <w:vMerge w:val="continue"/>
                  <w:tcBorders>
                    <w:left w:val="single" w:color="auto" w:sz="4" w:space="0"/>
                    <w:right w:val="single" w:color="auto" w:sz="4" w:space="0"/>
                  </w:tcBorders>
                  <w:vAlign w:val="center"/>
                </w:tcPr>
                <w:p w14:paraId="61664FD3">
                  <w:pPr>
                    <w:jc w:val="center"/>
                    <w:rPr>
                      <w:color w:val="auto"/>
                      <w:szCs w:val="21"/>
                    </w:rPr>
                  </w:pPr>
                </w:p>
              </w:tc>
              <w:tc>
                <w:tcPr>
                  <w:tcW w:w="662" w:type="dxa"/>
                  <w:vMerge w:val="continue"/>
                  <w:tcBorders>
                    <w:left w:val="single" w:color="auto" w:sz="4" w:space="0"/>
                    <w:right w:val="single" w:color="auto" w:sz="4" w:space="0"/>
                  </w:tcBorders>
                  <w:vAlign w:val="center"/>
                </w:tcPr>
                <w:p w14:paraId="06390AF6">
                  <w:pPr>
                    <w:rPr>
                      <w:color w:val="auto"/>
                      <w:szCs w:val="21"/>
                    </w:rPr>
                  </w:pPr>
                </w:p>
              </w:tc>
            </w:tr>
            <w:tr w14:paraId="0320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2399441A">
                  <w:pPr>
                    <w:jc w:val="center"/>
                    <w:rPr>
                      <w:color w:val="auto"/>
                      <w:szCs w:val="21"/>
                    </w:rPr>
                  </w:pPr>
                </w:p>
              </w:tc>
              <w:tc>
                <w:tcPr>
                  <w:tcW w:w="471" w:type="dxa"/>
                  <w:vMerge w:val="continue"/>
                  <w:tcBorders>
                    <w:left w:val="single" w:color="auto" w:sz="4" w:space="0"/>
                    <w:right w:val="single" w:color="auto" w:sz="4" w:space="0"/>
                  </w:tcBorders>
                  <w:vAlign w:val="center"/>
                </w:tcPr>
                <w:p w14:paraId="0B128CD2">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422DE3B2">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023BA2E6">
                  <w:pPr>
                    <w:jc w:val="center"/>
                    <w:rPr>
                      <w:color w:val="auto"/>
                      <w:szCs w:val="21"/>
                    </w:rPr>
                  </w:pPr>
                </w:p>
              </w:tc>
              <w:tc>
                <w:tcPr>
                  <w:tcW w:w="445" w:type="dxa"/>
                  <w:vMerge w:val="continue"/>
                  <w:tcBorders>
                    <w:left w:val="single" w:color="auto" w:sz="4" w:space="0"/>
                    <w:right w:val="single" w:color="auto" w:sz="4" w:space="0"/>
                  </w:tcBorders>
                  <w:vAlign w:val="center"/>
                </w:tcPr>
                <w:p w14:paraId="1BDA7C19">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365DA3C4">
                  <w:pPr>
                    <w:jc w:val="center"/>
                    <w:rPr>
                      <w:color w:val="auto"/>
                      <w:szCs w:val="21"/>
                    </w:rPr>
                  </w:pPr>
                </w:p>
              </w:tc>
              <w:tc>
                <w:tcPr>
                  <w:tcW w:w="689" w:type="dxa"/>
                  <w:vMerge w:val="continue"/>
                  <w:tcBorders>
                    <w:left w:val="single" w:color="auto" w:sz="4" w:space="0"/>
                    <w:right w:val="single" w:color="auto" w:sz="4" w:space="0"/>
                  </w:tcBorders>
                  <w:vAlign w:val="center"/>
                </w:tcPr>
                <w:p w14:paraId="793D0581">
                  <w:pPr>
                    <w:jc w:val="center"/>
                    <w:rPr>
                      <w:color w:val="auto"/>
                      <w:szCs w:val="21"/>
                    </w:rPr>
                  </w:pPr>
                </w:p>
              </w:tc>
              <w:tc>
                <w:tcPr>
                  <w:tcW w:w="370" w:type="dxa"/>
                  <w:vMerge w:val="continue"/>
                  <w:tcBorders>
                    <w:left w:val="single" w:color="auto" w:sz="4" w:space="0"/>
                    <w:right w:val="single" w:color="auto" w:sz="4" w:space="0"/>
                  </w:tcBorders>
                  <w:vAlign w:val="center"/>
                </w:tcPr>
                <w:p w14:paraId="62ADA748">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643D4A5A">
                  <w:pPr>
                    <w:jc w:val="center"/>
                    <w:rPr>
                      <w:color w:val="auto"/>
                      <w:szCs w:val="21"/>
                    </w:rPr>
                  </w:pPr>
                  <w:r>
                    <w:rPr>
                      <w:color w:val="auto"/>
                      <w:szCs w:val="21"/>
                    </w:rPr>
                    <w:t>南</w:t>
                  </w:r>
                </w:p>
              </w:tc>
              <w:tc>
                <w:tcPr>
                  <w:tcW w:w="572" w:type="dxa"/>
                  <w:tcBorders>
                    <w:top w:val="single" w:color="auto" w:sz="4" w:space="0"/>
                    <w:left w:val="single" w:color="auto" w:sz="4" w:space="0"/>
                    <w:bottom w:val="single" w:color="auto" w:sz="4" w:space="0"/>
                    <w:right w:val="single" w:color="auto" w:sz="4" w:space="0"/>
                  </w:tcBorders>
                  <w:vAlign w:val="center"/>
                </w:tcPr>
                <w:p w14:paraId="206CC4B6">
                  <w:pPr>
                    <w:jc w:val="center"/>
                    <w:rPr>
                      <w:color w:val="auto"/>
                      <w:szCs w:val="21"/>
                    </w:rPr>
                  </w:pPr>
                  <w:r>
                    <w:rPr>
                      <w:rFonts w:hint="eastAsia"/>
                      <w:color w:val="auto"/>
                      <w:szCs w:val="21"/>
                    </w:rPr>
                    <w:t>20</w:t>
                  </w:r>
                </w:p>
              </w:tc>
              <w:tc>
                <w:tcPr>
                  <w:tcW w:w="620" w:type="dxa"/>
                  <w:tcBorders>
                    <w:left w:val="single" w:color="auto" w:sz="4" w:space="0"/>
                    <w:bottom w:val="single" w:color="auto" w:sz="4" w:space="0"/>
                    <w:right w:val="single" w:color="auto" w:sz="4" w:space="0"/>
                  </w:tcBorders>
                  <w:vAlign w:val="center"/>
                </w:tcPr>
                <w:p w14:paraId="13D8A7AB">
                  <w:pPr>
                    <w:jc w:val="center"/>
                    <w:rPr>
                      <w:color w:val="auto"/>
                      <w:szCs w:val="21"/>
                    </w:rPr>
                  </w:pPr>
                  <w:r>
                    <w:rPr>
                      <w:rFonts w:hint="eastAsia"/>
                      <w:color w:val="auto"/>
                      <w:szCs w:val="21"/>
                      <w:lang w:val="en-US" w:eastAsia="zh-CN"/>
                    </w:rPr>
                    <w:t>55</w:t>
                  </w:r>
                  <w:r>
                    <w:rPr>
                      <w:rFonts w:hint="eastAsia"/>
                      <w:color w:val="auto"/>
                      <w:szCs w:val="21"/>
                    </w:rPr>
                    <w:t>.1</w:t>
                  </w:r>
                </w:p>
              </w:tc>
              <w:tc>
                <w:tcPr>
                  <w:tcW w:w="582" w:type="dxa"/>
                  <w:vMerge w:val="continue"/>
                  <w:tcBorders>
                    <w:left w:val="single" w:color="auto" w:sz="4" w:space="0"/>
                    <w:right w:val="single" w:color="auto" w:sz="4" w:space="0"/>
                  </w:tcBorders>
                  <w:vAlign w:val="center"/>
                </w:tcPr>
                <w:p w14:paraId="7F146B8C">
                  <w:pPr>
                    <w:jc w:val="center"/>
                    <w:rPr>
                      <w:color w:val="auto"/>
                      <w:szCs w:val="21"/>
                    </w:rPr>
                  </w:pPr>
                </w:p>
              </w:tc>
              <w:tc>
                <w:tcPr>
                  <w:tcW w:w="692" w:type="dxa"/>
                  <w:vMerge w:val="continue"/>
                  <w:tcBorders>
                    <w:left w:val="single" w:color="auto" w:sz="4" w:space="0"/>
                    <w:right w:val="single" w:color="auto" w:sz="4" w:space="0"/>
                  </w:tcBorders>
                  <w:vAlign w:val="center"/>
                </w:tcPr>
                <w:p w14:paraId="042310BF">
                  <w:pPr>
                    <w:jc w:val="center"/>
                    <w:rPr>
                      <w:color w:val="auto"/>
                      <w:szCs w:val="21"/>
                    </w:rPr>
                  </w:pPr>
                </w:p>
              </w:tc>
              <w:tc>
                <w:tcPr>
                  <w:tcW w:w="652" w:type="dxa"/>
                  <w:vMerge w:val="continue"/>
                  <w:tcBorders>
                    <w:left w:val="single" w:color="auto" w:sz="4" w:space="0"/>
                    <w:right w:val="single" w:color="auto" w:sz="4" w:space="0"/>
                  </w:tcBorders>
                  <w:vAlign w:val="center"/>
                </w:tcPr>
                <w:p w14:paraId="70667663">
                  <w:pPr>
                    <w:jc w:val="center"/>
                    <w:rPr>
                      <w:color w:val="auto"/>
                      <w:szCs w:val="21"/>
                    </w:rPr>
                  </w:pPr>
                </w:p>
              </w:tc>
              <w:tc>
                <w:tcPr>
                  <w:tcW w:w="662" w:type="dxa"/>
                  <w:vMerge w:val="continue"/>
                  <w:tcBorders>
                    <w:left w:val="single" w:color="auto" w:sz="4" w:space="0"/>
                    <w:right w:val="single" w:color="auto" w:sz="4" w:space="0"/>
                  </w:tcBorders>
                  <w:vAlign w:val="center"/>
                </w:tcPr>
                <w:p w14:paraId="7B1F3333">
                  <w:pPr>
                    <w:rPr>
                      <w:color w:val="auto"/>
                      <w:szCs w:val="21"/>
                    </w:rPr>
                  </w:pPr>
                </w:p>
              </w:tc>
            </w:tr>
            <w:tr w14:paraId="40A5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2DD1270B">
                  <w:pPr>
                    <w:jc w:val="center"/>
                    <w:rPr>
                      <w:color w:val="auto"/>
                      <w:szCs w:val="21"/>
                    </w:rPr>
                  </w:pPr>
                </w:p>
              </w:tc>
              <w:tc>
                <w:tcPr>
                  <w:tcW w:w="471" w:type="dxa"/>
                  <w:vMerge w:val="continue"/>
                  <w:tcBorders>
                    <w:left w:val="single" w:color="auto" w:sz="4" w:space="0"/>
                    <w:right w:val="single" w:color="auto" w:sz="4" w:space="0"/>
                  </w:tcBorders>
                  <w:vAlign w:val="center"/>
                </w:tcPr>
                <w:p w14:paraId="0831935C">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62FC5AFC">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7BA1738A">
                  <w:pPr>
                    <w:jc w:val="center"/>
                    <w:rPr>
                      <w:color w:val="auto"/>
                      <w:szCs w:val="21"/>
                    </w:rPr>
                  </w:pPr>
                </w:p>
              </w:tc>
              <w:tc>
                <w:tcPr>
                  <w:tcW w:w="445" w:type="dxa"/>
                  <w:vMerge w:val="continue"/>
                  <w:tcBorders>
                    <w:left w:val="single" w:color="auto" w:sz="4" w:space="0"/>
                    <w:right w:val="single" w:color="auto" w:sz="4" w:space="0"/>
                  </w:tcBorders>
                  <w:vAlign w:val="center"/>
                </w:tcPr>
                <w:p w14:paraId="61A21A67">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040674FC">
                  <w:pPr>
                    <w:jc w:val="center"/>
                    <w:rPr>
                      <w:color w:val="auto"/>
                      <w:szCs w:val="21"/>
                    </w:rPr>
                  </w:pPr>
                </w:p>
              </w:tc>
              <w:tc>
                <w:tcPr>
                  <w:tcW w:w="689" w:type="dxa"/>
                  <w:vMerge w:val="continue"/>
                  <w:tcBorders>
                    <w:left w:val="single" w:color="auto" w:sz="4" w:space="0"/>
                    <w:right w:val="single" w:color="auto" w:sz="4" w:space="0"/>
                  </w:tcBorders>
                  <w:vAlign w:val="center"/>
                </w:tcPr>
                <w:p w14:paraId="61BF7D0C">
                  <w:pPr>
                    <w:jc w:val="center"/>
                    <w:rPr>
                      <w:color w:val="auto"/>
                      <w:szCs w:val="21"/>
                    </w:rPr>
                  </w:pPr>
                </w:p>
              </w:tc>
              <w:tc>
                <w:tcPr>
                  <w:tcW w:w="370" w:type="dxa"/>
                  <w:vMerge w:val="continue"/>
                  <w:tcBorders>
                    <w:left w:val="single" w:color="auto" w:sz="4" w:space="0"/>
                    <w:right w:val="single" w:color="auto" w:sz="4" w:space="0"/>
                  </w:tcBorders>
                  <w:vAlign w:val="center"/>
                </w:tcPr>
                <w:p w14:paraId="76E73617">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5E45ABA4">
                  <w:pPr>
                    <w:jc w:val="center"/>
                    <w:rPr>
                      <w:color w:val="auto"/>
                      <w:szCs w:val="21"/>
                    </w:rPr>
                  </w:pPr>
                  <w:r>
                    <w:rPr>
                      <w:color w:val="auto"/>
                      <w:szCs w:val="21"/>
                    </w:rPr>
                    <w:t>西</w:t>
                  </w:r>
                </w:p>
              </w:tc>
              <w:tc>
                <w:tcPr>
                  <w:tcW w:w="572" w:type="dxa"/>
                  <w:tcBorders>
                    <w:top w:val="single" w:color="auto" w:sz="4" w:space="0"/>
                    <w:left w:val="single" w:color="auto" w:sz="4" w:space="0"/>
                    <w:bottom w:val="single" w:color="auto" w:sz="4" w:space="0"/>
                    <w:right w:val="single" w:color="auto" w:sz="4" w:space="0"/>
                  </w:tcBorders>
                  <w:vAlign w:val="center"/>
                </w:tcPr>
                <w:p w14:paraId="2AEBCD93">
                  <w:pPr>
                    <w:jc w:val="center"/>
                    <w:rPr>
                      <w:color w:val="auto"/>
                      <w:szCs w:val="21"/>
                    </w:rPr>
                  </w:pPr>
                  <w:r>
                    <w:rPr>
                      <w:rFonts w:hint="eastAsia"/>
                      <w:color w:val="auto"/>
                      <w:szCs w:val="21"/>
                    </w:rPr>
                    <w:t>63</w:t>
                  </w:r>
                </w:p>
              </w:tc>
              <w:tc>
                <w:tcPr>
                  <w:tcW w:w="620" w:type="dxa"/>
                  <w:tcBorders>
                    <w:left w:val="single" w:color="auto" w:sz="4" w:space="0"/>
                    <w:bottom w:val="single" w:color="auto" w:sz="4" w:space="0"/>
                    <w:right w:val="single" w:color="auto" w:sz="4" w:space="0"/>
                  </w:tcBorders>
                  <w:vAlign w:val="center"/>
                </w:tcPr>
                <w:p w14:paraId="2F8591D4">
                  <w:pPr>
                    <w:jc w:val="center"/>
                    <w:rPr>
                      <w:color w:val="auto"/>
                      <w:szCs w:val="21"/>
                    </w:rPr>
                  </w:pPr>
                  <w:r>
                    <w:rPr>
                      <w:rFonts w:hint="eastAsia"/>
                      <w:color w:val="auto"/>
                      <w:szCs w:val="21"/>
                      <w:lang w:val="en-US" w:eastAsia="zh-CN"/>
                    </w:rPr>
                    <w:t>55</w:t>
                  </w:r>
                  <w:r>
                    <w:rPr>
                      <w:rFonts w:hint="eastAsia"/>
                      <w:color w:val="auto"/>
                      <w:szCs w:val="21"/>
                    </w:rPr>
                    <w:t>.0</w:t>
                  </w:r>
                </w:p>
              </w:tc>
              <w:tc>
                <w:tcPr>
                  <w:tcW w:w="582" w:type="dxa"/>
                  <w:vMerge w:val="continue"/>
                  <w:tcBorders>
                    <w:left w:val="single" w:color="auto" w:sz="4" w:space="0"/>
                    <w:right w:val="single" w:color="auto" w:sz="4" w:space="0"/>
                  </w:tcBorders>
                  <w:vAlign w:val="center"/>
                </w:tcPr>
                <w:p w14:paraId="0D03731F">
                  <w:pPr>
                    <w:jc w:val="center"/>
                    <w:rPr>
                      <w:color w:val="auto"/>
                      <w:szCs w:val="21"/>
                    </w:rPr>
                  </w:pPr>
                </w:p>
              </w:tc>
              <w:tc>
                <w:tcPr>
                  <w:tcW w:w="692" w:type="dxa"/>
                  <w:vMerge w:val="continue"/>
                  <w:tcBorders>
                    <w:left w:val="single" w:color="auto" w:sz="4" w:space="0"/>
                    <w:right w:val="single" w:color="auto" w:sz="4" w:space="0"/>
                  </w:tcBorders>
                  <w:vAlign w:val="center"/>
                </w:tcPr>
                <w:p w14:paraId="44191A4B">
                  <w:pPr>
                    <w:jc w:val="center"/>
                    <w:rPr>
                      <w:color w:val="auto"/>
                      <w:szCs w:val="21"/>
                    </w:rPr>
                  </w:pPr>
                </w:p>
              </w:tc>
              <w:tc>
                <w:tcPr>
                  <w:tcW w:w="652" w:type="dxa"/>
                  <w:vMerge w:val="continue"/>
                  <w:tcBorders>
                    <w:left w:val="single" w:color="auto" w:sz="4" w:space="0"/>
                    <w:right w:val="single" w:color="auto" w:sz="4" w:space="0"/>
                  </w:tcBorders>
                  <w:vAlign w:val="center"/>
                </w:tcPr>
                <w:p w14:paraId="327AA46E">
                  <w:pPr>
                    <w:jc w:val="center"/>
                    <w:rPr>
                      <w:color w:val="auto"/>
                      <w:szCs w:val="21"/>
                    </w:rPr>
                  </w:pPr>
                </w:p>
              </w:tc>
              <w:tc>
                <w:tcPr>
                  <w:tcW w:w="662" w:type="dxa"/>
                  <w:vMerge w:val="continue"/>
                  <w:tcBorders>
                    <w:left w:val="single" w:color="auto" w:sz="4" w:space="0"/>
                    <w:right w:val="single" w:color="auto" w:sz="4" w:space="0"/>
                  </w:tcBorders>
                  <w:vAlign w:val="center"/>
                </w:tcPr>
                <w:p w14:paraId="4497E09A">
                  <w:pPr>
                    <w:rPr>
                      <w:color w:val="auto"/>
                      <w:szCs w:val="21"/>
                    </w:rPr>
                  </w:pPr>
                </w:p>
              </w:tc>
            </w:tr>
            <w:tr w14:paraId="732B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4F1942DF">
                  <w:pPr>
                    <w:jc w:val="center"/>
                    <w:rPr>
                      <w:color w:val="auto"/>
                      <w:szCs w:val="21"/>
                    </w:rPr>
                  </w:pPr>
                </w:p>
              </w:tc>
              <w:tc>
                <w:tcPr>
                  <w:tcW w:w="471" w:type="dxa"/>
                  <w:vMerge w:val="continue"/>
                  <w:tcBorders>
                    <w:left w:val="single" w:color="auto" w:sz="4" w:space="0"/>
                    <w:right w:val="single" w:color="auto" w:sz="4" w:space="0"/>
                  </w:tcBorders>
                  <w:vAlign w:val="center"/>
                </w:tcPr>
                <w:p w14:paraId="529476D3">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bottom w:val="single" w:color="auto" w:sz="4" w:space="0"/>
                    <w:right w:val="single" w:color="auto" w:sz="4" w:space="0"/>
                  </w:tcBorders>
                  <w:vAlign w:val="center"/>
                </w:tcPr>
                <w:p w14:paraId="76D3A33E">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bottom w:val="single" w:color="auto" w:sz="4" w:space="0"/>
                    <w:right w:val="single" w:color="auto" w:sz="4" w:space="0"/>
                  </w:tcBorders>
                  <w:vAlign w:val="center"/>
                </w:tcPr>
                <w:p w14:paraId="1551B911">
                  <w:pPr>
                    <w:jc w:val="center"/>
                    <w:rPr>
                      <w:color w:val="auto"/>
                      <w:szCs w:val="21"/>
                    </w:rPr>
                  </w:pPr>
                </w:p>
              </w:tc>
              <w:tc>
                <w:tcPr>
                  <w:tcW w:w="445" w:type="dxa"/>
                  <w:vMerge w:val="continue"/>
                  <w:tcBorders>
                    <w:left w:val="single" w:color="auto" w:sz="4" w:space="0"/>
                    <w:right w:val="single" w:color="auto" w:sz="4" w:space="0"/>
                  </w:tcBorders>
                  <w:vAlign w:val="center"/>
                </w:tcPr>
                <w:p w14:paraId="24D680CB">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570DFF13">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269767E0">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31E49DA0">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097BA12D">
                  <w:pPr>
                    <w:jc w:val="center"/>
                    <w:rPr>
                      <w:color w:val="auto"/>
                      <w:szCs w:val="21"/>
                    </w:rPr>
                  </w:pPr>
                  <w:r>
                    <w:rPr>
                      <w:color w:val="auto"/>
                      <w:szCs w:val="21"/>
                    </w:rPr>
                    <w:t>北</w:t>
                  </w:r>
                </w:p>
              </w:tc>
              <w:tc>
                <w:tcPr>
                  <w:tcW w:w="572" w:type="dxa"/>
                  <w:tcBorders>
                    <w:top w:val="single" w:color="auto" w:sz="4" w:space="0"/>
                    <w:left w:val="single" w:color="auto" w:sz="4" w:space="0"/>
                    <w:bottom w:val="single" w:color="auto" w:sz="4" w:space="0"/>
                    <w:right w:val="single" w:color="auto" w:sz="4" w:space="0"/>
                  </w:tcBorders>
                  <w:vAlign w:val="center"/>
                </w:tcPr>
                <w:p w14:paraId="583CDCE6">
                  <w:pPr>
                    <w:jc w:val="center"/>
                    <w:rPr>
                      <w:color w:val="auto"/>
                      <w:szCs w:val="21"/>
                    </w:rPr>
                  </w:pPr>
                  <w:r>
                    <w:rPr>
                      <w:rFonts w:hint="eastAsia"/>
                      <w:color w:val="auto"/>
                      <w:szCs w:val="21"/>
                    </w:rPr>
                    <w:t>25</w:t>
                  </w:r>
                </w:p>
              </w:tc>
              <w:tc>
                <w:tcPr>
                  <w:tcW w:w="620" w:type="dxa"/>
                  <w:tcBorders>
                    <w:left w:val="single" w:color="auto" w:sz="4" w:space="0"/>
                    <w:bottom w:val="single" w:color="auto" w:sz="4" w:space="0"/>
                    <w:right w:val="single" w:color="auto" w:sz="4" w:space="0"/>
                  </w:tcBorders>
                  <w:vAlign w:val="center"/>
                </w:tcPr>
                <w:p w14:paraId="75F8F5B0">
                  <w:pPr>
                    <w:jc w:val="center"/>
                    <w:rPr>
                      <w:color w:val="auto"/>
                      <w:szCs w:val="21"/>
                    </w:rPr>
                  </w:pPr>
                  <w:r>
                    <w:rPr>
                      <w:rFonts w:hint="eastAsia"/>
                      <w:color w:val="auto"/>
                      <w:szCs w:val="21"/>
                      <w:lang w:val="en-US" w:eastAsia="zh-CN"/>
                    </w:rPr>
                    <w:t>55</w:t>
                  </w:r>
                  <w:r>
                    <w:rPr>
                      <w:rFonts w:hint="eastAsia"/>
                      <w:color w:val="auto"/>
                      <w:szCs w:val="21"/>
                    </w:rPr>
                    <w:t>.0</w:t>
                  </w:r>
                </w:p>
              </w:tc>
              <w:tc>
                <w:tcPr>
                  <w:tcW w:w="582" w:type="dxa"/>
                  <w:vMerge w:val="continue"/>
                  <w:tcBorders>
                    <w:left w:val="single" w:color="auto" w:sz="4" w:space="0"/>
                    <w:right w:val="single" w:color="auto" w:sz="4" w:space="0"/>
                  </w:tcBorders>
                  <w:vAlign w:val="center"/>
                </w:tcPr>
                <w:p w14:paraId="16E4CE37">
                  <w:pPr>
                    <w:jc w:val="center"/>
                    <w:rPr>
                      <w:color w:val="auto"/>
                      <w:szCs w:val="21"/>
                    </w:rPr>
                  </w:pPr>
                </w:p>
              </w:tc>
              <w:tc>
                <w:tcPr>
                  <w:tcW w:w="692" w:type="dxa"/>
                  <w:vMerge w:val="continue"/>
                  <w:tcBorders>
                    <w:left w:val="single" w:color="auto" w:sz="4" w:space="0"/>
                    <w:right w:val="single" w:color="auto" w:sz="4" w:space="0"/>
                  </w:tcBorders>
                  <w:vAlign w:val="center"/>
                </w:tcPr>
                <w:p w14:paraId="3B5EA769">
                  <w:pPr>
                    <w:jc w:val="center"/>
                    <w:rPr>
                      <w:color w:val="auto"/>
                      <w:szCs w:val="21"/>
                    </w:rPr>
                  </w:pPr>
                </w:p>
              </w:tc>
              <w:tc>
                <w:tcPr>
                  <w:tcW w:w="652" w:type="dxa"/>
                  <w:vMerge w:val="continue"/>
                  <w:tcBorders>
                    <w:left w:val="single" w:color="auto" w:sz="4" w:space="0"/>
                    <w:right w:val="single" w:color="auto" w:sz="4" w:space="0"/>
                  </w:tcBorders>
                  <w:vAlign w:val="center"/>
                </w:tcPr>
                <w:p w14:paraId="67827EDC">
                  <w:pPr>
                    <w:jc w:val="center"/>
                    <w:rPr>
                      <w:color w:val="auto"/>
                      <w:szCs w:val="21"/>
                    </w:rPr>
                  </w:pPr>
                </w:p>
              </w:tc>
              <w:tc>
                <w:tcPr>
                  <w:tcW w:w="662" w:type="dxa"/>
                  <w:vMerge w:val="continue"/>
                  <w:tcBorders>
                    <w:left w:val="single" w:color="auto" w:sz="4" w:space="0"/>
                    <w:right w:val="single" w:color="auto" w:sz="4" w:space="0"/>
                  </w:tcBorders>
                  <w:vAlign w:val="center"/>
                </w:tcPr>
                <w:p w14:paraId="4C7AF1F4">
                  <w:pPr>
                    <w:rPr>
                      <w:color w:val="auto"/>
                      <w:szCs w:val="21"/>
                    </w:rPr>
                  </w:pPr>
                </w:p>
              </w:tc>
            </w:tr>
            <w:tr w14:paraId="38CD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restart"/>
                  <w:tcBorders>
                    <w:left w:val="single" w:color="auto" w:sz="4" w:space="0"/>
                    <w:right w:val="single" w:color="auto" w:sz="4" w:space="0"/>
                  </w:tcBorders>
                  <w:vAlign w:val="center"/>
                </w:tcPr>
                <w:p w14:paraId="60AE2A9A">
                  <w:pPr>
                    <w:jc w:val="center"/>
                    <w:rPr>
                      <w:color w:val="auto"/>
                      <w:szCs w:val="21"/>
                    </w:rPr>
                  </w:pPr>
                  <w:r>
                    <w:rPr>
                      <w:rFonts w:hint="eastAsia"/>
                      <w:color w:val="auto"/>
                      <w:szCs w:val="21"/>
                    </w:rPr>
                    <w:t>6</w:t>
                  </w:r>
                </w:p>
              </w:tc>
              <w:tc>
                <w:tcPr>
                  <w:tcW w:w="471" w:type="dxa"/>
                  <w:vMerge w:val="continue"/>
                  <w:tcBorders>
                    <w:left w:val="single" w:color="auto" w:sz="4" w:space="0"/>
                    <w:right w:val="single" w:color="auto" w:sz="4" w:space="0"/>
                  </w:tcBorders>
                  <w:vAlign w:val="center"/>
                </w:tcPr>
                <w:p w14:paraId="769F5F12">
                  <w:pPr>
                    <w:pStyle w:val="32"/>
                    <w:spacing w:before="0" w:beforeAutospacing="0" w:after="0" w:afterAutospacing="0"/>
                    <w:jc w:val="center"/>
                    <w:rPr>
                      <w:rFonts w:ascii="Times New Roman" w:hAnsi="Times New Roman"/>
                      <w:color w:val="auto"/>
                      <w:sz w:val="21"/>
                      <w:szCs w:val="21"/>
                    </w:rPr>
                  </w:pPr>
                </w:p>
              </w:tc>
              <w:tc>
                <w:tcPr>
                  <w:tcW w:w="691" w:type="dxa"/>
                  <w:vMerge w:val="restart"/>
                  <w:tcBorders>
                    <w:left w:val="single" w:color="auto" w:sz="4" w:space="0"/>
                    <w:right w:val="single" w:color="auto" w:sz="4" w:space="0"/>
                  </w:tcBorders>
                  <w:vAlign w:val="center"/>
                </w:tcPr>
                <w:p w14:paraId="1E8950F9">
                  <w:pPr>
                    <w:pStyle w:val="32"/>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eastAsia="zh-CN"/>
                    </w:rPr>
                    <w:t>切管机</w:t>
                  </w:r>
                  <w:r>
                    <w:rPr>
                      <w:rFonts w:hint="eastAsia" w:ascii="Times New Roman" w:hAnsi="Times New Roman"/>
                      <w:color w:val="auto"/>
                      <w:sz w:val="21"/>
                      <w:szCs w:val="21"/>
                    </w:rPr>
                    <w:t>（4台）</w:t>
                  </w:r>
                </w:p>
              </w:tc>
              <w:tc>
                <w:tcPr>
                  <w:tcW w:w="733" w:type="dxa"/>
                  <w:vMerge w:val="restart"/>
                  <w:tcBorders>
                    <w:left w:val="single" w:color="auto" w:sz="4" w:space="0"/>
                    <w:right w:val="single" w:color="auto" w:sz="4" w:space="0"/>
                  </w:tcBorders>
                  <w:vAlign w:val="center"/>
                </w:tcPr>
                <w:p w14:paraId="7A0220AA">
                  <w:pPr>
                    <w:jc w:val="center"/>
                    <w:rPr>
                      <w:color w:val="auto"/>
                      <w:szCs w:val="21"/>
                    </w:rPr>
                  </w:pPr>
                  <w:r>
                    <w:rPr>
                      <w:rFonts w:hint="eastAsia"/>
                      <w:color w:val="auto"/>
                      <w:szCs w:val="21"/>
                      <w:lang w:val="en-US" w:eastAsia="zh-CN"/>
                    </w:rPr>
                    <w:t>92</w:t>
                  </w:r>
                  <w:r>
                    <w:rPr>
                      <w:rFonts w:hint="eastAsia"/>
                      <w:color w:val="auto"/>
                      <w:szCs w:val="21"/>
                    </w:rPr>
                    <w:t>（单台</w:t>
                  </w:r>
                  <w:r>
                    <w:rPr>
                      <w:rFonts w:hint="eastAsia"/>
                      <w:color w:val="auto"/>
                      <w:szCs w:val="21"/>
                      <w:lang w:val="en-US" w:eastAsia="zh-CN"/>
                    </w:rPr>
                    <w:t>78</w:t>
                  </w:r>
                  <w:r>
                    <w:rPr>
                      <w:rFonts w:hint="eastAsia"/>
                      <w:color w:val="auto"/>
                      <w:szCs w:val="21"/>
                    </w:rPr>
                    <w:t>）</w:t>
                  </w:r>
                </w:p>
              </w:tc>
              <w:tc>
                <w:tcPr>
                  <w:tcW w:w="445" w:type="dxa"/>
                  <w:vMerge w:val="continue"/>
                  <w:tcBorders>
                    <w:left w:val="single" w:color="auto" w:sz="4" w:space="0"/>
                    <w:right w:val="single" w:color="auto" w:sz="4" w:space="0"/>
                  </w:tcBorders>
                  <w:vAlign w:val="center"/>
                </w:tcPr>
                <w:p w14:paraId="230E3965">
                  <w:pPr>
                    <w:pStyle w:val="32"/>
                    <w:spacing w:before="0" w:beforeAutospacing="0" w:after="0" w:afterAutospacing="0"/>
                    <w:jc w:val="center"/>
                    <w:rPr>
                      <w:rFonts w:ascii="Times New Roman" w:hAnsi="Times New Roman"/>
                      <w:color w:val="auto"/>
                      <w:sz w:val="21"/>
                      <w:szCs w:val="21"/>
                    </w:rPr>
                  </w:pPr>
                </w:p>
              </w:tc>
              <w:tc>
                <w:tcPr>
                  <w:tcW w:w="689" w:type="dxa"/>
                  <w:vMerge w:val="restart"/>
                  <w:tcBorders>
                    <w:left w:val="single" w:color="auto" w:sz="4" w:space="0"/>
                    <w:right w:val="single" w:color="auto" w:sz="4" w:space="0"/>
                  </w:tcBorders>
                  <w:vAlign w:val="center"/>
                </w:tcPr>
                <w:p w14:paraId="40D9BDA6">
                  <w:pPr>
                    <w:jc w:val="center"/>
                    <w:rPr>
                      <w:color w:val="auto"/>
                      <w:szCs w:val="21"/>
                    </w:rPr>
                  </w:pPr>
                  <w:r>
                    <w:rPr>
                      <w:rFonts w:hint="eastAsia"/>
                      <w:color w:val="auto"/>
                      <w:szCs w:val="21"/>
                    </w:rPr>
                    <w:t>29</w:t>
                  </w:r>
                </w:p>
              </w:tc>
              <w:tc>
                <w:tcPr>
                  <w:tcW w:w="689" w:type="dxa"/>
                  <w:vMerge w:val="restart"/>
                  <w:tcBorders>
                    <w:left w:val="single" w:color="auto" w:sz="4" w:space="0"/>
                    <w:right w:val="single" w:color="auto" w:sz="4" w:space="0"/>
                  </w:tcBorders>
                  <w:vAlign w:val="center"/>
                </w:tcPr>
                <w:p w14:paraId="68675B3C">
                  <w:pPr>
                    <w:jc w:val="center"/>
                    <w:rPr>
                      <w:color w:val="auto"/>
                      <w:szCs w:val="21"/>
                    </w:rPr>
                  </w:pPr>
                  <w:r>
                    <w:rPr>
                      <w:rFonts w:hint="eastAsia"/>
                      <w:color w:val="auto"/>
                      <w:szCs w:val="21"/>
                    </w:rPr>
                    <w:t>2.5</w:t>
                  </w:r>
                </w:p>
              </w:tc>
              <w:tc>
                <w:tcPr>
                  <w:tcW w:w="370" w:type="dxa"/>
                  <w:vMerge w:val="restart"/>
                  <w:tcBorders>
                    <w:left w:val="single" w:color="auto" w:sz="4" w:space="0"/>
                    <w:right w:val="single" w:color="auto" w:sz="4" w:space="0"/>
                  </w:tcBorders>
                  <w:vAlign w:val="center"/>
                </w:tcPr>
                <w:p w14:paraId="16A40A13">
                  <w:pPr>
                    <w:jc w:val="center"/>
                    <w:rPr>
                      <w:color w:val="auto"/>
                      <w:szCs w:val="21"/>
                    </w:rPr>
                  </w:pPr>
                  <w:r>
                    <w:rPr>
                      <w:rFonts w:hint="eastAsia"/>
                      <w:color w:val="auto"/>
                      <w:szCs w:val="21"/>
                    </w:rPr>
                    <w:t>1</w:t>
                  </w:r>
                </w:p>
              </w:tc>
              <w:tc>
                <w:tcPr>
                  <w:tcW w:w="465" w:type="dxa"/>
                  <w:tcBorders>
                    <w:top w:val="single" w:color="auto" w:sz="4" w:space="0"/>
                    <w:left w:val="single" w:color="auto" w:sz="4" w:space="0"/>
                    <w:bottom w:val="single" w:color="auto" w:sz="4" w:space="0"/>
                    <w:right w:val="single" w:color="auto" w:sz="4" w:space="0"/>
                  </w:tcBorders>
                  <w:vAlign w:val="center"/>
                </w:tcPr>
                <w:p w14:paraId="63E92E4F">
                  <w:pPr>
                    <w:jc w:val="center"/>
                    <w:rPr>
                      <w:color w:val="auto"/>
                      <w:szCs w:val="21"/>
                    </w:rPr>
                  </w:pPr>
                  <w:r>
                    <w:rPr>
                      <w:color w:val="auto"/>
                      <w:szCs w:val="21"/>
                    </w:rPr>
                    <w:t>东</w:t>
                  </w:r>
                </w:p>
              </w:tc>
              <w:tc>
                <w:tcPr>
                  <w:tcW w:w="572" w:type="dxa"/>
                  <w:tcBorders>
                    <w:top w:val="single" w:color="auto" w:sz="4" w:space="0"/>
                    <w:left w:val="single" w:color="auto" w:sz="4" w:space="0"/>
                    <w:bottom w:val="single" w:color="auto" w:sz="4" w:space="0"/>
                    <w:right w:val="single" w:color="auto" w:sz="4" w:space="0"/>
                  </w:tcBorders>
                  <w:vAlign w:val="center"/>
                </w:tcPr>
                <w:p w14:paraId="55B3F706">
                  <w:pPr>
                    <w:jc w:val="center"/>
                    <w:rPr>
                      <w:color w:val="auto"/>
                      <w:szCs w:val="21"/>
                    </w:rPr>
                  </w:pPr>
                  <w:r>
                    <w:rPr>
                      <w:rFonts w:hint="eastAsia"/>
                      <w:color w:val="auto"/>
                      <w:szCs w:val="21"/>
                    </w:rPr>
                    <w:t>5</w:t>
                  </w:r>
                </w:p>
              </w:tc>
              <w:tc>
                <w:tcPr>
                  <w:tcW w:w="620" w:type="dxa"/>
                  <w:tcBorders>
                    <w:left w:val="single" w:color="auto" w:sz="4" w:space="0"/>
                    <w:bottom w:val="single" w:color="auto" w:sz="4" w:space="0"/>
                    <w:right w:val="single" w:color="auto" w:sz="4" w:space="0"/>
                  </w:tcBorders>
                  <w:vAlign w:val="center"/>
                </w:tcPr>
                <w:p w14:paraId="3B9E34B6">
                  <w:pPr>
                    <w:jc w:val="center"/>
                    <w:rPr>
                      <w:color w:val="auto"/>
                      <w:szCs w:val="21"/>
                    </w:rPr>
                  </w:pPr>
                  <w:r>
                    <w:rPr>
                      <w:rFonts w:hint="eastAsia"/>
                      <w:color w:val="auto"/>
                      <w:szCs w:val="21"/>
                      <w:lang w:val="en-US" w:eastAsia="zh-CN"/>
                    </w:rPr>
                    <w:t>71</w:t>
                  </w:r>
                  <w:r>
                    <w:rPr>
                      <w:rFonts w:hint="eastAsia"/>
                      <w:color w:val="auto"/>
                      <w:szCs w:val="21"/>
                    </w:rPr>
                    <w:t>.1</w:t>
                  </w:r>
                </w:p>
              </w:tc>
              <w:tc>
                <w:tcPr>
                  <w:tcW w:w="582" w:type="dxa"/>
                  <w:vMerge w:val="continue"/>
                  <w:tcBorders>
                    <w:left w:val="single" w:color="auto" w:sz="4" w:space="0"/>
                    <w:right w:val="single" w:color="auto" w:sz="4" w:space="0"/>
                  </w:tcBorders>
                  <w:vAlign w:val="center"/>
                </w:tcPr>
                <w:p w14:paraId="799D1A09">
                  <w:pPr>
                    <w:jc w:val="center"/>
                    <w:rPr>
                      <w:color w:val="auto"/>
                      <w:szCs w:val="21"/>
                    </w:rPr>
                  </w:pPr>
                </w:p>
              </w:tc>
              <w:tc>
                <w:tcPr>
                  <w:tcW w:w="692" w:type="dxa"/>
                  <w:vMerge w:val="continue"/>
                  <w:tcBorders>
                    <w:left w:val="single" w:color="auto" w:sz="4" w:space="0"/>
                    <w:right w:val="single" w:color="auto" w:sz="4" w:space="0"/>
                  </w:tcBorders>
                  <w:vAlign w:val="center"/>
                </w:tcPr>
                <w:p w14:paraId="3A97B550">
                  <w:pPr>
                    <w:jc w:val="center"/>
                    <w:rPr>
                      <w:color w:val="auto"/>
                      <w:szCs w:val="21"/>
                    </w:rPr>
                  </w:pPr>
                </w:p>
              </w:tc>
              <w:tc>
                <w:tcPr>
                  <w:tcW w:w="652" w:type="dxa"/>
                  <w:vMerge w:val="continue"/>
                  <w:tcBorders>
                    <w:left w:val="single" w:color="auto" w:sz="4" w:space="0"/>
                    <w:right w:val="single" w:color="auto" w:sz="4" w:space="0"/>
                  </w:tcBorders>
                  <w:vAlign w:val="center"/>
                </w:tcPr>
                <w:p w14:paraId="76BC647E">
                  <w:pPr>
                    <w:jc w:val="center"/>
                    <w:rPr>
                      <w:color w:val="auto"/>
                      <w:szCs w:val="21"/>
                    </w:rPr>
                  </w:pPr>
                </w:p>
              </w:tc>
              <w:tc>
                <w:tcPr>
                  <w:tcW w:w="662" w:type="dxa"/>
                  <w:vMerge w:val="continue"/>
                  <w:tcBorders>
                    <w:left w:val="single" w:color="auto" w:sz="4" w:space="0"/>
                    <w:right w:val="single" w:color="auto" w:sz="4" w:space="0"/>
                  </w:tcBorders>
                  <w:vAlign w:val="center"/>
                </w:tcPr>
                <w:p w14:paraId="6C660AB0">
                  <w:pPr>
                    <w:rPr>
                      <w:color w:val="auto"/>
                      <w:szCs w:val="21"/>
                    </w:rPr>
                  </w:pPr>
                </w:p>
              </w:tc>
            </w:tr>
            <w:tr w14:paraId="294D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4B40E78E">
                  <w:pPr>
                    <w:jc w:val="center"/>
                    <w:rPr>
                      <w:color w:val="auto"/>
                      <w:szCs w:val="21"/>
                    </w:rPr>
                  </w:pPr>
                </w:p>
              </w:tc>
              <w:tc>
                <w:tcPr>
                  <w:tcW w:w="471" w:type="dxa"/>
                  <w:vMerge w:val="continue"/>
                  <w:tcBorders>
                    <w:left w:val="single" w:color="auto" w:sz="4" w:space="0"/>
                    <w:right w:val="single" w:color="auto" w:sz="4" w:space="0"/>
                  </w:tcBorders>
                  <w:vAlign w:val="center"/>
                </w:tcPr>
                <w:p w14:paraId="75203DF9">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4DEB0DE3">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61F9C40B">
                  <w:pPr>
                    <w:jc w:val="center"/>
                    <w:rPr>
                      <w:color w:val="auto"/>
                      <w:szCs w:val="21"/>
                    </w:rPr>
                  </w:pPr>
                </w:p>
              </w:tc>
              <w:tc>
                <w:tcPr>
                  <w:tcW w:w="445" w:type="dxa"/>
                  <w:vMerge w:val="continue"/>
                  <w:tcBorders>
                    <w:left w:val="single" w:color="auto" w:sz="4" w:space="0"/>
                    <w:right w:val="single" w:color="auto" w:sz="4" w:space="0"/>
                  </w:tcBorders>
                  <w:vAlign w:val="center"/>
                </w:tcPr>
                <w:p w14:paraId="468E501D">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2E4EB243">
                  <w:pPr>
                    <w:jc w:val="center"/>
                    <w:rPr>
                      <w:color w:val="auto"/>
                      <w:szCs w:val="21"/>
                    </w:rPr>
                  </w:pPr>
                </w:p>
              </w:tc>
              <w:tc>
                <w:tcPr>
                  <w:tcW w:w="689" w:type="dxa"/>
                  <w:vMerge w:val="continue"/>
                  <w:tcBorders>
                    <w:left w:val="single" w:color="auto" w:sz="4" w:space="0"/>
                    <w:right w:val="single" w:color="auto" w:sz="4" w:space="0"/>
                  </w:tcBorders>
                  <w:vAlign w:val="center"/>
                </w:tcPr>
                <w:p w14:paraId="28888B3A">
                  <w:pPr>
                    <w:jc w:val="center"/>
                    <w:rPr>
                      <w:color w:val="auto"/>
                      <w:szCs w:val="21"/>
                    </w:rPr>
                  </w:pPr>
                </w:p>
              </w:tc>
              <w:tc>
                <w:tcPr>
                  <w:tcW w:w="370" w:type="dxa"/>
                  <w:vMerge w:val="continue"/>
                  <w:tcBorders>
                    <w:left w:val="single" w:color="auto" w:sz="4" w:space="0"/>
                    <w:right w:val="single" w:color="auto" w:sz="4" w:space="0"/>
                  </w:tcBorders>
                  <w:vAlign w:val="center"/>
                </w:tcPr>
                <w:p w14:paraId="2C442CB4">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690FA877">
                  <w:pPr>
                    <w:jc w:val="center"/>
                    <w:rPr>
                      <w:color w:val="auto"/>
                      <w:szCs w:val="21"/>
                    </w:rPr>
                  </w:pPr>
                  <w:r>
                    <w:rPr>
                      <w:color w:val="auto"/>
                      <w:szCs w:val="21"/>
                    </w:rPr>
                    <w:t>南</w:t>
                  </w:r>
                </w:p>
              </w:tc>
              <w:tc>
                <w:tcPr>
                  <w:tcW w:w="572" w:type="dxa"/>
                  <w:tcBorders>
                    <w:top w:val="single" w:color="auto" w:sz="4" w:space="0"/>
                    <w:left w:val="single" w:color="auto" w:sz="4" w:space="0"/>
                    <w:bottom w:val="single" w:color="auto" w:sz="4" w:space="0"/>
                    <w:right w:val="single" w:color="auto" w:sz="4" w:space="0"/>
                  </w:tcBorders>
                  <w:vAlign w:val="center"/>
                </w:tcPr>
                <w:p w14:paraId="0EDEFAFE">
                  <w:pPr>
                    <w:jc w:val="center"/>
                    <w:rPr>
                      <w:color w:val="auto"/>
                      <w:szCs w:val="21"/>
                    </w:rPr>
                  </w:pPr>
                  <w:r>
                    <w:rPr>
                      <w:rFonts w:hint="eastAsia"/>
                      <w:color w:val="auto"/>
                      <w:szCs w:val="21"/>
                    </w:rPr>
                    <w:t>25</w:t>
                  </w:r>
                </w:p>
              </w:tc>
              <w:tc>
                <w:tcPr>
                  <w:tcW w:w="620" w:type="dxa"/>
                  <w:tcBorders>
                    <w:left w:val="single" w:color="auto" w:sz="4" w:space="0"/>
                    <w:bottom w:val="single" w:color="auto" w:sz="4" w:space="0"/>
                    <w:right w:val="single" w:color="auto" w:sz="4" w:space="0"/>
                  </w:tcBorders>
                  <w:vAlign w:val="center"/>
                </w:tcPr>
                <w:p w14:paraId="12F9F3EA">
                  <w:pPr>
                    <w:jc w:val="center"/>
                    <w:rPr>
                      <w:color w:val="auto"/>
                      <w:szCs w:val="21"/>
                    </w:rPr>
                  </w:pPr>
                  <w:r>
                    <w:rPr>
                      <w:rFonts w:hint="eastAsia"/>
                      <w:color w:val="auto"/>
                      <w:szCs w:val="21"/>
                    </w:rPr>
                    <w:t>6</w:t>
                  </w:r>
                  <w:r>
                    <w:rPr>
                      <w:rFonts w:hint="eastAsia"/>
                      <w:color w:val="auto"/>
                      <w:szCs w:val="21"/>
                      <w:lang w:val="en-US" w:eastAsia="zh-CN"/>
                    </w:rPr>
                    <w:t>9</w:t>
                  </w:r>
                  <w:r>
                    <w:rPr>
                      <w:rFonts w:hint="eastAsia"/>
                      <w:color w:val="auto"/>
                      <w:szCs w:val="21"/>
                    </w:rPr>
                    <w:t>.1</w:t>
                  </w:r>
                </w:p>
              </w:tc>
              <w:tc>
                <w:tcPr>
                  <w:tcW w:w="582" w:type="dxa"/>
                  <w:vMerge w:val="continue"/>
                  <w:tcBorders>
                    <w:left w:val="single" w:color="auto" w:sz="4" w:space="0"/>
                    <w:right w:val="single" w:color="auto" w:sz="4" w:space="0"/>
                  </w:tcBorders>
                  <w:vAlign w:val="center"/>
                </w:tcPr>
                <w:p w14:paraId="76639ED1">
                  <w:pPr>
                    <w:jc w:val="center"/>
                    <w:rPr>
                      <w:color w:val="auto"/>
                      <w:szCs w:val="21"/>
                    </w:rPr>
                  </w:pPr>
                </w:p>
              </w:tc>
              <w:tc>
                <w:tcPr>
                  <w:tcW w:w="692" w:type="dxa"/>
                  <w:vMerge w:val="continue"/>
                  <w:tcBorders>
                    <w:left w:val="single" w:color="auto" w:sz="4" w:space="0"/>
                    <w:right w:val="single" w:color="auto" w:sz="4" w:space="0"/>
                  </w:tcBorders>
                  <w:vAlign w:val="center"/>
                </w:tcPr>
                <w:p w14:paraId="38A272AE">
                  <w:pPr>
                    <w:jc w:val="center"/>
                    <w:rPr>
                      <w:color w:val="auto"/>
                      <w:szCs w:val="21"/>
                    </w:rPr>
                  </w:pPr>
                </w:p>
              </w:tc>
              <w:tc>
                <w:tcPr>
                  <w:tcW w:w="652" w:type="dxa"/>
                  <w:vMerge w:val="continue"/>
                  <w:tcBorders>
                    <w:left w:val="single" w:color="auto" w:sz="4" w:space="0"/>
                    <w:right w:val="single" w:color="auto" w:sz="4" w:space="0"/>
                  </w:tcBorders>
                  <w:vAlign w:val="center"/>
                </w:tcPr>
                <w:p w14:paraId="5A9867D6">
                  <w:pPr>
                    <w:jc w:val="center"/>
                    <w:rPr>
                      <w:color w:val="auto"/>
                      <w:szCs w:val="21"/>
                    </w:rPr>
                  </w:pPr>
                </w:p>
              </w:tc>
              <w:tc>
                <w:tcPr>
                  <w:tcW w:w="662" w:type="dxa"/>
                  <w:vMerge w:val="continue"/>
                  <w:tcBorders>
                    <w:left w:val="single" w:color="auto" w:sz="4" w:space="0"/>
                    <w:right w:val="single" w:color="auto" w:sz="4" w:space="0"/>
                  </w:tcBorders>
                  <w:vAlign w:val="center"/>
                </w:tcPr>
                <w:p w14:paraId="4B173DB5">
                  <w:pPr>
                    <w:rPr>
                      <w:color w:val="auto"/>
                      <w:szCs w:val="21"/>
                    </w:rPr>
                  </w:pPr>
                </w:p>
              </w:tc>
            </w:tr>
            <w:tr w14:paraId="4D7F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7B292029">
                  <w:pPr>
                    <w:jc w:val="center"/>
                    <w:rPr>
                      <w:color w:val="auto"/>
                      <w:szCs w:val="21"/>
                    </w:rPr>
                  </w:pPr>
                </w:p>
              </w:tc>
              <w:tc>
                <w:tcPr>
                  <w:tcW w:w="471" w:type="dxa"/>
                  <w:vMerge w:val="continue"/>
                  <w:tcBorders>
                    <w:left w:val="single" w:color="auto" w:sz="4" w:space="0"/>
                    <w:right w:val="single" w:color="auto" w:sz="4" w:space="0"/>
                  </w:tcBorders>
                  <w:vAlign w:val="center"/>
                </w:tcPr>
                <w:p w14:paraId="0507A3CC">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713933E5">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7664622A">
                  <w:pPr>
                    <w:jc w:val="center"/>
                    <w:rPr>
                      <w:color w:val="auto"/>
                      <w:szCs w:val="21"/>
                    </w:rPr>
                  </w:pPr>
                </w:p>
              </w:tc>
              <w:tc>
                <w:tcPr>
                  <w:tcW w:w="445" w:type="dxa"/>
                  <w:vMerge w:val="continue"/>
                  <w:tcBorders>
                    <w:left w:val="single" w:color="auto" w:sz="4" w:space="0"/>
                    <w:right w:val="single" w:color="auto" w:sz="4" w:space="0"/>
                  </w:tcBorders>
                  <w:vAlign w:val="center"/>
                </w:tcPr>
                <w:p w14:paraId="257C4BD4">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0C7F93C8">
                  <w:pPr>
                    <w:jc w:val="center"/>
                    <w:rPr>
                      <w:color w:val="auto"/>
                      <w:szCs w:val="21"/>
                    </w:rPr>
                  </w:pPr>
                </w:p>
              </w:tc>
              <w:tc>
                <w:tcPr>
                  <w:tcW w:w="689" w:type="dxa"/>
                  <w:vMerge w:val="continue"/>
                  <w:tcBorders>
                    <w:left w:val="single" w:color="auto" w:sz="4" w:space="0"/>
                    <w:right w:val="single" w:color="auto" w:sz="4" w:space="0"/>
                  </w:tcBorders>
                  <w:vAlign w:val="center"/>
                </w:tcPr>
                <w:p w14:paraId="1A11E6A3">
                  <w:pPr>
                    <w:jc w:val="center"/>
                    <w:rPr>
                      <w:color w:val="auto"/>
                      <w:szCs w:val="21"/>
                    </w:rPr>
                  </w:pPr>
                </w:p>
              </w:tc>
              <w:tc>
                <w:tcPr>
                  <w:tcW w:w="370" w:type="dxa"/>
                  <w:vMerge w:val="continue"/>
                  <w:tcBorders>
                    <w:left w:val="single" w:color="auto" w:sz="4" w:space="0"/>
                    <w:right w:val="single" w:color="auto" w:sz="4" w:space="0"/>
                  </w:tcBorders>
                  <w:vAlign w:val="center"/>
                </w:tcPr>
                <w:p w14:paraId="7B32A2A9">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6C5F92E0">
                  <w:pPr>
                    <w:jc w:val="center"/>
                    <w:rPr>
                      <w:color w:val="auto"/>
                      <w:szCs w:val="21"/>
                    </w:rPr>
                  </w:pPr>
                  <w:r>
                    <w:rPr>
                      <w:color w:val="auto"/>
                      <w:szCs w:val="21"/>
                    </w:rPr>
                    <w:t>西</w:t>
                  </w:r>
                </w:p>
              </w:tc>
              <w:tc>
                <w:tcPr>
                  <w:tcW w:w="572" w:type="dxa"/>
                  <w:tcBorders>
                    <w:top w:val="single" w:color="auto" w:sz="4" w:space="0"/>
                    <w:left w:val="single" w:color="auto" w:sz="4" w:space="0"/>
                    <w:bottom w:val="single" w:color="auto" w:sz="4" w:space="0"/>
                    <w:right w:val="single" w:color="auto" w:sz="4" w:space="0"/>
                  </w:tcBorders>
                  <w:vAlign w:val="center"/>
                </w:tcPr>
                <w:p w14:paraId="4995D54E">
                  <w:pPr>
                    <w:jc w:val="center"/>
                    <w:rPr>
                      <w:color w:val="auto"/>
                      <w:szCs w:val="21"/>
                    </w:rPr>
                  </w:pPr>
                  <w:r>
                    <w:rPr>
                      <w:rFonts w:hint="eastAsia"/>
                      <w:color w:val="auto"/>
                      <w:szCs w:val="21"/>
                    </w:rPr>
                    <w:t>63</w:t>
                  </w:r>
                </w:p>
              </w:tc>
              <w:tc>
                <w:tcPr>
                  <w:tcW w:w="620" w:type="dxa"/>
                  <w:tcBorders>
                    <w:left w:val="single" w:color="auto" w:sz="4" w:space="0"/>
                    <w:bottom w:val="single" w:color="auto" w:sz="4" w:space="0"/>
                    <w:right w:val="single" w:color="auto" w:sz="4" w:space="0"/>
                  </w:tcBorders>
                  <w:vAlign w:val="center"/>
                </w:tcPr>
                <w:p w14:paraId="02D89929">
                  <w:pPr>
                    <w:jc w:val="center"/>
                    <w:rPr>
                      <w:color w:val="auto"/>
                      <w:szCs w:val="21"/>
                    </w:rPr>
                  </w:pPr>
                  <w:r>
                    <w:rPr>
                      <w:rFonts w:hint="eastAsia"/>
                      <w:color w:val="auto"/>
                      <w:szCs w:val="21"/>
                    </w:rPr>
                    <w:t>6</w:t>
                  </w:r>
                  <w:r>
                    <w:rPr>
                      <w:rFonts w:hint="eastAsia"/>
                      <w:color w:val="auto"/>
                      <w:szCs w:val="21"/>
                      <w:lang w:val="en-US" w:eastAsia="zh-CN"/>
                    </w:rPr>
                    <w:t>9</w:t>
                  </w:r>
                  <w:r>
                    <w:rPr>
                      <w:rFonts w:hint="eastAsia"/>
                      <w:color w:val="auto"/>
                      <w:szCs w:val="21"/>
                    </w:rPr>
                    <w:t>.0</w:t>
                  </w:r>
                </w:p>
              </w:tc>
              <w:tc>
                <w:tcPr>
                  <w:tcW w:w="582" w:type="dxa"/>
                  <w:vMerge w:val="continue"/>
                  <w:tcBorders>
                    <w:left w:val="single" w:color="auto" w:sz="4" w:space="0"/>
                    <w:right w:val="single" w:color="auto" w:sz="4" w:space="0"/>
                  </w:tcBorders>
                  <w:vAlign w:val="center"/>
                </w:tcPr>
                <w:p w14:paraId="01FE0EC3">
                  <w:pPr>
                    <w:jc w:val="center"/>
                    <w:rPr>
                      <w:color w:val="auto"/>
                      <w:szCs w:val="21"/>
                    </w:rPr>
                  </w:pPr>
                </w:p>
              </w:tc>
              <w:tc>
                <w:tcPr>
                  <w:tcW w:w="692" w:type="dxa"/>
                  <w:vMerge w:val="continue"/>
                  <w:tcBorders>
                    <w:left w:val="single" w:color="auto" w:sz="4" w:space="0"/>
                    <w:right w:val="single" w:color="auto" w:sz="4" w:space="0"/>
                  </w:tcBorders>
                  <w:vAlign w:val="center"/>
                </w:tcPr>
                <w:p w14:paraId="0BDFAE26">
                  <w:pPr>
                    <w:jc w:val="center"/>
                    <w:rPr>
                      <w:color w:val="auto"/>
                      <w:szCs w:val="21"/>
                    </w:rPr>
                  </w:pPr>
                </w:p>
              </w:tc>
              <w:tc>
                <w:tcPr>
                  <w:tcW w:w="652" w:type="dxa"/>
                  <w:vMerge w:val="continue"/>
                  <w:tcBorders>
                    <w:left w:val="single" w:color="auto" w:sz="4" w:space="0"/>
                    <w:right w:val="single" w:color="auto" w:sz="4" w:space="0"/>
                  </w:tcBorders>
                  <w:vAlign w:val="center"/>
                </w:tcPr>
                <w:p w14:paraId="03950C56">
                  <w:pPr>
                    <w:jc w:val="center"/>
                    <w:rPr>
                      <w:color w:val="auto"/>
                      <w:szCs w:val="21"/>
                    </w:rPr>
                  </w:pPr>
                </w:p>
              </w:tc>
              <w:tc>
                <w:tcPr>
                  <w:tcW w:w="662" w:type="dxa"/>
                  <w:vMerge w:val="continue"/>
                  <w:tcBorders>
                    <w:left w:val="single" w:color="auto" w:sz="4" w:space="0"/>
                    <w:right w:val="single" w:color="auto" w:sz="4" w:space="0"/>
                  </w:tcBorders>
                  <w:vAlign w:val="center"/>
                </w:tcPr>
                <w:p w14:paraId="31D2F7BA">
                  <w:pPr>
                    <w:rPr>
                      <w:color w:val="auto"/>
                      <w:szCs w:val="21"/>
                    </w:rPr>
                  </w:pPr>
                </w:p>
              </w:tc>
            </w:tr>
            <w:tr w14:paraId="5867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3877FECE">
                  <w:pPr>
                    <w:jc w:val="center"/>
                    <w:rPr>
                      <w:color w:val="auto"/>
                      <w:szCs w:val="21"/>
                    </w:rPr>
                  </w:pPr>
                </w:p>
              </w:tc>
              <w:tc>
                <w:tcPr>
                  <w:tcW w:w="471" w:type="dxa"/>
                  <w:vMerge w:val="continue"/>
                  <w:tcBorders>
                    <w:left w:val="single" w:color="auto" w:sz="4" w:space="0"/>
                    <w:right w:val="single" w:color="auto" w:sz="4" w:space="0"/>
                  </w:tcBorders>
                  <w:vAlign w:val="center"/>
                </w:tcPr>
                <w:p w14:paraId="1D118A92">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bottom w:val="single" w:color="auto" w:sz="4" w:space="0"/>
                    <w:right w:val="single" w:color="auto" w:sz="4" w:space="0"/>
                  </w:tcBorders>
                  <w:vAlign w:val="center"/>
                </w:tcPr>
                <w:p w14:paraId="5697FF93">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bottom w:val="single" w:color="auto" w:sz="4" w:space="0"/>
                    <w:right w:val="single" w:color="auto" w:sz="4" w:space="0"/>
                  </w:tcBorders>
                  <w:vAlign w:val="center"/>
                </w:tcPr>
                <w:p w14:paraId="72D2BE8C">
                  <w:pPr>
                    <w:jc w:val="center"/>
                    <w:rPr>
                      <w:color w:val="auto"/>
                      <w:szCs w:val="21"/>
                    </w:rPr>
                  </w:pPr>
                </w:p>
              </w:tc>
              <w:tc>
                <w:tcPr>
                  <w:tcW w:w="445" w:type="dxa"/>
                  <w:vMerge w:val="continue"/>
                  <w:tcBorders>
                    <w:left w:val="single" w:color="auto" w:sz="4" w:space="0"/>
                    <w:right w:val="single" w:color="auto" w:sz="4" w:space="0"/>
                  </w:tcBorders>
                  <w:vAlign w:val="center"/>
                </w:tcPr>
                <w:p w14:paraId="4BEDE154">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24EA8564">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359EEC87">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0525F569">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32F1A7BB">
                  <w:pPr>
                    <w:jc w:val="center"/>
                    <w:rPr>
                      <w:color w:val="auto"/>
                      <w:szCs w:val="21"/>
                    </w:rPr>
                  </w:pPr>
                  <w:r>
                    <w:rPr>
                      <w:color w:val="auto"/>
                      <w:szCs w:val="21"/>
                    </w:rPr>
                    <w:t>北</w:t>
                  </w:r>
                </w:p>
              </w:tc>
              <w:tc>
                <w:tcPr>
                  <w:tcW w:w="572" w:type="dxa"/>
                  <w:tcBorders>
                    <w:top w:val="single" w:color="auto" w:sz="4" w:space="0"/>
                    <w:left w:val="single" w:color="auto" w:sz="4" w:space="0"/>
                    <w:bottom w:val="single" w:color="auto" w:sz="4" w:space="0"/>
                    <w:right w:val="single" w:color="auto" w:sz="4" w:space="0"/>
                  </w:tcBorders>
                  <w:vAlign w:val="center"/>
                </w:tcPr>
                <w:p w14:paraId="79BAF6B8">
                  <w:pPr>
                    <w:jc w:val="center"/>
                    <w:rPr>
                      <w:color w:val="auto"/>
                      <w:szCs w:val="21"/>
                    </w:rPr>
                  </w:pPr>
                  <w:r>
                    <w:rPr>
                      <w:rFonts w:hint="eastAsia"/>
                      <w:color w:val="auto"/>
                      <w:szCs w:val="21"/>
                    </w:rPr>
                    <w:t>20</w:t>
                  </w:r>
                </w:p>
              </w:tc>
              <w:tc>
                <w:tcPr>
                  <w:tcW w:w="620" w:type="dxa"/>
                  <w:tcBorders>
                    <w:left w:val="single" w:color="auto" w:sz="4" w:space="0"/>
                    <w:bottom w:val="single" w:color="auto" w:sz="4" w:space="0"/>
                    <w:right w:val="single" w:color="auto" w:sz="4" w:space="0"/>
                  </w:tcBorders>
                  <w:vAlign w:val="center"/>
                </w:tcPr>
                <w:p w14:paraId="508BDE3C">
                  <w:pPr>
                    <w:jc w:val="center"/>
                    <w:rPr>
                      <w:color w:val="auto"/>
                      <w:szCs w:val="21"/>
                    </w:rPr>
                  </w:pPr>
                  <w:r>
                    <w:rPr>
                      <w:rFonts w:hint="eastAsia"/>
                      <w:color w:val="auto"/>
                      <w:szCs w:val="21"/>
                    </w:rPr>
                    <w:t>6</w:t>
                  </w:r>
                  <w:r>
                    <w:rPr>
                      <w:rFonts w:hint="eastAsia"/>
                      <w:color w:val="auto"/>
                      <w:szCs w:val="21"/>
                      <w:lang w:val="en-US" w:eastAsia="zh-CN"/>
                    </w:rPr>
                    <w:t>9</w:t>
                  </w:r>
                  <w:r>
                    <w:rPr>
                      <w:rFonts w:hint="eastAsia"/>
                      <w:color w:val="auto"/>
                      <w:szCs w:val="21"/>
                    </w:rPr>
                    <w:t>.1</w:t>
                  </w:r>
                </w:p>
              </w:tc>
              <w:tc>
                <w:tcPr>
                  <w:tcW w:w="582" w:type="dxa"/>
                  <w:vMerge w:val="continue"/>
                  <w:tcBorders>
                    <w:left w:val="single" w:color="auto" w:sz="4" w:space="0"/>
                    <w:right w:val="single" w:color="auto" w:sz="4" w:space="0"/>
                  </w:tcBorders>
                  <w:vAlign w:val="center"/>
                </w:tcPr>
                <w:p w14:paraId="23187BBC">
                  <w:pPr>
                    <w:jc w:val="center"/>
                    <w:rPr>
                      <w:color w:val="auto"/>
                      <w:szCs w:val="21"/>
                    </w:rPr>
                  </w:pPr>
                </w:p>
              </w:tc>
              <w:tc>
                <w:tcPr>
                  <w:tcW w:w="692" w:type="dxa"/>
                  <w:vMerge w:val="continue"/>
                  <w:tcBorders>
                    <w:left w:val="single" w:color="auto" w:sz="4" w:space="0"/>
                    <w:right w:val="single" w:color="auto" w:sz="4" w:space="0"/>
                  </w:tcBorders>
                  <w:vAlign w:val="center"/>
                </w:tcPr>
                <w:p w14:paraId="730D4D87">
                  <w:pPr>
                    <w:jc w:val="center"/>
                    <w:rPr>
                      <w:color w:val="auto"/>
                      <w:szCs w:val="21"/>
                    </w:rPr>
                  </w:pPr>
                </w:p>
              </w:tc>
              <w:tc>
                <w:tcPr>
                  <w:tcW w:w="652" w:type="dxa"/>
                  <w:vMerge w:val="continue"/>
                  <w:tcBorders>
                    <w:left w:val="single" w:color="auto" w:sz="4" w:space="0"/>
                    <w:right w:val="single" w:color="auto" w:sz="4" w:space="0"/>
                  </w:tcBorders>
                  <w:vAlign w:val="center"/>
                </w:tcPr>
                <w:p w14:paraId="3B2A21F5">
                  <w:pPr>
                    <w:jc w:val="center"/>
                    <w:rPr>
                      <w:color w:val="auto"/>
                      <w:szCs w:val="21"/>
                    </w:rPr>
                  </w:pPr>
                </w:p>
              </w:tc>
              <w:tc>
                <w:tcPr>
                  <w:tcW w:w="662" w:type="dxa"/>
                  <w:vMerge w:val="continue"/>
                  <w:tcBorders>
                    <w:left w:val="single" w:color="auto" w:sz="4" w:space="0"/>
                    <w:right w:val="single" w:color="auto" w:sz="4" w:space="0"/>
                  </w:tcBorders>
                  <w:vAlign w:val="center"/>
                </w:tcPr>
                <w:p w14:paraId="571AA121">
                  <w:pPr>
                    <w:rPr>
                      <w:color w:val="auto"/>
                      <w:szCs w:val="21"/>
                    </w:rPr>
                  </w:pPr>
                </w:p>
              </w:tc>
            </w:tr>
            <w:tr w14:paraId="2527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restart"/>
                  <w:tcBorders>
                    <w:left w:val="single" w:color="auto" w:sz="4" w:space="0"/>
                    <w:right w:val="single" w:color="auto" w:sz="4" w:space="0"/>
                  </w:tcBorders>
                  <w:vAlign w:val="center"/>
                </w:tcPr>
                <w:p w14:paraId="1A088BA8">
                  <w:pPr>
                    <w:jc w:val="center"/>
                    <w:rPr>
                      <w:color w:val="auto"/>
                      <w:szCs w:val="21"/>
                    </w:rPr>
                  </w:pPr>
                  <w:r>
                    <w:rPr>
                      <w:rFonts w:hint="eastAsia"/>
                      <w:color w:val="auto"/>
                      <w:szCs w:val="21"/>
                    </w:rPr>
                    <w:t>7</w:t>
                  </w:r>
                </w:p>
              </w:tc>
              <w:tc>
                <w:tcPr>
                  <w:tcW w:w="471" w:type="dxa"/>
                  <w:vMerge w:val="continue"/>
                  <w:tcBorders>
                    <w:left w:val="single" w:color="auto" w:sz="4" w:space="0"/>
                    <w:right w:val="single" w:color="auto" w:sz="4" w:space="0"/>
                  </w:tcBorders>
                  <w:vAlign w:val="center"/>
                </w:tcPr>
                <w:p w14:paraId="0D399A46">
                  <w:pPr>
                    <w:pStyle w:val="32"/>
                    <w:spacing w:before="0" w:beforeAutospacing="0" w:after="0" w:afterAutospacing="0"/>
                    <w:jc w:val="center"/>
                    <w:rPr>
                      <w:rFonts w:ascii="Times New Roman" w:hAnsi="Times New Roman"/>
                      <w:color w:val="auto"/>
                      <w:sz w:val="21"/>
                      <w:szCs w:val="21"/>
                    </w:rPr>
                  </w:pPr>
                </w:p>
              </w:tc>
              <w:tc>
                <w:tcPr>
                  <w:tcW w:w="691" w:type="dxa"/>
                  <w:vMerge w:val="restart"/>
                  <w:tcBorders>
                    <w:left w:val="single" w:color="auto" w:sz="4" w:space="0"/>
                    <w:right w:val="single" w:color="auto" w:sz="4" w:space="0"/>
                  </w:tcBorders>
                  <w:vAlign w:val="center"/>
                </w:tcPr>
                <w:p w14:paraId="581B1467">
                  <w:pPr>
                    <w:pStyle w:val="32"/>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eastAsia="zh-CN"/>
                    </w:rPr>
                    <w:t>数控车床</w:t>
                  </w:r>
                  <w:r>
                    <w:rPr>
                      <w:rFonts w:hint="eastAsia" w:ascii="Times New Roman" w:hAnsi="Times New Roman"/>
                      <w:color w:val="auto"/>
                      <w:sz w:val="21"/>
                      <w:szCs w:val="21"/>
                    </w:rPr>
                    <w:t>（2条）</w:t>
                  </w:r>
                </w:p>
              </w:tc>
              <w:tc>
                <w:tcPr>
                  <w:tcW w:w="733" w:type="dxa"/>
                  <w:vMerge w:val="restart"/>
                  <w:tcBorders>
                    <w:left w:val="single" w:color="auto" w:sz="4" w:space="0"/>
                    <w:right w:val="single" w:color="auto" w:sz="4" w:space="0"/>
                  </w:tcBorders>
                  <w:vAlign w:val="center"/>
                </w:tcPr>
                <w:p w14:paraId="2119CC08">
                  <w:pPr>
                    <w:jc w:val="center"/>
                    <w:rPr>
                      <w:color w:val="auto"/>
                      <w:szCs w:val="21"/>
                    </w:rPr>
                  </w:pPr>
                  <w:r>
                    <w:rPr>
                      <w:rFonts w:hint="eastAsia"/>
                      <w:color w:val="auto"/>
                      <w:szCs w:val="21"/>
                      <w:lang w:val="en-US" w:eastAsia="zh-CN"/>
                    </w:rPr>
                    <w:t>86</w:t>
                  </w:r>
                  <w:r>
                    <w:rPr>
                      <w:rFonts w:hint="eastAsia"/>
                      <w:color w:val="auto"/>
                      <w:szCs w:val="21"/>
                    </w:rPr>
                    <w:t>（单台</w:t>
                  </w:r>
                  <w:r>
                    <w:rPr>
                      <w:rFonts w:hint="eastAsia"/>
                      <w:color w:val="auto"/>
                      <w:szCs w:val="21"/>
                      <w:lang w:val="en-US" w:eastAsia="zh-CN"/>
                    </w:rPr>
                    <w:t>83</w:t>
                  </w:r>
                  <w:r>
                    <w:rPr>
                      <w:rFonts w:hint="eastAsia"/>
                      <w:color w:val="auto"/>
                      <w:szCs w:val="21"/>
                    </w:rPr>
                    <w:t>）</w:t>
                  </w:r>
                </w:p>
              </w:tc>
              <w:tc>
                <w:tcPr>
                  <w:tcW w:w="445" w:type="dxa"/>
                  <w:vMerge w:val="continue"/>
                  <w:tcBorders>
                    <w:left w:val="single" w:color="auto" w:sz="4" w:space="0"/>
                    <w:right w:val="single" w:color="auto" w:sz="4" w:space="0"/>
                  </w:tcBorders>
                  <w:vAlign w:val="center"/>
                </w:tcPr>
                <w:p w14:paraId="0DD8712B">
                  <w:pPr>
                    <w:pStyle w:val="32"/>
                    <w:spacing w:before="0" w:beforeAutospacing="0" w:after="0" w:afterAutospacing="0"/>
                    <w:jc w:val="center"/>
                    <w:rPr>
                      <w:rFonts w:ascii="Times New Roman" w:hAnsi="Times New Roman"/>
                      <w:color w:val="auto"/>
                      <w:sz w:val="21"/>
                      <w:szCs w:val="21"/>
                    </w:rPr>
                  </w:pPr>
                </w:p>
              </w:tc>
              <w:tc>
                <w:tcPr>
                  <w:tcW w:w="689" w:type="dxa"/>
                  <w:vMerge w:val="restart"/>
                  <w:tcBorders>
                    <w:left w:val="single" w:color="auto" w:sz="4" w:space="0"/>
                    <w:right w:val="single" w:color="auto" w:sz="4" w:space="0"/>
                  </w:tcBorders>
                  <w:vAlign w:val="center"/>
                </w:tcPr>
                <w:p w14:paraId="6C5C1571">
                  <w:pPr>
                    <w:jc w:val="center"/>
                    <w:rPr>
                      <w:color w:val="auto"/>
                      <w:szCs w:val="21"/>
                    </w:rPr>
                  </w:pPr>
                  <w:r>
                    <w:rPr>
                      <w:rFonts w:hint="eastAsia"/>
                      <w:color w:val="auto"/>
                      <w:szCs w:val="21"/>
                    </w:rPr>
                    <w:t>29</w:t>
                  </w:r>
                </w:p>
              </w:tc>
              <w:tc>
                <w:tcPr>
                  <w:tcW w:w="689" w:type="dxa"/>
                  <w:vMerge w:val="restart"/>
                  <w:tcBorders>
                    <w:left w:val="single" w:color="auto" w:sz="4" w:space="0"/>
                    <w:right w:val="single" w:color="auto" w:sz="4" w:space="0"/>
                  </w:tcBorders>
                  <w:vAlign w:val="center"/>
                </w:tcPr>
                <w:p w14:paraId="5FDB69EE">
                  <w:pPr>
                    <w:jc w:val="center"/>
                    <w:rPr>
                      <w:color w:val="auto"/>
                      <w:szCs w:val="21"/>
                    </w:rPr>
                  </w:pPr>
                  <w:r>
                    <w:rPr>
                      <w:rFonts w:hint="eastAsia"/>
                      <w:color w:val="auto"/>
                      <w:szCs w:val="21"/>
                    </w:rPr>
                    <w:t>5.5</w:t>
                  </w:r>
                </w:p>
              </w:tc>
              <w:tc>
                <w:tcPr>
                  <w:tcW w:w="370" w:type="dxa"/>
                  <w:vMerge w:val="restart"/>
                  <w:tcBorders>
                    <w:left w:val="single" w:color="auto" w:sz="4" w:space="0"/>
                    <w:right w:val="single" w:color="auto" w:sz="4" w:space="0"/>
                  </w:tcBorders>
                  <w:vAlign w:val="center"/>
                </w:tcPr>
                <w:p w14:paraId="2C158326">
                  <w:pPr>
                    <w:jc w:val="center"/>
                    <w:rPr>
                      <w:color w:val="auto"/>
                      <w:szCs w:val="21"/>
                    </w:rPr>
                  </w:pPr>
                  <w:r>
                    <w:rPr>
                      <w:rFonts w:hint="eastAsia"/>
                      <w:color w:val="auto"/>
                      <w:szCs w:val="21"/>
                    </w:rPr>
                    <w:t>1</w:t>
                  </w:r>
                </w:p>
              </w:tc>
              <w:tc>
                <w:tcPr>
                  <w:tcW w:w="465" w:type="dxa"/>
                  <w:tcBorders>
                    <w:top w:val="single" w:color="auto" w:sz="4" w:space="0"/>
                    <w:left w:val="single" w:color="auto" w:sz="4" w:space="0"/>
                    <w:bottom w:val="single" w:color="auto" w:sz="4" w:space="0"/>
                    <w:right w:val="single" w:color="auto" w:sz="4" w:space="0"/>
                  </w:tcBorders>
                  <w:vAlign w:val="center"/>
                </w:tcPr>
                <w:p w14:paraId="76B7533C">
                  <w:pPr>
                    <w:jc w:val="center"/>
                    <w:rPr>
                      <w:color w:val="auto"/>
                      <w:szCs w:val="21"/>
                    </w:rPr>
                  </w:pPr>
                  <w:r>
                    <w:rPr>
                      <w:color w:val="auto"/>
                      <w:szCs w:val="21"/>
                    </w:rPr>
                    <w:t>东</w:t>
                  </w:r>
                </w:p>
              </w:tc>
              <w:tc>
                <w:tcPr>
                  <w:tcW w:w="572" w:type="dxa"/>
                  <w:tcBorders>
                    <w:top w:val="single" w:color="auto" w:sz="4" w:space="0"/>
                    <w:left w:val="single" w:color="auto" w:sz="4" w:space="0"/>
                    <w:bottom w:val="single" w:color="auto" w:sz="4" w:space="0"/>
                    <w:right w:val="single" w:color="auto" w:sz="4" w:space="0"/>
                  </w:tcBorders>
                  <w:vAlign w:val="center"/>
                </w:tcPr>
                <w:p w14:paraId="58D9F3DE">
                  <w:pPr>
                    <w:jc w:val="center"/>
                    <w:rPr>
                      <w:color w:val="auto"/>
                      <w:szCs w:val="21"/>
                    </w:rPr>
                  </w:pPr>
                  <w:r>
                    <w:rPr>
                      <w:rFonts w:hint="eastAsia"/>
                      <w:color w:val="auto"/>
                      <w:szCs w:val="21"/>
                    </w:rPr>
                    <w:t>5</w:t>
                  </w:r>
                </w:p>
              </w:tc>
              <w:tc>
                <w:tcPr>
                  <w:tcW w:w="620" w:type="dxa"/>
                  <w:tcBorders>
                    <w:left w:val="single" w:color="auto" w:sz="4" w:space="0"/>
                    <w:bottom w:val="single" w:color="auto" w:sz="4" w:space="0"/>
                    <w:right w:val="single" w:color="auto" w:sz="4" w:space="0"/>
                  </w:tcBorders>
                  <w:vAlign w:val="center"/>
                </w:tcPr>
                <w:p w14:paraId="3F56141E">
                  <w:pPr>
                    <w:jc w:val="center"/>
                    <w:rPr>
                      <w:color w:val="auto"/>
                      <w:szCs w:val="21"/>
                    </w:rPr>
                  </w:pPr>
                  <w:r>
                    <w:rPr>
                      <w:rFonts w:hint="eastAsia"/>
                      <w:color w:val="auto"/>
                      <w:szCs w:val="21"/>
                      <w:lang w:val="en-US" w:eastAsia="zh-CN"/>
                    </w:rPr>
                    <w:t>65</w:t>
                  </w:r>
                  <w:r>
                    <w:rPr>
                      <w:rFonts w:hint="eastAsia"/>
                      <w:color w:val="auto"/>
                      <w:szCs w:val="21"/>
                    </w:rPr>
                    <w:t>.1</w:t>
                  </w:r>
                </w:p>
              </w:tc>
              <w:tc>
                <w:tcPr>
                  <w:tcW w:w="582" w:type="dxa"/>
                  <w:vMerge w:val="continue"/>
                  <w:tcBorders>
                    <w:left w:val="single" w:color="auto" w:sz="4" w:space="0"/>
                    <w:right w:val="single" w:color="auto" w:sz="4" w:space="0"/>
                  </w:tcBorders>
                  <w:vAlign w:val="center"/>
                </w:tcPr>
                <w:p w14:paraId="36E40543">
                  <w:pPr>
                    <w:jc w:val="center"/>
                    <w:rPr>
                      <w:color w:val="auto"/>
                      <w:szCs w:val="21"/>
                    </w:rPr>
                  </w:pPr>
                </w:p>
              </w:tc>
              <w:tc>
                <w:tcPr>
                  <w:tcW w:w="692" w:type="dxa"/>
                  <w:vMerge w:val="continue"/>
                  <w:tcBorders>
                    <w:left w:val="single" w:color="auto" w:sz="4" w:space="0"/>
                    <w:right w:val="single" w:color="auto" w:sz="4" w:space="0"/>
                  </w:tcBorders>
                  <w:vAlign w:val="center"/>
                </w:tcPr>
                <w:p w14:paraId="6CD297D4">
                  <w:pPr>
                    <w:jc w:val="center"/>
                    <w:rPr>
                      <w:color w:val="auto"/>
                      <w:szCs w:val="21"/>
                    </w:rPr>
                  </w:pPr>
                </w:p>
              </w:tc>
              <w:tc>
                <w:tcPr>
                  <w:tcW w:w="652" w:type="dxa"/>
                  <w:vMerge w:val="continue"/>
                  <w:tcBorders>
                    <w:left w:val="single" w:color="auto" w:sz="4" w:space="0"/>
                    <w:right w:val="single" w:color="auto" w:sz="4" w:space="0"/>
                  </w:tcBorders>
                  <w:vAlign w:val="center"/>
                </w:tcPr>
                <w:p w14:paraId="7D469AE5">
                  <w:pPr>
                    <w:jc w:val="center"/>
                    <w:rPr>
                      <w:color w:val="auto"/>
                      <w:szCs w:val="21"/>
                    </w:rPr>
                  </w:pPr>
                </w:p>
              </w:tc>
              <w:tc>
                <w:tcPr>
                  <w:tcW w:w="662" w:type="dxa"/>
                  <w:vMerge w:val="continue"/>
                  <w:tcBorders>
                    <w:left w:val="single" w:color="auto" w:sz="4" w:space="0"/>
                    <w:right w:val="single" w:color="auto" w:sz="4" w:space="0"/>
                  </w:tcBorders>
                  <w:vAlign w:val="center"/>
                </w:tcPr>
                <w:p w14:paraId="09C19D62">
                  <w:pPr>
                    <w:rPr>
                      <w:color w:val="auto"/>
                      <w:szCs w:val="21"/>
                    </w:rPr>
                  </w:pPr>
                </w:p>
              </w:tc>
            </w:tr>
            <w:tr w14:paraId="4607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0DFF4FF3">
                  <w:pPr>
                    <w:jc w:val="center"/>
                    <w:rPr>
                      <w:color w:val="auto"/>
                      <w:szCs w:val="21"/>
                    </w:rPr>
                  </w:pPr>
                </w:p>
              </w:tc>
              <w:tc>
                <w:tcPr>
                  <w:tcW w:w="471" w:type="dxa"/>
                  <w:vMerge w:val="continue"/>
                  <w:tcBorders>
                    <w:left w:val="single" w:color="auto" w:sz="4" w:space="0"/>
                    <w:right w:val="single" w:color="auto" w:sz="4" w:space="0"/>
                  </w:tcBorders>
                  <w:vAlign w:val="center"/>
                </w:tcPr>
                <w:p w14:paraId="2BB1ABE7">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16661127">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133FCB24">
                  <w:pPr>
                    <w:jc w:val="center"/>
                    <w:rPr>
                      <w:color w:val="auto"/>
                      <w:szCs w:val="21"/>
                    </w:rPr>
                  </w:pPr>
                </w:p>
              </w:tc>
              <w:tc>
                <w:tcPr>
                  <w:tcW w:w="445" w:type="dxa"/>
                  <w:vMerge w:val="continue"/>
                  <w:tcBorders>
                    <w:left w:val="single" w:color="auto" w:sz="4" w:space="0"/>
                    <w:right w:val="single" w:color="auto" w:sz="4" w:space="0"/>
                  </w:tcBorders>
                  <w:vAlign w:val="center"/>
                </w:tcPr>
                <w:p w14:paraId="401E8F13">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12AC1E6C">
                  <w:pPr>
                    <w:jc w:val="center"/>
                    <w:rPr>
                      <w:color w:val="auto"/>
                      <w:szCs w:val="21"/>
                    </w:rPr>
                  </w:pPr>
                </w:p>
              </w:tc>
              <w:tc>
                <w:tcPr>
                  <w:tcW w:w="689" w:type="dxa"/>
                  <w:vMerge w:val="continue"/>
                  <w:tcBorders>
                    <w:left w:val="single" w:color="auto" w:sz="4" w:space="0"/>
                    <w:right w:val="single" w:color="auto" w:sz="4" w:space="0"/>
                  </w:tcBorders>
                  <w:vAlign w:val="center"/>
                </w:tcPr>
                <w:p w14:paraId="3DF6DC84">
                  <w:pPr>
                    <w:jc w:val="center"/>
                    <w:rPr>
                      <w:color w:val="auto"/>
                      <w:szCs w:val="21"/>
                    </w:rPr>
                  </w:pPr>
                </w:p>
              </w:tc>
              <w:tc>
                <w:tcPr>
                  <w:tcW w:w="370" w:type="dxa"/>
                  <w:vMerge w:val="continue"/>
                  <w:tcBorders>
                    <w:left w:val="single" w:color="auto" w:sz="4" w:space="0"/>
                    <w:right w:val="single" w:color="auto" w:sz="4" w:space="0"/>
                  </w:tcBorders>
                  <w:vAlign w:val="center"/>
                </w:tcPr>
                <w:p w14:paraId="690449A3">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1FFC11B5">
                  <w:pPr>
                    <w:jc w:val="center"/>
                    <w:rPr>
                      <w:color w:val="auto"/>
                      <w:szCs w:val="21"/>
                    </w:rPr>
                  </w:pPr>
                  <w:r>
                    <w:rPr>
                      <w:color w:val="auto"/>
                      <w:szCs w:val="21"/>
                    </w:rPr>
                    <w:t>南</w:t>
                  </w:r>
                </w:p>
              </w:tc>
              <w:tc>
                <w:tcPr>
                  <w:tcW w:w="572" w:type="dxa"/>
                  <w:tcBorders>
                    <w:top w:val="single" w:color="auto" w:sz="4" w:space="0"/>
                    <w:left w:val="single" w:color="auto" w:sz="4" w:space="0"/>
                    <w:bottom w:val="single" w:color="auto" w:sz="4" w:space="0"/>
                    <w:right w:val="single" w:color="auto" w:sz="4" w:space="0"/>
                  </w:tcBorders>
                  <w:vAlign w:val="center"/>
                </w:tcPr>
                <w:p w14:paraId="65D43681">
                  <w:pPr>
                    <w:jc w:val="center"/>
                    <w:rPr>
                      <w:color w:val="auto"/>
                      <w:szCs w:val="21"/>
                    </w:rPr>
                  </w:pPr>
                  <w:r>
                    <w:rPr>
                      <w:rFonts w:hint="eastAsia"/>
                      <w:color w:val="auto"/>
                      <w:szCs w:val="21"/>
                    </w:rPr>
                    <w:t>28</w:t>
                  </w:r>
                </w:p>
              </w:tc>
              <w:tc>
                <w:tcPr>
                  <w:tcW w:w="620" w:type="dxa"/>
                  <w:tcBorders>
                    <w:left w:val="single" w:color="auto" w:sz="4" w:space="0"/>
                    <w:bottom w:val="single" w:color="auto" w:sz="4" w:space="0"/>
                    <w:right w:val="single" w:color="auto" w:sz="4" w:space="0"/>
                  </w:tcBorders>
                  <w:vAlign w:val="center"/>
                </w:tcPr>
                <w:p w14:paraId="16B1321B">
                  <w:pPr>
                    <w:jc w:val="center"/>
                    <w:rPr>
                      <w:color w:val="auto"/>
                      <w:szCs w:val="21"/>
                    </w:rPr>
                  </w:pPr>
                  <w:r>
                    <w:rPr>
                      <w:rFonts w:hint="eastAsia"/>
                      <w:color w:val="auto"/>
                      <w:szCs w:val="21"/>
                      <w:lang w:val="en-US" w:eastAsia="zh-CN"/>
                    </w:rPr>
                    <w:t>63</w:t>
                  </w:r>
                  <w:r>
                    <w:rPr>
                      <w:rFonts w:hint="eastAsia"/>
                      <w:color w:val="auto"/>
                      <w:szCs w:val="21"/>
                    </w:rPr>
                    <w:t>.1</w:t>
                  </w:r>
                </w:p>
              </w:tc>
              <w:tc>
                <w:tcPr>
                  <w:tcW w:w="582" w:type="dxa"/>
                  <w:vMerge w:val="continue"/>
                  <w:tcBorders>
                    <w:left w:val="single" w:color="auto" w:sz="4" w:space="0"/>
                    <w:right w:val="single" w:color="auto" w:sz="4" w:space="0"/>
                  </w:tcBorders>
                  <w:vAlign w:val="center"/>
                </w:tcPr>
                <w:p w14:paraId="1FD610F4">
                  <w:pPr>
                    <w:jc w:val="center"/>
                    <w:rPr>
                      <w:color w:val="auto"/>
                      <w:szCs w:val="21"/>
                    </w:rPr>
                  </w:pPr>
                </w:p>
              </w:tc>
              <w:tc>
                <w:tcPr>
                  <w:tcW w:w="692" w:type="dxa"/>
                  <w:vMerge w:val="continue"/>
                  <w:tcBorders>
                    <w:left w:val="single" w:color="auto" w:sz="4" w:space="0"/>
                    <w:right w:val="single" w:color="auto" w:sz="4" w:space="0"/>
                  </w:tcBorders>
                  <w:vAlign w:val="center"/>
                </w:tcPr>
                <w:p w14:paraId="7A02BDBD">
                  <w:pPr>
                    <w:jc w:val="center"/>
                    <w:rPr>
                      <w:color w:val="auto"/>
                      <w:szCs w:val="21"/>
                    </w:rPr>
                  </w:pPr>
                </w:p>
              </w:tc>
              <w:tc>
                <w:tcPr>
                  <w:tcW w:w="652" w:type="dxa"/>
                  <w:vMerge w:val="continue"/>
                  <w:tcBorders>
                    <w:left w:val="single" w:color="auto" w:sz="4" w:space="0"/>
                    <w:right w:val="single" w:color="auto" w:sz="4" w:space="0"/>
                  </w:tcBorders>
                  <w:vAlign w:val="center"/>
                </w:tcPr>
                <w:p w14:paraId="16CD18C5">
                  <w:pPr>
                    <w:jc w:val="center"/>
                    <w:rPr>
                      <w:color w:val="auto"/>
                      <w:szCs w:val="21"/>
                    </w:rPr>
                  </w:pPr>
                </w:p>
              </w:tc>
              <w:tc>
                <w:tcPr>
                  <w:tcW w:w="662" w:type="dxa"/>
                  <w:vMerge w:val="continue"/>
                  <w:tcBorders>
                    <w:left w:val="single" w:color="auto" w:sz="4" w:space="0"/>
                    <w:right w:val="single" w:color="auto" w:sz="4" w:space="0"/>
                  </w:tcBorders>
                  <w:vAlign w:val="center"/>
                </w:tcPr>
                <w:p w14:paraId="090E8324">
                  <w:pPr>
                    <w:rPr>
                      <w:color w:val="auto"/>
                      <w:szCs w:val="21"/>
                    </w:rPr>
                  </w:pPr>
                </w:p>
              </w:tc>
            </w:tr>
            <w:tr w14:paraId="74CB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1AF928C2">
                  <w:pPr>
                    <w:jc w:val="center"/>
                    <w:rPr>
                      <w:color w:val="auto"/>
                      <w:szCs w:val="21"/>
                    </w:rPr>
                  </w:pPr>
                </w:p>
              </w:tc>
              <w:tc>
                <w:tcPr>
                  <w:tcW w:w="471" w:type="dxa"/>
                  <w:vMerge w:val="continue"/>
                  <w:tcBorders>
                    <w:left w:val="single" w:color="auto" w:sz="4" w:space="0"/>
                    <w:right w:val="single" w:color="auto" w:sz="4" w:space="0"/>
                  </w:tcBorders>
                  <w:vAlign w:val="center"/>
                </w:tcPr>
                <w:p w14:paraId="09B13205">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4E17F421">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43976AC5">
                  <w:pPr>
                    <w:jc w:val="center"/>
                    <w:rPr>
                      <w:color w:val="auto"/>
                      <w:szCs w:val="21"/>
                    </w:rPr>
                  </w:pPr>
                </w:p>
              </w:tc>
              <w:tc>
                <w:tcPr>
                  <w:tcW w:w="445" w:type="dxa"/>
                  <w:vMerge w:val="continue"/>
                  <w:tcBorders>
                    <w:left w:val="single" w:color="auto" w:sz="4" w:space="0"/>
                    <w:right w:val="single" w:color="auto" w:sz="4" w:space="0"/>
                  </w:tcBorders>
                  <w:vAlign w:val="center"/>
                </w:tcPr>
                <w:p w14:paraId="3F8B3A6C">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16C8947D">
                  <w:pPr>
                    <w:jc w:val="center"/>
                    <w:rPr>
                      <w:color w:val="auto"/>
                      <w:szCs w:val="21"/>
                    </w:rPr>
                  </w:pPr>
                </w:p>
              </w:tc>
              <w:tc>
                <w:tcPr>
                  <w:tcW w:w="689" w:type="dxa"/>
                  <w:vMerge w:val="continue"/>
                  <w:tcBorders>
                    <w:left w:val="single" w:color="auto" w:sz="4" w:space="0"/>
                    <w:right w:val="single" w:color="auto" w:sz="4" w:space="0"/>
                  </w:tcBorders>
                  <w:vAlign w:val="center"/>
                </w:tcPr>
                <w:p w14:paraId="68142A6F">
                  <w:pPr>
                    <w:jc w:val="center"/>
                    <w:rPr>
                      <w:color w:val="auto"/>
                      <w:szCs w:val="21"/>
                    </w:rPr>
                  </w:pPr>
                </w:p>
              </w:tc>
              <w:tc>
                <w:tcPr>
                  <w:tcW w:w="370" w:type="dxa"/>
                  <w:vMerge w:val="continue"/>
                  <w:tcBorders>
                    <w:left w:val="single" w:color="auto" w:sz="4" w:space="0"/>
                    <w:right w:val="single" w:color="auto" w:sz="4" w:space="0"/>
                  </w:tcBorders>
                  <w:vAlign w:val="center"/>
                </w:tcPr>
                <w:p w14:paraId="6065158E">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1AEC55F1">
                  <w:pPr>
                    <w:jc w:val="center"/>
                    <w:rPr>
                      <w:color w:val="auto"/>
                      <w:szCs w:val="21"/>
                    </w:rPr>
                  </w:pPr>
                  <w:r>
                    <w:rPr>
                      <w:color w:val="auto"/>
                      <w:szCs w:val="21"/>
                    </w:rPr>
                    <w:t>西</w:t>
                  </w:r>
                </w:p>
              </w:tc>
              <w:tc>
                <w:tcPr>
                  <w:tcW w:w="572" w:type="dxa"/>
                  <w:tcBorders>
                    <w:top w:val="single" w:color="auto" w:sz="4" w:space="0"/>
                    <w:left w:val="single" w:color="auto" w:sz="4" w:space="0"/>
                    <w:bottom w:val="single" w:color="auto" w:sz="4" w:space="0"/>
                    <w:right w:val="single" w:color="auto" w:sz="4" w:space="0"/>
                  </w:tcBorders>
                  <w:vAlign w:val="center"/>
                </w:tcPr>
                <w:p w14:paraId="35C517A5">
                  <w:pPr>
                    <w:jc w:val="center"/>
                    <w:rPr>
                      <w:color w:val="auto"/>
                      <w:szCs w:val="21"/>
                    </w:rPr>
                  </w:pPr>
                  <w:r>
                    <w:rPr>
                      <w:rFonts w:hint="eastAsia"/>
                      <w:color w:val="auto"/>
                      <w:szCs w:val="21"/>
                    </w:rPr>
                    <w:t>63</w:t>
                  </w:r>
                </w:p>
              </w:tc>
              <w:tc>
                <w:tcPr>
                  <w:tcW w:w="620" w:type="dxa"/>
                  <w:tcBorders>
                    <w:left w:val="single" w:color="auto" w:sz="4" w:space="0"/>
                    <w:bottom w:val="single" w:color="auto" w:sz="4" w:space="0"/>
                    <w:right w:val="single" w:color="auto" w:sz="4" w:space="0"/>
                  </w:tcBorders>
                  <w:vAlign w:val="center"/>
                </w:tcPr>
                <w:p w14:paraId="19088F66">
                  <w:pPr>
                    <w:jc w:val="center"/>
                    <w:rPr>
                      <w:color w:val="auto"/>
                      <w:szCs w:val="21"/>
                    </w:rPr>
                  </w:pPr>
                  <w:r>
                    <w:rPr>
                      <w:rFonts w:hint="eastAsia"/>
                      <w:color w:val="auto"/>
                      <w:szCs w:val="21"/>
                      <w:lang w:val="en-US" w:eastAsia="zh-CN"/>
                    </w:rPr>
                    <w:t>63</w:t>
                  </w:r>
                  <w:r>
                    <w:rPr>
                      <w:rFonts w:hint="eastAsia"/>
                      <w:color w:val="auto"/>
                      <w:szCs w:val="21"/>
                    </w:rPr>
                    <w:t>.0</w:t>
                  </w:r>
                </w:p>
              </w:tc>
              <w:tc>
                <w:tcPr>
                  <w:tcW w:w="582" w:type="dxa"/>
                  <w:vMerge w:val="continue"/>
                  <w:tcBorders>
                    <w:left w:val="single" w:color="auto" w:sz="4" w:space="0"/>
                    <w:right w:val="single" w:color="auto" w:sz="4" w:space="0"/>
                  </w:tcBorders>
                  <w:vAlign w:val="center"/>
                </w:tcPr>
                <w:p w14:paraId="7A51245A">
                  <w:pPr>
                    <w:jc w:val="center"/>
                    <w:rPr>
                      <w:color w:val="auto"/>
                      <w:szCs w:val="21"/>
                    </w:rPr>
                  </w:pPr>
                </w:p>
              </w:tc>
              <w:tc>
                <w:tcPr>
                  <w:tcW w:w="692" w:type="dxa"/>
                  <w:vMerge w:val="continue"/>
                  <w:tcBorders>
                    <w:left w:val="single" w:color="auto" w:sz="4" w:space="0"/>
                    <w:right w:val="single" w:color="auto" w:sz="4" w:space="0"/>
                  </w:tcBorders>
                  <w:vAlign w:val="center"/>
                </w:tcPr>
                <w:p w14:paraId="1A620A2A">
                  <w:pPr>
                    <w:jc w:val="center"/>
                    <w:rPr>
                      <w:color w:val="auto"/>
                      <w:szCs w:val="21"/>
                    </w:rPr>
                  </w:pPr>
                </w:p>
              </w:tc>
              <w:tc>
                <w:tcPr>
                  <w:tcW w:w="652" w:type="dxa"/>
                  <w:vMerge w:val="continue"/>
                  <w:tcBorders>
                    <w:left w:val="single" w:color="auto" w:sz="4" w:space="0"/>
                    <w:right w:val="single" w:color="auto" w:sz="4" w:space="0"/>
                  </w:tcBorders>
                  <w:vAlign w:val="center"/>
                </w:tcPr>
                <w:p w14:paraId="45BBE961">
                  <w:pPr>
                    <w:jc w:val="center"/>
                    <w:rPr>
                      <w:color w:val="auto"/>
                      <w:szCs w:val="21"/>
                    </w:rPr>
                  </w:pPr>
                </w:p>
              </w:tc>
              <w:tc>
                <w:tcPr>
                  <w:tcW w:w="662" w:type="dxa"/>
                  <w:vMerge w:val="continue"/>
                  <w:tcBorders>
                    <w:left w:val="single" w:color="auto" w:sz="4" w:space="0"/>
                    <w:right w:val="single" w:color="auto" w:sz="4" w:space="0"/>
                  </w:tcBorders>
                  <w:vAlign w:val="center"/>
                </w:tcPr>
                <w:p w14:paraId="6E58BAC4">
                  <w:pPr>
                    <w:rPr>
                      <w:color w:val="auto"/>
                      <w:szCs w:val="21"/>
                    </w:rPr>
                  </w:pPr>
                </w:p>
              </w:tc>
            </w:tr>
            <w:tr w14:paraId="41A2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490D1B00">
                  <w:pPr>
                    <w:jc w:val="center"/>
                    <w:rPr>
                      <w:color w:val="auto"/>
                      <w:szCs w:val="21"/>
                    </w:rPr>
                  </w:pPr>
                </w:p>
              </w:tc>
              <w:tc>
                <w:tcPr>
                  <w:tcW w:w="471" w:type="dxa"/>
                  <w:vMerge w:val="continue"/>
                  <w:tcBorders>
                    <w:left w:val="single" w:color="auto" w:sz="4" w:space="0"/>
                    <w:right w:val="single" w:color="auto" w:sz="4" w:space="0"/>
                  </w:tcBorders>
                  <w:vAlign w:val="center"/>
                </w:tcPr>
                <w:p w14:paraId="46E2D298">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bottom w:val="single" w:color="auto" w:sz="4" w:space="0"/>
                    <w:right w:val="single" w:color="auto" w:sz="4" w:space="0"/>
                  </w:tcBorders>
                  <w:vAlign w:val="center"/>
                </w:tcPr>
                <w:p w14:paraId="1B3DC67A">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bottom w:val="single" w:color="auto" w:sz="4" w:space="0"/>
                    <w:right w:val="single" w:color="auto" w:sz="4" w:space="0"/>
                  </w:tcBorders>
                  <w:vAlign w:val="center"/>
                </w:tcPr>
                <w:p w14:paraId="726109A9">
                  <w:pPr>
                    <w:jc w:val="center"/>
                    <w:rPr>
                      <w:color w:val="auto"/>
                      <w:szCs w:val="21"/>
                    </w:rPr>
                  </w:pPr>
                </w:p>
              </w:tc>
              <w:tc>
                <w:tcPr>
                  <w:tcW w:w="445" w:type="dxa"/>
                  <w:vMerge w:val="continue"/>
                  <w:tcBorders>
                    <w:left w:val="single" w:color="auto" w:sz="4" w:space="0"/>
                    <w:right w:val="single" w:color="auto" w:sz="4" w:space="0"/>
                  </w:tcBorders>
                  <w:vAlign w:val="center"/>
                </w:tcPr>
                <w:p w14:paraId="53A14693">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63BFB768">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7A638190">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2F9F05B4">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2A71241B">
                  <w:pPr>
                    <w:jc w:val="center"/>
                    <w:rPr>
                      <w:color w:val="auto"/>
                      <w:szCs w:val="21"/>
                    </w:rPr>
                  </w:pPr>
                  <w:r>
                    <w:rPr>
                      <w:color w:val="auto"/>
                      <w:szCs w:val="21"/>
                    </w:rPr>
                    <w:t>北</w:t>
                  </w:r>
                </w:p>
              </w:tc>
              <w:tc>
                <w:tcPr>
                  <w:tcW w:w="572" w:type="dxa"/>
                  <w:tcBorders>
                    <w:top w:val="single" w:color="auto" w:sz="4" w:space="0"/>
                    <w:left w:val="single" w:color="auto" w:sz="4" w:space="0"/>
                    <w:bottom w:val="single" w:color="auto" w:sz="4" w:space="0"/>
                    <w:right w:val="single" w:color="auto" w:sz="4" w:space="0"/>
                  </w:tcBorders>
                  <w:vAlign w:val="center"/>
                </w:tcPr>
                <w:p w14:paraId="5391537E">
                  <w:pPr>
                    <w:jc w:val="center"/>
                    <w:rPr>
                      <w:color w:val="auto"/>
                      <w:szCs w:val="21"/>
                    </w:rPr>
                  </w:pPr>
                  <w:r>
                    <w:rPr>
                      <w:rFonts w:hint="eastAsia"/>
                      <w:color w:val="auto"/>
                      <w:szCs w:val="21"/>
                    </w:rPr>
                    <w:t>17</w:t>
                  </w:r>
                </w:p>
              </w:tc>
              <w:tc>
                <w:tcPr>
                  <w:tcW w:w="620" w:type="dxa"/>
                  <w:tcBorders>
                    <w:left w:val="single" w:color="auto" w:sz="4" w:space="0"/>
                    <w:bottom w:val="single" w:color="auto" w:sz="4" w:space="0"/>
                    <w:right w:val="single" w:color="auto" w:sz="4" w:space="0"/>
                  </w:tcBorders>
                  <w:vAlign w:val="center"/>
                </w:tcPr>
                <w:p w14:paraId="415877E8">
                  <w:pPr>
                    <w:jc w:val="center"/>
                    <w:rPr>
                      <w:color w:val="auto"/>
                      <w:szCs w:val="21"/>
                    </w:rPr>
                  </w:pPr>
                  <w:r>
                    <w:rPr>
                      <w:rFonts w:hint="eastAsia"/>
                      <w:color w:val="auto"/>
                      <w:szCs w:val="21"/>
                      <w:lang w:val="en-US" w:eastAsia="zh-CN"/>
                    </w:rPr>
                    <w:t>63</w:t>
                  </w:r>
                  <w:r>
                    <w:rPr>
                      <w:rFonts w:hint="eastAsia"/>
                      <w:color w:val="auto"/>
                      <w:szCs w:val="21"/>
                    </w:rPr>
                    <w:t>.2</w:t>
                  </w:r>
                </w:p>
              </w:tc>
              <w:tc>
                <w:tcPr>
                  <w:tcW w:w="582" w:type="dxa"/>
                  <w:vMerge w:val="continue"/>
                  <w:tcBorders>
                    <w:left w:val="single" w:color="auto" w:sz="4" w:space="0"/>
                    <w:right w:val="single" w:color="auto" w:sz="4" w:space="0"/>
                  </w:tcBorders>
                  <w:vAlign w:val="center"/>
                </w:tcPr>
                <w:p w14:paraId="78611693">
                  <w:pPr>
                    <w:jc w:val="center"/>
                    <w:rPr>
                      <w:color w:val="auto"/>
                      <w:szCs w:val="21"/>
                    </w:rPr>
                  </w:pPr>
                </w:p>
              </w:tc>
              <w:tc>
                <w:tcPr>
                  <w:tcW w:w="692" w:type="dxa"/>
                  <w:vMerge w:val="continue"/>
                  <w:tcBorders>
                    <w:left w:val="single" w:color="auto" w:sz="4" w:space="0"/>
                    <w:right w:val="single" w:color="auto" w:sz="4" w:space="0"/>
                  </w:tcBorders>
                  <w:vAlign w:val="center"/>
                </w:tcPr>
                <w:p w14:paraId="538DF63A">
                  <w:pPr>
                    <w:jc w:val="center"/>
                    <w:rPr>
                      <w:color w:val="auto"/>
                      <w:szCs w:val="21"/>
                    </w:rPr>
                  </w:pPr>
                </w:p>
              </w:tc>
              <w:tc>
                <w:tcPr>
                  <w:tcW w:w="652" w:type="dxa"/>
                  <w:vMerge w:val="continue"/>
                  <w:tcBorders>
                    <w:left w:val="single" w:color="auto" w:sz="4" w:space="0"/>
                    <w:right w:val="single" w:color="auto" w:sz="4" w:space="0"/>
                  </w:tcBorders>
                  <w:vAlign w:val="center"/>
                </w:tcPr>
                <w:p w14:paraId="61FC8938">
                  <w:pPr>
                    <w:jc w:val="center"/>
                    <w:rPr>
                      <w:color w:val="auto"/>
                      <w:szCs w:val="21"/>
                    </w:rPr>
                  </w:pPr>
                </w:p>
              </w:tc>
              <w:tc>
                <w:tcPr>
                  <w:tcW w:w="662" w:type="dxa"/>
                  <w:vMerge w:val="continue"/>
                  <w:tcBorders>
                    <w:left w:val="single" w:color="auto" w:sz="4" w:space="0"/>
                    <w:right w:val="single" w:color="auto" w:sz="4" w:space="0"/>
                  </w:tcBorders>
                  <w:vAlign w:val="center"/>
                </w:tcPr>
                <w:p w14:paraId="3CAF175E">
                  <w:pPr>
                    <w:rPr>
                      <w:color w:val="auto"/>
                      <w:szCs w:val="21"/>
                    </w:rPr>
                  </w:pPr>
                </w:p>
              </w:tc>
            </w:tr>
            <w:tr w14:paraId="6596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restart"/>
                  <w:tcBorders>
                    <w:left w:val="single" w:color="auto" w:sz="4" w:space="0"/>
                    <w:right w:val="single" w:color="auto" w:sz="4" w:space="0"/>
                  </w:tcBorders>
                  <w:vAlign w:val="center"/>
                </w:tcPr>
                <w:p w14:paraId="4FDBE267">
                  <w:pPr>
                    <w:jc w:val="center"/>
                    <w:rPr>
                      <w:color w:val="auto"/>
                      <w:szCs w:val="21"/>
                    </w:rPr>
                  </w:pPr>
                  <w:r>
                    <w:rPr>
                      <w:rFonts w:hint="eastAsia"/>
                      <w:color w:val="auto"/>
                      <w:szCs w:val="21"/>
                    </w:rPr>
                    <w:t>8</w:t>
                  </w:r>
                </w:p>
              </w:tc>
              <w:tc>
                <w:tcPr>
                  <w:tcW w:w="471" w:type="dxa"/>
                  <w:vMerge w:val="continue"/>
                  <w:tcBorders>
                    <w:left w:val="single" w:color="auto" w:sz="4" w:space="0"/>
                    <w:right w:val="single" w:color="auto" w:sz="4" w:space="0"/>
                  </w:tcBorders>
                  <w:vAlign w:val="center"/>
                </w:tcPr>
                <w:p w14:paraId="26777C4E">
                  <w:pPr>
                    <w:pStyle w:val="32"/>
                    <w:spacing w:before="0" w:beforeAutospacing="0" w:after="0" w:afterAutospacing="0"/>
                    <w:jc w:val="center"/>
                    <w:rPr>
                      <w:rFonts w:ascii="Times New Roman" w:hAnsi="Times New Roman"/>
                      <w:color w:val="auto"/>
                      <w:sz w:val="21"/>
                      <w:szCs w:val="21"/>
                    </w:rPr>
                  </w:pPr>
                </w:p>
              </w:tc>
              <w:tc>
                <w:tcPr>
                  <w:tcW w:w="691" w:type="dxa"/>
                  <w:vMerge w:val="restart"/>
                  <w:tcBorders>
                    <w:left w:val="single" w:color="auto" w:sz="4" w:space="0"/>
                    <w:right w:val="single" w:color="auto" w:sz="4" w:space="0"/>
                  </w:tcBorders>
                  <w:vAlign w:val="center"/>
                </w:tcPr>
                <w:p w14:paraId="3B4F7DEA">
                  <w:pPr>
                    <w:pStyle w:val="32"/>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eastAsia="zh-CN"/>
                    </w:rPr>
                    <w:t>砂轮机</w:t>
                  </w:r>
                  <w:r>
                    <w:rPr>
                      <w:rFonts w:hint="eastAsia" w:ascii="Times New Roman" w:hAnsi="Times New Roman"/>
                      <w:color w:val="auto"/>
                      <w:sz w:val="21"/>
                      <w:szCs w:val="21"/>
                    </w:rPr>
                    <w:t>（2台）</w:t>
                  </w:r>
                </w:p>
              </w:tc>
              <w:tc>
                <w:tcPr>
                  <w:tcW w:w="733" w:type="dxa"/>
                  <w:vMerge w:val="restart"/>
                  <w:tcBorders>
                    <w:left w:val="single" w:color="auto" w:sz="4" w:space="0"/>
                    <w:right w:val="single" w:color="auto" w:sz="4" w:space="0"/>
                  </w:tcBorders>
                  <w:vAlign w:val="center"/>
                </w:tcPr>
                <w:p w14:paraId="25A532E8">
                  <w:pPr>
                    <w:jc w:val="center"/>
                    <w:rPr>
                      <w:color w:val="auto"/>
                      <w:szCs w:val="21"/>
                    </w:rPr>
                  </w:pPr>
                  <w:r>
                    <w:rPr>
                      <w:rFonts w:hint="eastAsia"/>
                      <w:color w:val="auto"/>
                      <w:szCs w:val="21"/>
                      <w:lang w:val="en-US" w:eastAsia="zh-CN"/>
                    </w:rPr>
                    <w:t>86</w:t>
                  </w:r>
                  <w:r>
                    <w:rPr>
                      <w:rFonts w:hint="eastAsia"/>
                      <w:color w:val="auto"/>
                      <w:szCs w:val="21"/>
                    </w:rPr>
                    <w:t>（单台</w:t>
                  </w:r>
                  <w:r>
                    <w:rPr>
                      <w:rFonts w:hint="eastAsia"/>
                      <w:color w:val="auto"/>
                      <w:szCs w:val="21"/>
                      <w:lang w:val="en-US" w:eastAsia="zh-CN"/>
                    </w:rPr>
                    <w:t>83</w:t>
                  </w:r>
                  <w:r>
                    <w:rPr>
                      <w:rFonts w:hint="eastAsia"/>
                      <w:color w:val="auto"/>
                      <w:szCs w:val="21"/>
                    </w:rPr>
                    <w:t>）</w:t>
                  </w:r>
                </w:p>
              </w:tc>
              <w:tc>
                <w:tcPr>
                  <w:tcW w:w="445" w:type="dxa"/>
                  <w:vMerge w:val="continue"/>
                  <w:tcBorders>
                    <w:left w:val="single" w:color="auto" w:sz="4" w:space="0"/>
                    <w:right w:val="single" w:color="auto" w:sz="4" w:space="0"/>
                  </w:tcBorders>
                  <w:vAlign w:val="center"/>
                </w:tcPr>
                <w:p w14:paraId="4A281130">
                  <w:pPr>
                    <w:pStyle w:val="32"/>
                    <w:spacing w:before="0" w:beforeAutospacing="0" w:after="0" w:afterAutospacing="0"/>
                    <w:jc w:val="center"/>
                    <w:rPr>
                      <w:rFonts w:ascii="Times New Roman" w:hAnsi="Times New Roman"/>
                      <w:color w:val="auto"/>
                      <w:sz w:val="21"/>
                      <w:szCs w:val="21"/>
                    </w:rPr>
                  </w:pPr>
                </w:p>
              </w:tc>
              <w:tc>
                <w:tcPr>
                  <w:tcW w:w="689" w:type="dxa"/>
                  <w:vMerge w:val="restart"/>
                  <w:tcBorders>
                    <w:left w:val="single" w:color="auto" w:sz="4" w:space="0"/>
                    <w:right w:val="single" w:color="auto" w:sz="4" w:space="0"/>
                  </w:tcBorders>
                  <w:vAlign w:val="center"/>
                </w:tcPr>
                <w:p w14:paraId="78E9B58C">
                  <w:pPr>
                    <w:jc w:val="center"/>
                    <w:rPr>
                      <w:color w:val="auto"/>
                      <w:szCs w:val="21"/>
                    </w:rPr>
                  </w:pPr>
                  <w:r>
                    <w:rPr>
                      <w:rFonts w:hint="eastAsia"/>
                      <w:color w:val="auto"/>
                      <w:szCs w:val="21"/>
                    </w:rPr>
                    <w:t>29</w:t>
                  </w:r>
                </w:p>
              </w:tc>
              <w:tc>
                <w:tcPr>
                  <w:tcW w:w="689" w:type="dxa"/>
                  <w:vMerge w:val="restart"/>
                  <w:tcBorders>
                    <w:left w:val="single" w:color="auto" w:sz="4" w:space="0"/>
                    <w:right w:val="single" w:color="auto" w:sz="4" w:space="0"/>
                  </w:tcBorders>
                  <w:vAlign w:val="center"/>
                </w:tcPr>
                <w:p w14:paraId="3EC66090">
                  <w:pPr>
                    <w:jc w:val="center"/>
                    <w:rPr>
                      <w:color w:val="auto"/>
                      <w:szCs w:val="21"/>
                    </w:rPr>
                  </w:pPr>
                  <w:r>
                    <w:rPr>
                      <w:rFonts w:hint="eastAsia"/>
                      <w:color w:val="auto"/>
                      <w:szCs w:val="21"/>
                    </w:rPr>
                    <w:t>7.5</w:t>
                  </w:r>
                </w:p>
              </w:tc>
              <w:tc>
                <w:tcPr>
                  <w:tcW w:w="370" w:type="dxa"/>
                  <w:vMerge w:val="restart"/>
                  <w:tcBorders>
                    <w:left w:val="single" w:color="auto" w:sz="4" w:space="0"/>
                    <w:right w:val="single" w:color="auto" w:sz="4" w:space="0"/>
                  </w:tcBorders>
                  <w:vAlign w:val="center"/>
                </w:tcPr>
                <w:p w14:paraId="17F9D868">
                  <w:pPr>
                    <w:jc w:val="center"/>
                    <w:rPr>
                      <w:color w:val="auto"/>
                      <w:szCs w:val="21"/>
                    </w:rPr>
                  </w:pPr>
                  <w:r>
                    <w:rPr>
                      <w:rFonts w:hint="eastAsia"/>
                      <w:color w:val="auto"/>
                      <w:szCs w:val="21"/>
                    </w:rPr>
                    <w:t>1</w:t>
                  </w:r>
                </w:p>
              </w:tc>
              <w:tc>
                <w:tcPr>
                  <w:tcW w:w="465" w:type="dxa"/>
                  <w:tcBorders>
                    <w:top w:val="single" w:color="auto" w:sz="4" w:space="0"/>
                    <w:left w:val="single" w:color="auto" w:sz="4" w:space="0"/>
                    <w:bottom w:val="single" w:color="auto" w:sz="4" w:space="0"/>
                    <w:right w:val="single" w:color="auto" w:sz="4" w:space="0"/>
                  </w:tcBorders>
                  <w:vAlign w:val="center"/>
                </w:tcPr>
                <w:p w14:paraId="6430A61F">
                  <w:pPr>
                    <w:jc w:val="center"/>
                    <w:rPr>
                      <w:color w:val="auto"/>
                      <w:szCs w:val="21"/>
                    </w:rPr>
                  </w:pPr>
                  <w:r>
                    <w:rPr>
                      <w:color w:val="auto"/>
                      <w:szCs w:val="21"/>
                    </w:rPr>
                    <w:t>东</w:t>
                  </w:r>
                </w:p>
              </w:tc>
              <w:tc>
                <w:tcPr>
                  <w:tcW w:w="572" w:type="dxa"/>
                  <w:tcBorders>
                    <w:top w:val="single" w:color="auto" w:sz="4" w:space="0"/>
                    <w:left w:val="single" w:color="auto" w:sz="4" w:space="0"/>
                    <w:bottom w:val="single" w:color="auto" w:sz="4" w:space="0"/>
                    <w:right w:val="single" w:color="auto" w:sz="4" w:space="0"/>
                  </w:tcBorders>
                  <w:vAlign w:val="center"/>
                </w:tcPr>
                <w:p w14:paraId="703D3939">
                  <w:pPr>
                    <w:jc w:val="center"/>
                    <w:rPr>
                      <w:color w:val="auto"/>
                      <w:szCs w:val="21"/>
                    </w:rPr>
                  </w:pPr>
                  <w:r>
                    <w:rPr>
                      <w:rFonts w:hint="eastAsia"/>
                      <w:color w:val="auto"/>
                      <w:szCs w:val="21"/>
                    </w:rPr>
                    <w:t>5</w:t>
                  </w:r>
                </w:p>
              </w:tc>
              <w:tc>
                <w:tcPr>
                  <w:tcW w:w="620" w:type="dxa"/>
                  <w:tcBorders>
                    <w:left w:val="single" w:color="auto" w:sz="4" w:space="0"/>
                    <w:bottom w:val="single" w:color="auto" w:sz="4" w:space="0"/>
                    <w:right w:val="single" w:color="auto" w:sz="4" w:space="0"/>
                  </w:tcBorders>
                  <w:vAlign w:val="center"/>
                </w:tcPr>
                <w:p w14:paraId="597C0588">
                  <w:pPr>
                    <w:jc w:val="center"/>
                    <w:rPr>
                      <w:color w:val="auto"/>
                      <w:szCs w:val="21"/>
                    </w:rPr>
                  </w:pPr>
                  <w:r>
                    <w:rPr>
                      <w:rFonts w:hint="eastAsia"/>
                      <w:color w:val="auto"/>
                      <w:szCs w:val="21"/>
                      <w:lang w:val="en-US" w:eastAsia="zh-CN"/>
                    </w:rPr>
                    <w:t>65</w:t>
                  </w:r>
                  <w:r>
                    <w:rPr>
                      <w:rFonts w:hint="eastAsia"/>
                      <w:color w:val="auto"/>
                      <w:szCs w:val="21"/>
                    </w:rPr>
                    <w:t>.1</w:t>
                  </w:r>
                </w:p>
              </w:tc>
              <w:tc>
                <w:tcPr>
                  <w:tcW w:w="582" w:type="dxa"/>
                  <w:vMerge w:val="continue"/>
                  <w:tcBorders>
                    <w:left w:val="single" w:color="auto" w:sz="4" w:space="0"/>
                    <w:right w:val="single" w:color="auto" w:sz="4" w:space="0"/>
                  </w:tcBorders>
                  <w:vAlign w:val="center"/>
                </w:tcPr>
                <w:p w14:paraId="316612BD">
                  <w:pPr>
                    <w:jc w:val="center"/>
                    <w:rPr>
                      <w:color w:val="auto"/>
                      <w:szCs w:val="21"/>
                    </w:rPr>
                  </w:pPr>
                </w:p>
              </w:tc>
              <w:tc>
                <w:tcPr>
                  <w:tcW w:w="692" w:type="dxa"/>
                  <w:vMerge w:val="continue"/>
                  <w:tcBorders>
                    <w:left w:val="single" w:color="auto" w:sz="4" w:space="0"/>
                    <w:right w:val="single" w:color="auto" w:sz="4" w:space="0"/>
                  </w:tcBorders>
                  <w:vAlign w:val="center"/>
                </w:tcPr>
                <w:p w14:paraId="2520929F">
                  <w:pPr>
                    <w:jc w:val="center"/>
                    <w:rPr>
                      <w:color w:val="auto"/>
                      <w:szCs w:val="21"/>
                    </w:rPr>
                  </w:pPr>
                </w:p>
              </w:tc>
              <w:tc>
                <w:tcPr>
                  <w:tcW w:w="652" w:type="dxa"/>
                  <w:vMerge w:val="continue"/>
                  <w:tcBorders>
                    <w:left w:val="single" w:color="auto" w:sz="4" w:space="0"/>
                    <w:right w:val="single" w:color="auto" w:sz="4" w:space="0"/>
                  </w:tcBorders>
                  <w:vAlign w:val="center"/>
                </w:tcPr>
                <w:p w14:paraId="72DF1110">
                  <w:pPr>
                    <w:jc w:val="center"/>
                    <w:rPr>
                      <w:color w:val="auto"/>
                      <w:szCs w:val="21"/>
                    </w:rPr>
                  </w:pPr>
                </w:p>
              </w:tc>
              <w:tc>
                <w:tcPr>
                  <w:tcW w:w="662" w:type="dxa"/>
                  <w:vMerge w:val="continue"/>
                  <w:tcBorders>
                    <w:left w:val="single" w:color="auto" w:sz="4" w:space="0"/>
                    <w:right w:val="single" w:color="auto" w:sz="4" w:space="0"/>
                  </w:tcBorders>
                  <w:vAlign w:val="center"/>
                </w:tcPr>
                <w:p w14:paraId="6BE1DC41">
                  <w:pPr>
                    <w:rPr>
                      <w:color w:val="auto"/>
                      <w:szCs w:val="21"/>
                    </w:rPr>
                  </w:pPr>
                </w:p>
              </w:tc>
            </w:tr>
            <w:tr w14:paraId="423A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5D70975A">
                  <w:pPr>
                    <w:jc w:val="center"/>
                    <w:rPr>
                      <w:color w:val="auto"/>
                      <w:szCs w:val="21"/>
                    </w:rPr>
                  </w:pPr>
                </w:p>
              </w:tc>
              <w:tc>
                <w:tcPr>
                  <w:tcW w:w="471" w:type="dxa"/>
                  <w:vMerge w:val="continue"/>
                  <w:tcBorders>
                    <w:left w:val="single" w:color="auto" w:sz="4" w:space="0"/>
                    <w:right w:val="single" w:color="auto" w:sz="4" w:space="0"/>
                  </w:tcBorders>
                  <w:vAlign w:val="center"/>
                </w:tcPr>
                <w:p w14:paraId="479EC1DB">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132F0C0E">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7FA24E02">
                  <w:pPr>
                    <w:jc w:val="center"/>
                    <w:rPr>
                      <w:color w:val="auto"/>
                      <w:szCs w:val="21"/>
                    </w:rPr>
                  </w:pPr>
                </w:p>
              </w:tc>
              <w:tc>
                <w:tcPr>
                  <w:tcW w:w="445" w:type="dxa"/>
                  <w:vMerge w:val="continue"/>
                  <w:tcBorders>
                    <w:left w:val="single" w:color="auto" w:sz="4" w:space="0"/>
                    <w:right w:val="single" w:color="auto" w:sz="4" w:space="0"/>
                  </w:tcBorders>
                  <w:vAlign w:val="center"/>
                </w:tcPr>
                <w:p w14:paraId="75C4AC3E">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72BC04E4">
                  <w:pPr>
                    <w:jc w:val="center"/>
                    <w:rPr>
                      <w:color w:val="auto"/>
                      <w:szCs w:val="21"/>
                    </w:rPr>
                  </w:pPr>
                </w:p>
              </w:tc>
              <w:tc>
                <w:tcPr>
                  <w:tcW w:w="689" w:type="dxa"/>
                  <w:vMerge w:val="continue"/>
                  <w:tcBorders>
                    <w:left w:val="single" w:color="auto" w:sz="4" w:space="0"/>
                    <w:right w:val="single" w:color="auto" w:sz="4" w:space="0"/>
                  </w:tcBorders>
                  <w:vAlign w:val="center"/>
                </w:tcPr>
                <w:p w14:paraId="5F93B833">
                  <w:pPr>
                    <w:jc w:val="center"/>
                    <w:rPr>
                      <w:color w:val="auto"/>
                      <w:szCs w:val="21"/>
                    </w:rPr>
                  </w:pPr>
                </w:p>
              </w:tc>
              <w:tc>
                <w:tcPr>
                  <w:tcW w:w="370" w:type="dxa"/>
                  <w:vMerge w:val="continue"/>
                  <w:tcBorders>
                    <w:left w:val="single" w:color="auto" w:sz="4" w:space="0"/>
                    <w:right w:val="single" w:color="auto" w:sz="4" w:space="0"/>
                  </w:tcBorders>
                  <w:vAlign w:val="center"/>
                </w:tcPr>
                <w:p w14:paraId="0ED04B7F">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4FE071C5">
                  <w:pPr>
                    <w:jc w:val="center"/>
                    <w:rPr>
                      <w:color w:val="auto"/>
                      <w:szCs w:val="21"/>
                    </w:rPr>
                  </w:pPr>
                  <w:r>
                    <w:rPr>
                      <w:color w:val="auto"/>
                      <w:szCs w:val="21"/>
                    </w:rPr>
                    <w:t>南</w:t>
                  </w:r>
                </w:p>
              </w:tc>
              <w:tc>
                <w:tcPr>
                  <w:tcW w:w="572" w:type="dxa"/>
                  <w:tcBorders>
                    <w:top w:val="single" w:color="auto" w:sz="4" w:space="0"/>
                    <w:left w:val="single" w:color="auto" w:sz="4" w:space="0"/>
                    <w:bottom w:val="single" w:color="auto" w:sz="4" w:space="0"/>
                    <w:right w:val="single" w:color="auto" w:sz="4" w:space="0"/>
                  </w:tcBorders>
                  <w:vAlign w:val="center"/>
                </w:tcPr>
                <w:p w14:paraId="0BAB780E">
                  <w:pPr>
                    <w:jc w:val="center"/>
                    <w:rPr>
                      <w:color w:val="auto"/>
                      <w:szCs w:val="21"/>
                    </w:rPr>
                  </w:pPr>
                  <w:r>
                    <w:rPr>
                      <w:rFonts w:hint="eastAsia"/>
                      <w:color w:val="auto"/>
                      <w:szCs w:val="21"/>
                    </w:rPr>
                    <w:t>30</w:t>
                  </w:r>
                </w:p>
              </w:tc>
              <w:tc>
                <w:tcPr>
                  <w:tcW w:w="620" w:type="dxa"/>
                  <w:tcBorders>
                    <w:left w:val="single" w:color="auto" w:sz="4" w:space="0"/>
                    <w:bottom w:val="single" w:color="auto" w:sz="4" w:space="0"/>
                    <w:right w:val="single" w:color="auto" w:sz="4" w:space="0"/>
                  </w:tcBorders>
                  <w:vAlign w:val="center"/>
                </w:tcPr>
                <w:p w14:paraId="1A085267">
                  <w:pPr>
                    <w:jc w:val="center"/>
                    <w:rPr>
                      <w:color w:val="auto"/>
                      <w:szCs w:val="21"/>
                    </w:rPr>
                  </w:pPr>
                  <w:r>
                    <w:rPr>
                      <w:rFonts w:hint="eastAsia"/>
                      <w:color w:val="auto"/>
                      <w:szCs w:val="21"/>
                      <w:lang w:val="en-US" w:eastAsia="zh-CN"/>
                    </w:rPr>
                    <w:t>63</w:t>
                  </w:r>
                  <w:r>
                    <w:rPr>
                      <w:rFonts w:hint="eastAsia"/>
                      <w:color w:val="auto"/>
                      <w:szCs w:val="21"/>
                    </w:rPr>
                    <w:t>.1</w:t>
                  </w:r>
                </w:p>
              </w:tc>
              <w:tc>
                <w:tcPr>
                  <w:tcW w:w="582" w:type="dxa"/>
                  <w:vMerge w:val="continue"/>
                  <w:tcBorders>
                    <w:left w:val="single" w:color="auto" w:sz="4" w:space="0"/>
                    <w:right w:val="single" w:color="auto" w:sz="4" w:space="0"/>
                  </w:tcBorders>
                  <w:vAlign w:val="center"/>
                </w:tcPr>
                <w:p w14:paraId="28187DD8">
                  <w:pPr>
                    <w:jc w:val="center"/>
                    <w:rPr>
                      <w:color w:val="auto"/>
                      <w:szCs w:val="21"/>
                    </w:rPr>
                  </w:pPr>
                </w:p>
              </w:tc>
              <w:tc>
                <w:tcPr>
                  <w:tcW w:w="692" w:type="dxa"/>
                  <w:vMerge w:val="continue"/>
                  <w:tcBorders>
                    <w:left w:val="single" w:color="auto" w:sz="4" w:space="0"/>
                    <w:right w:val="single" w:color="auto" w:sz="4" w:space="0"/>
                  </w:tcBorders>
                  <w:vAlign w:val="center"/>
                </w:tcPr>
                <w:p w14:paraId="394E34A7">
                  <w:pPr>
                    <w:jc w:val="center"/>
                    <w:rPr>
                      <w:color w:val="auto"/>
                      <w:szCs w:val="21"/>
                    </w:rPr>
                  </w:pPr>
                </w:p>
              </w:tc>
              <w:tc>
                <w:tcPr>
                  <w:tcW w:w="652" w:type="dxa"/>
                  <w:vMerge w:val="continue"/>
                  <w:tcBorders>
                    <w:left w:val="single" w:color="auto" w:sz="4" w:space="0"/>
                    <w:right w:val="single" w:color="auto" w:sz="4" w:space="0"/>
                  </w:tcBorders>
                  <w:vAlign w:val="center"/>
                </w:tcPr>
                <w:p w14:paraId="6AABDF10">
                  <w:pPr>
                    <w:jc w:val="center"/>
                    <w:rPr>
                      <w:color w:val="auto"/>
                      <w:szCs w:val="21"/>
                    </w:rPr>
                  </w:pPr>
                </w:p>
              </w:tc>
              <w:tc>
                <w:tcPr>
                  <w:tcW w:w="662" w:type="dxa"/>
                  <w:vMerge w:val="continue"/>
                  <w:tcBorders>
                    <w:left w:val="single" w:color="auto" w:sz="4" w:space="0"/>
                    <w:right w:val="single" w:color="auto" w:sz="4" w:space="0"/>
                  </w:tcBorders>
                  <w:vAlign w:val="center"/>
                </w:tcPr>
                <w:p w14:paraId="65EB576D">
                  <w:pPr>
                    <w:rPr>
                      <w:color w:val="auto"/>
                      <w:szCs w:val="21"/>
                    </w:rPr>
                  </w:pPr>
                </w:p>
              </w:tc>
            </w:tr>
            <w:tr w14:paraId="78F8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46A11B3A">
                  <w:pPr>
                    <w:jc w:val="center"/>
                    <w:rPr>
                      <w:color w:val="auto"/>
                      <w:szCs w:val="21"/>
                    </w:rPr>
                  </w:pPr>
                </w:p>
              </w:tc>
              <w:tc>
                <w:tcPr>
                  <w:tcW w:w="471" w:type="dxa"/>
                  <w:vMerge w:val="continue"/>
                  <w:tcBorders>
                    <w:left w:val="single" w:color="auto" w:sz="4" w:space="0"/>
                    <w:right w:val="single" w:color="auto" w:sz="4" w:space="0"/>
                  </w:tcBorders>
                  <w:vAlign w:val="center"/>
                </w:tcPr>
                <w:p w14:paraId="30BE7B31">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74BFF7EB">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6E633208">
                  <w:pPr>
                    <w:jc w:val="center"/>
                    <w:rPr>
                      <w:color w:val="auto"/>
                      <w:szCs w:val="21"/>
                    </w:rPr>
                  </w:pPr>
                </w:p>
              </w:tc>
              <w:tc>
                <w:tcPr>
                  <w:tcW w:w="445" w:type="dxa"/>
                  <w:vMerge w:val="continue"/>
                  <w:tcBorders>
                    <w:left w:val="single" w:color="auto" w:sz="4" w:space="0"/>
                    <w:right w:val="single" w:color="auto" w:sz="4" w:space="0"/>
                  </w:tcBorders>
                  <w:vAlign w:val="center"/>
                </w:tcPr>
                <w:p w14:paraId="1AF014CE">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307882BF">
                  <w:pPr>
                    <w:jc w:val="center"/>
                    <w:rPr>
                      <w:color w:val="auto"/>
                      <w:szCs w:val="21"/>
                    </w:rPr>
                  </w:pPr>
                </w:p>
              </w:tc>
              <w:tc>
                <w:tcPr>
                  <w:tcW w:w="689" w:type="dxa"/>
                  <w:vMerge w:val="continue"/>
                  <w:tcBorders>
                    <w:left w:val="single" w:color="auto" w:sz="4" w:space="0"/>
                    <w:right w:val="single" w:color="auto" w:sz="4" w:space="0"/>
                  </w:tcBorders>
                  <w:vAlign w:val="center"/>
                </w:tcPr>
                <w:p w14:paraId="16EEE27A">
                  <w:pPr>
                    <w:jc w:val="center"/>
                    <w:rPr>
                      <w:color w:val="auto"/>
                      <w:szCs w:val="21"/>
                    </w:rPr>
                  </w:pPr>
                </w:p>
              </w:tc>
              <w:tc>
                <w:tcPr>
                  <w:tcW w:w="370" w:type="dxa"/>
                  <w:vMerge w:val="continue"/>
                  <w:tcBorders>
                    <w:left w:val="single" w:color="auto" w:sz="4" w:space="0"/>
                    <w:right w:val="single" w:color="auto" w:sz="4" w:space="0"/>
                  </w:tcBorders>
                  <w:vAlign w:val="center"/>
                </w:tcPr>
                <w:p w14:paraId="198AEF63">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77AA0FFB">
                  <w:pPr>
                    <w:jc w:val="center"/>
                    <w:rPr>
                      <w:color w:val="auto"/>
                      <w:szCs w:val="21"/>
                    </w:rPr>
                  </w:pPr>
                  <w:r>
                    <w:rPr>
                      <w:color w:val="auto"/>
                      <w:szCs w:val="21"/>
                    </w:rPr>
                    <w:t>西</w:t>
                  </w:r>
                </w:p>
              </w:tc>
              <w:tc>
                <w:tcPr>
                  <w:tcW w:w="572" w:type="dxa"/>
                  <w:tcBorders>
                    <w:top w:val="single" w:color="auto" w:sz="4" w:space="0"/>
                    <w:left w:val="single" w:color="auto" w:sz="4" w:space="0"/>
                    <w:bottom w:val="single" w:color="auto" w:sz="4" w:space="0"/>
                    <w:right w:val="single" w:color="auto" w:sz="4" w:space="0"/>
                  </w:tcBorders>
                  <w:vAlign w:val="center"/>
                </w:tcPr>
                <w:p w14:paraId="3D9B92E0">
                  <w:pPr>
                    <w:jc w:val="center"/>
                    <w:rPr>
                      <w:color w:val="auto"/>
                      <w:szCs w:val="21"/>
                    </w:rPr>
                  </w:pPr>
                  <w:r>
                    <w:rPr>
                      <w:rFonts w:hint="eastAsia"/>
                      <w:color w:val="auto"/>
                      <w:szCs w:val="21"/>
                    </w:rPr>
                    <w:t>63</w:t>
                  </w:r>
                </w:p>
              </w:tc>
              <w:tc>
                <w:tcPr>
                  <w:tcW w:w="620" w:type="dxa"/>
                  <w:tcBorders>
                    <w:left w:val="single" w:color="auto" w:sz="4" w:space="0"/>
                    <w:bottom w:val="single" w:color="auto" w:sz="4" w:space="0"/>
                    <w:right w:val="single" w:color="auto" w:sz="4" w:space="0"/>
                  </w:tcBorders>
                  <w:vAlign w:val="center"/>
                </w:tcPr>
                <w:p w14:paraId="057F793B">
                  <w:pPr>
                    <w:jc w:val="center"/>
                    <w:rPr>
                      <w:color w:val="auto"/>
                      <w:szCs w:val="21"/>
                    </w:rPr>
                  </w:pPr>
                  <w:r>
                    <w:rPr>
                      <w:rFonts w:hint="eastAsia"/>
                      <w:color w:val="auto"/>
                      <w:szCs w:val="21"/>
                      <w:lang w:val="en-US" w:eastAsia="zh-CN"/>
                    </w:rPr>
                    <w:t>63</w:t>
                  </w:r>
                  <w:r>
                    <w:rPr>
                      <w:rFonts w:hint="eastAsia"/>
                      <w:color w:val="auto"/>
                      <w:szCs w:val="21"/>
                    </w:rPr>
                    <w:t>.0</w:t>
                  </w:r>
                </w:p>
              </w:tc>
              <w:tc>
                <w:tcPr>
                  <w:tcW w:w="582" w:type="dxa"/>
                  <w:vMerge w:val="continue"/>
                  <w:tcBorders>
                    <w:left w:val="single" w:color="auto" w:sz="4" w:space="0"/>
                    <w:right w:val="single" w:color="auto" w:sz="4" w:space="0"/>
                  </w:tcBorders>
                  <w:vAlign w:val="center"/>
                </w:tcPr>
                <w:p w14:paraId="5C32EA0E">
                  <w:pPr>
                    <w:jc w:val="center"/>
                    <w:rPr>
                      <w:color w:val="auto"/>
                      <w:szCs w:val="21"/>
                    </w:rPr>
                  </w:pPr>
                </w:p>
              </w:tc>
              <w:tc>
                <w:tcPr>
                  <w:tcW w:w="692" w:type="dxa"/>
                  <w:vMerge w:val="continue"/>
                  <w:tcBorders>
                    <w:left w:val="single" w:color="auto" w:sz="4" w:space="0"/>
                    <w:right w:val="single" w:color="auto" w:sz="4" w:space="0"/>
                  </w:tcBorders>
                  <w:vAlign w:val="center"/>
                </w:tcPr>
                <w:p w14:paraId="75911118">
                  <w:pPr>
                    <w:jc w:val="center"/>
                    <w:rPr>
                      <w:color w:val="auto"/>
                      <w:szCs w:val="21"/>
                    </w:rPr>
                  </w:pPr>
                </w:p>
              </w:tc>
              <w:tc>
                <w:tcPr>
                  <w:tcW w:w="652" w:type="dxa"/>
                  <w:vMerge w:val="continue"/>
                  <w:tcBorders>
                    <w:left w:val="single" w:color="auto" w:sz="4" w:space="0"/>
                    <w:right w:val="single" w:color="auto" w:sz="4" w:space="0"/>
                  </w:tcBorders>
                  <w:vAlign w:val="center"/>
                </w:tcPr>
                <w:p w14:paraId="6041E7A4">
                  <w:pPr>
                    <w:jc w:val="center"/>
                    <w:rPr>
                      <w:color w:val="auto"/>
                      <w:szCs w:val="21"/>
                    </w:rPr>
                  </w:pPr>
                </w:p>
              </w:tc>
              <w:tc>
                <w:tcPr>
                  <w:tcW w:w="662" w:type="dxa"/>
                  <w:vMerge w:val="continue"/>
                  <w:tcBorders>
                    <w:left w:val="single" w:color="auto" w:sz="4" w:space="0"/>
                    <w:right w:val="single" w:color="auto" w:sz="4" w:space="0"/>
                  </w:tcBorders>
                  <w:vAlign w:val="center"/>
                </w:tcPr>
                <w:p w14:paraId="264DFF28">
                  <w:pPr>
                    <w:rPr>
                      <w:color w:val="auto"/>
                      <w:szCs w:val="21"/>
                    </w:rPr>
                  </w:pPr>
                </w:p>
              </w:tc>
            </w:tr>
            <w:tr w14:paraId="6C7D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02A7AA10">
                  <w:pPr>
                    <w:jc w:val="center"/>
                    <w:rPr>
                      <w:color w:val="auto"/>
                      <w:szCs w:val="21"/>
                    </w:rPr>
                  </w:pPr>
                </w:p>
              </w:tc>
              <w:tc>
                <w:tcPr>
                  <w:tcW w:w="471" w:type="dxa"/>
                  <w:vMerge w:val="continue"/>
                  <w:tcBorders>
                    <w:left w:val="single" w:color="auto" w:sz="4" w:space="0"/>
                    <w:right w:val="single" w:color="auto" w:sz="4" w:space="0"/>
                  </w:tcBorders>
                  <w:vAlign w:val="center"/>
                </w:tcPr>
                <w:p w14:paraId="2D40D18A">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bottom w:val="single" w:color="auto" w:sz="4" w:space="0"/>
                    <w:right w:val="single" w:color="auto" w:sz="4" w:space="0"/>
                  </w:tcBorders>
                  <w:vAlign w:val="center"/>
                </w:tcPr>
                <w:p w14:paraId="051F7D00">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bottom w:val="single" w:color="auto" w:sz="4" w:space="0"/>
                    <w:right w:val="single" w:color="auto" w:sz="4" w:space="0"/>
                  </w:tcBorders>
                  <w:vAlign w:val="center"/>
                </w:tcPr>
                <w:p w14:paraId="6DCC2A79">
                  <w:pPr>
                    <w:jc w:val="center"/>
                    <w:rPr>
                      <w:color w:val="auto"/>
                      <w:szCs w:val="21"/>
                    </w:rPr>
                  </w:pPr>
                </w:p>
              </w:tc>
              <w:tc>
                <w:tcPr>
                  <w:tcW w:w="445" w:type="dxa"/>
                  <w:vMerge w:val="continue"/>
                  <w:tcBorders>
                    <w:left w:val="single" w:color="auto" w:sz="4" w:space="0"/>
                    <w:right w:val="single" w:color="auto" w:sz="4" w:space="0"/>
                  </w:tcBorders>
                  <w:vAlign w:val="center"/>
                </w:tcPr>
                <w:p w14:paraId="3EE63AB8">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0557BC7F">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2CF506A8">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151409EB">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3F49FB63">
                  <w:pPr>
                    <w:jc w:val="center"/>
                    <w:rPr>
                      <w:color w:val="auto"/>
                      <w:szCs w:val="21"/>
                    </w:rPr>
                  </w:pPr>
                  <w:r>
                    <w:rPr>
                      <w:color w:val="auto"/>
                      <w:szCs w:val="21"/>
                    </w:rPr>
                    <w:t>北</w:t>
                  </w:r>
                </w:p>
              </w:tc>
              <w:tc>
                <w:tcPr>
                  <w:tcW w:w="572" w:type="dxa"/>
                  <w:tcBorders>
                    <w:top w:val="single" w:color="auto" w:sz="4" w:space="0"/>
                    <w:left w:val="single" w:color="auto" w:sz="4" w:space="0"/>
                    <w:bottom w:val="single" w:color="auto" w:sz="4" w:space="0"/>
                    <w:right w:val="single" w:color="auto" w:sz="4" w:space="0"/>
                  </w:tcBorders>
                  <w:vAlign w:val="center"/>
                </w:tcPr>
                <w:p w14:paraId="2D7A1433">
                  <w:pPr>
                    <w:jc w:val="center"/>
                    <w:rPr>
                      <w:color w:val="auto"/>
                      <w:szCs w:val="21"/>
                    </w:rPr>
                  </w:pPr>
                  <w:r>
                    <w:rPr>
                      <w:rFonts w:hint="eastAsia"/>
                      <w:color w:val="auto"/>
                      <w:szCs w:val="21"/>
                    </w:rPr>
                    <w:t>15</w:t>
                  </w:r>
                </w:p>
              </w:tc>
              <w:tc>
                <w:tcPr>
                  <w:tcW w:w="620" w:type="dxa"/>
                  <w:tcBorders>
                    <w:left w:val="single" w:color="auto" w:sz="4" w:space="0"/>
                    <w:bottom w:val="single" w:color="auto" w:sz="4" w:space="0"/>
                    <w:right w:val="single" w:color="auto" w:sz="4" w:space="0"/>
                  </w:tcBorders>
                  <w:vAlign w:val="center"/>
                </w:tcPr>
                <w:p w14:paraId="2BB09818">
                  <w:pPr>
                    <w:jc w:val="center"/>
                    <w:rPr>
                      <w:color w:val="auto"/>
                      <w:szCs w:val="21"/>
                    </w:rPr>
                  </w:pPr>
                  <w:r>
                    <w:rPr>
                      <w:rFonts w:hint="eastAsia"/>
                      <w:color w:val="auto"/>
                      <w:szCs w:val="21"/>
                      <w:lang w:val="en-US" w:eastAsia="zh-CN"/>
                    </w:rPr>
                    <w:t>63</w:t>
                  </w:r>
                  <w:r>
                    <w:rPr>
                      <w:rFonts w:hint="eastAsia"/>
                      <w:color w:val="auto"/>
                      <w:szCs w:val="21"/>
                    </w:rPr>
                    <w:t>.3</w:t>
                  </w:r>
                </w:p>
              </w:tc>
              <w:tc>
                <w:tcPr>
                  <w:tcW w:w="582" w:type="dxa"/>
                  <w:vMerge w:val="continue"/>
                  <w:tcBorders>
                    <w:left w:val="single" w:color="auto" w:sz="4" w:space="0"/>
                    <w:right w:val="single" w:color="auto" w:sz="4" w:space="0"/>
                  </w:tcBorders>
                  <w:vAlign w:val="center"/>
                </w:tcPr>
                <w:p w14:paraId="2EF6F049">
                  <w:pPr>
                    <w:jc w:val="center"/>
                    <w:rPr>
                      <w:color w:val="auto"/>
                      <w:szCs w:val="21"/>
                    </w:rPr>
                  </w:pPr>
                </w:p>
              </w:tc>
              <w:tc>
                <w:tcPr>
                  <w:tcW w:w="692" w:type="dxa"/>
                  <w:vMerge w:val="continue"/>
                  <w:tcBorders>
                    <w:left w:val="single" w:color="auto" w:sz="4" w:space="0"/>
                    <w:right w:val="single" w:color="auto" w:sz="4" w:space="0"/>
                  </w:tcBorders>
                  <w:vAlign w:val="center"/>
                </w:tcPr>
                <w:p w14:paraId="5C1183E0">
                  <w:pPr>
                    <w:jc w:val="center"/>
                    <w:rPr>
                      <w:color w:val="auto"/>
                      <w:szCs w:val="21"/>
                    </w:rPr>
                  </w:pPr>
                </w:p>
              </w:tc>
              <w:tc>
                <w:tcPr>
                  <w:tcW w:w="652" w:type="dxa"/>
                  <w:vMerge w:val="continue"/>
                  <w:tcBorders>
                    <w:left w:val="single" w:color="auto" w:sz="4" w:space="0"/>
                    <w:right w:val="single" w:color="auto" w:sz="4" w:space="0"/>
                  </w:tcBorders>
                  <w:vAlign w:val="center"/>
                </w:tcPr>
                <w:p w14:paraId="4AFC2B49">
                  <w:pPr>
                    <w:jc w:val="center"/>
                    <w:rPr>
                      <w:color w:val="auto"/>
                      <w:szCs w:val="21"/>
                    </w:rPr>
                  </w:pPr>
                </w:p>
              </w:tc>
              <w:tc>
                <w:tcPr>
                  <w:tcW w:w="662" w:type="dxa"/>
                  <w:vMerge w:val="continue"/>
                  <w:tcBorders>
                    <w:left w:val="single" w:color="auto" w:sz="4" w:space="0"/>
                    <w:right w:val="single" w:color="auto" w:sz="4" w:space="0"/>
                  </w:tcBorders>
                  <w:vAlign w:val="center"/>
                </w:tcPr>
                <w:p w14:paraId="0D65D05B">
                  <w:pPr>
                    <w:rPr>
                      <w:color w:val="auto"/>
                      <w:szCs w:val="21"/>
                    </w:rPr>
                  </w:pPr>
                </w:p>
              </w:tc>
            </w:tr>
            <w:tr w14:paraId="2ED2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restart"/>
                  <w:tcBorders>
                    <w:left w:val="single" w:color="auto" w:sz="4" w:space="0"/>
                    <w:right w:val="single" w:color="auto" w:sz="4" w:space="0"/>
                  </w:tcBorders>
                  <w:vAlign w:val="center"/>
                </w:tcPr>
                <w:p w14:paraId="7952FC7A">
                  <w:pPr>
                    <w:jc w:val="center"/>
                    <w:rPr>
                      <w:color w:val="auto"/>
                      <w:szCs w:val="21"/>
                    </w:rPr>
                  </w:pPr>
                  <w:r>
                    <w:rPr>
                      <w:rFonts w:hint="eastAsia"/>
                      <w:color w:val="auto"/>
                      <w:szCs w:val="21"/>
                    </w:rPr>
                    <w:t>9</w:t>
                  </w:r>
                </w:p>
              </w:tc>
              <w:tc>
                <w:tcPr>
                  <w:tcW w:w="471" w:type="dxa"/>
                  <w:vMerge w:val="continue"/>
                  <w:tcBorders>
                    <w:left w:val="single" w:color="auto" w:sz="4" w:space="0"/>
                    <w:right w:val="single" w:color="auto" w:sz="4" w:space="0"/>
                  </w:tcBorders>
                  <w:vAlign w:val="center"/>
                </w:tcPr>
                <w:p w14:paraId="3FBB8DCF">
                  <w:pPr>
                    <w:pStyle w:val="32"/>
                    <w:spacing w:before="0" w:beforeAutospacing="0" w:after="0" w:afterAutospacing="0"/>
                    <w:jc w:val="center"/>
                    <w:rPr>
                      <w:rFonts w:ascii="Times New Roman" w:hAnsi="Times New Roman"/>
                      <w:color w:val="auto"/>
                      <w:sz w:val="21"/>
                      <w:szCs w:val="21"/>
                    </w:rPr>
                  </w:pPr>
                </w:p>
              </w:tc>
              <w:tc>
                <w:tcPr>
                  <w:tcW w:w="691" w:type="dxa"/>
                  <w:vMerge w:val="restart"/>
                  <w:tcBorders>
                    <w:left w:val="single" w:color="auto" w:sz="4" w:space="0"/>
                    <w:right w:val="single" w:color="auto" w:sz="4" w:space="0"/>
                  </w:tcBorders>
                  <w:vAlign w:val="center"/>
                </w:tcPr>
                <w:p w14:paraId="2B963C3A">
                  <w:pPr>
                    <w:pStyle w:val="32"/>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eastAsia="zh-CN"/>
                    </w:rPr>
                    <w:t>磨床</w:t>
                  </w:r>
                  <w:r>
                    <w:rPr>
                      <w:rFonts w:hint="eastAsia" w:ascii="Times New Roman" w:hAnsi="Times New Roman"/>
                      <w:color w:val="auto"/>
                      <w:sz w:val="21"/>
                      <w:szCs w:val="21"/>
                    </w:rPr>
                    <w:t>（1台）</w:t>
                  </w:r>
                </w:p>
              </w:tc>
              <w:tc>
                <w:tcPr>
                  <w:tcW w:w="733" w:type="dxa"/>
                  <w:vMerge w:val="restart"/>
                  <w:tcBorders>
                    <w:left w:val="single" w:color="auto" w:sz="4" w:space="0"/>
                    <w:right w:val="single" w:color="auto" w:sz="4" w:space="0"/>
                  </w:tcBorders>
                  <w:vAlign w:val="center"/>
                </w:tcPr>
                <w:p w14:paraId="589E2E35">
                  <w:pPr>
                    <w:jc w:val="center"/>
                    <w:rPr>
                      <w:color w:val="auto"/>
                      <w:szCs w:val="21"/>
                    </w:rPr>
                  </w:pPr>
                  <w:r>
                    <w:rPr>
                      <w:rFonts w:hint="eastAsia"/>
                      <w:color w:val="auto"/>
                      <w:szCs w:val="21"/>
                      <w:lang w:val="en-US" w:eastAsia="zh-CN"/>
                    </w:rPr>
                    <w:t>83</w:t>
                  </w:r>
                  <w:r>
                    <w:rPr>
                      <w:rFonts w:hint="eastAsia"/>
                      <w:color w:val="auto"/>
                      <w:szCs w:val="21"/>
                    </w:rPr>
                    <w:t>（单台</w:t>
                  </w:r>
                  <w:r>
                    <w:rPr>
                      <w:rFonts w:hint="eastAsia"/>
                      <w:color w:val="auto"/>
                      <w:szCs w:val="21"/>
                      <w:lang w:val="en-US" w:eastAsia="zh-CN"/>
                    </w:rPr>
                    <w:t>83</w:t>
                  </w:r>
                  <w:r>
                    <w:rPr>
                      <w:rFonts w:hint="eastAsia"/>
                      <w:color w:val="auto"/>
                      <w:szCs w:val="21"/>
                    </w:rPr>
                    <w:t>）</w:t>
                  </w:r>
                </w:p>
              </w:tc>
              <w:tc>
                <w:tcPr>
                  <w:tcW w:w="445" w:type="dxa"/>
                  <w:vMerge w:val="continue"/>
                  <w:tcBorders>
                    <w:left w:val="single" w:color="auto" w:sz="4" w:space="0"/>
                    <w:right w:val="single" w:color="auto" w:sz="4" w:space="0"/>
                  </w:tcBorders>
                  <w:vAlign w:val="center"/>
                </w:tcPr>
                <w:p w14:paraId="75CF9E35">
                  <w:pPr>
                    <w:pStyle w:val="32"/>
                    <w:spacing w:before="0" w:beforeAutospacing="0" w:after="0" w:afterAutospacing="0"/>
                    <w:jc w:val="center"/>
                    <w:rPr>
                      <w:rFonts w:ascii="Times New Roman" w:hAnsi="Times New Roman"/>
                      <w:color w:val="auto"/>
                      <w:sz w:val="21"/>
                      <w:szCs w:val="21"/>
                    </w:rPr>
                  </w:pPr>
                </w:p>
              </w:tc>
              <w:tc>
                <w:tcPr>
                  <w:tcW w:w="689" w:type="dxa"/>
                  <w:vMerge w:val="restart"/>
                  <w:tcBorders>
                    <w:left w:val="single" w:color="auto" w:sz="4" w:space="0"/>
                    <w:right w:val="single" w:color="auto" w:sz="4" w:space="0"/>
                  </w:tcBorders>
                  <w:vAlign w:val="center"/>
                </w:tcPr>
                <w:p w14:paraId="4CCBACFD">
                  <w:pPr>
                    <w:jc w:val="center"/>
                    <w:rPr>
                      <w:color w:val="auto"/>
                      <w:szCs w:val="21"/>
                    </w:rPr>
                  </w:pPr>
                  <w:r>
                    <w:rPr>
                      <w:rFonts w:hint="eastAsia"/>
                      <w:color w:val="auto"/>
                      <w:szCs w:val="21"/>
                    </w:rPr>
                    <w:t>29</w:t>
                  </w:r>
                </w:p>
              </w:tc>
              <w:tc>
                <w:tcPr>
                  <w:tcW w:w="689" w:type="dxa"/>
                  <w:vMerge w:val="restart"/>
                  <w:tcBorders>
                    <w:left w:val="single" w:color="auto" w:sz="4" w:space="0"/>
                    <w:right w:val="single" w:color="auto" w:sz="4" w:space="0"/>
                  </w:tcBorders>
                  <w:vAlign w:val="center"/>
                </w:tcPr>
                <w:p w14:paraId="063825AC">
                  <w:pPr>
                    <w:jc w:val="center"/>
                    <w:rPr>
                      <w:color w:val="auto"/>
                      <w:szCs w:val="21"/>
                    </w:rPr>
                  </w:pPr>
                  <w:r>
                    <w:rPr>
                      <w:rFonts w:hint="eastAsia"/>
                      <w:color w:val="auto"/>
                      <w:szCs w:val="21"/>
                    </w:rPr>
                    <w:t>9.5</w:t>
                  </w:r>
                </w:p>
              </w:tc>
              <w:tc>
                <w:tcPr>
                  <w:tcW w:w="370" w:type="dxa"/>
                  <w:vMerge w:val="restart"/>
                  <w:tcBorders>
                    <w:left w:val="single" w:color="auto" w:sz="4" w:space="0"/>
                    <w:right w:val="single" w:color="auto" w:sz="4" w:space="0"/>
                  </w:tcBorders>
                  <w:vAlign w:val="center"/>
                </w:tcPr>
                <w:p w14:paraId="60553EB9">
                  <w:pPr>
                    <w:jc w:val="center"/>
                    <w:rPr>
                      <w:color w:val="auto"/>
                      <w:szCs w:val="21"/>
                    </w:rPr>
                  </w:pPr>
                  <w:r>
                    <w:rPr>
                      <w:rFonts w:hint="eastAsia"/>
                      <w:color w:val="auto"/>
                      <w:szCs w:val="21"/>
                    </w:rPr>
                    <w:t>1</w:t>
                  </w:r>
                </w:p>
              </w:tc>
              <w:tc>
                <w:tcPr>
                  <w:tcW w:w="465" w:type="dxa"/>
                  <w:tcBorders>
                    <w:top w:val="single" w:color="auto" w:sz="4" w:space="0"/>
                    <w:left w:val="single" w:color="auto" w:sz="4" w:space="0"/>
                    <w:bottom w:val="single" w:color="auto" w:sz="4" w:space="0"/>
                    <w:right w:val="single" w:color="auto" w:sz="4" w:space="0"/>
                  </w:tcBorders>
                  <w:vAlign w:val="center"/>
                </w:tcPr>
                <w:p w14:paraId="586C3F17">
                  <w:pPr>
                    <w:jc w:val="center"/>
                    <w:rPr>
                      <w:color w:val="auto"/>
                      <w:szCs w:val="21"/>
                    </w:rPr>
                  </w:pPr>
                  <w:r>
                    <w:rPr>
                      <w:rFonts w:hint="eastAsia"/>
                      <w:color w:val="auto"/>
                      <w:szCs w:val="21"/>
                    </w:rPr>
                    <w:t>东</w:t>
                  </w:r>
                </w:p>
              </w:tc>
              <w:tc>
                <w:tcPr>
                  <w:tcW w:w="572" w:type="dxa"/>
                  <w:tcBorders>
                    <w:top w:val="single" w:color="auto" w:sz="4" w:space="0"/>
                    <w:left w:val="single" w:color="auto" w:sz="4" w:space="0"/>
                    <w:bottom w:val="single" w:color="auto" w:sz="4" w:space="0"/>
                    <w:right w:val="single" w:color="auto" w:sz="4" w:space="0"/>
                  </w:tcBorders>
                  <w:vAlign w:val="center"/>
                </w:tcPr>
                <w:p w14:paraId="59F6A794">
                  <w:pPr>
                    <w:jc w:val="center"/>
                    <w:rPr>
                      <w:color w:val="auto"/>
                      <w:szCs w:val="21"/>
                    </w:rPr>
                  </w:pPr>
                  <w:r>
                    <w:rPr>
                      <w:rFonts w:hint="eastAsia"/>
                      <w:color w:val="auto"/>
                      <w:szCs w:val="21"/>
                    </w:rPr>
                    <w:t>5</w:t>
                  </w:r>
                </w:p>
              </w:tc>
              <w:tc>
                <w:tcPr>
                  <w:tcW w:w="620" w:type="dxa"/>
                  <w:tcBorders>
                    <w:left w:val="single" w:color="auto" w:sz="4" w:space="0"/>
                    <w:bottom w:val="single" w:color="auto" w:sz="4" w:space="0"/>
                    <w:right w:val="single" w:color="auto" w:sz="4" w:space="0"/>
                  </w:tcBorders>
                  <w:vAlign w:val="center"/>
                </w:tcPr>
                <w:p w14:paraId="3B736BA3">
                  <w:pPr>
                    <w:jc w:val="center"/>
                    <w:rPr>
                      <w:color w:val="auto"/>
                      <w:szCs w:val="21"/>
                    </w:rPr>
                  </w:pPr>
                  <w:r>
                    <w:rPr>
                      <w:rFonts w:hint="eastAsia"/>
                      <w:color w:val="auto"/>
                      <w:szCs w:val="21"/>
                      <w:lang w:val="en-US" w:eastAsia="zh-CN"/>
                    </w:rPr>
                    <w:t>65</w:t>
                  </w:r>
                  <w:r>
                    <w:rPr>
                      <w:rFonts w:hint="eastAsia"/>
                      <w:color w:val="auto"/>
                      <w:szCs w:val="21"/>
                    </w:rPr>
                    <w:t>.1</w:t>
                  </w:r>
                </w:p>
              </w:tc>
              <w:tc>
                <w:tcPr>
                  <w:tcW w:w="582" w:type="dxa"/>
                  <w:vMerge w:val="continue"/>
                  <w:tcBorders>
                    <w:left w:val="single" w:color="auto" w:sz="4" w:space="0"/>
                    <w:right w:val="single" w:color="auto" w:sz="4" w:space="0"/>
                  </w:tcBorders>
                  <w:vAlign w:val="center"/>
                </w:tcPr>
                <w:p w14:paraId="7A21D10E">
                  <w:pPr>
                    <w:jc w:val="center"/>
                    <w:rPr>
                      <w:color w:val="auto"/>
                      <w:szCs w:val="21"/>
                    </w:rPr>
                  </w:pPr>
                </w:p>
              </w:tc>
              <w:tc>
                <w:tcPr>
                  <w:tcW w:w="692" w:type="dxa"/>
                  <w:vMerge w:val="continue"/>
                  <w:tcBorders>
                    <w:left w:val="single" w:color="auto" w:sz="4" w:space="0"/>
                    <w:right w:val="single" w:color="auto" w:sz="4" w:space="0"/>
                  </w:tcBorders>
                  <w:vAlign w:val="center"/>
                </w:tcPr>
                <w:p w14:paraId="0B0FE45C">
                  <w:pPr>
                    <w:jc w:val="center"/>
                    <w:rPr>
                      <w:color w:val="auto"/>
                      <w:szCs w:val="21"/>
                    </w:rPr>
                  </w:pPr>
                </w:p>
              </w:tc>
              <w:tc>
                <w:tcPr>
                  <w:tcW w:w="652" w:type="dxa"/>
                  <w:vMerge w:val="continue"/>
                  <w:tcBorders>
                    <w:left w:val="single" w:color="auto" w:sz="4" w:space="0"/>
                    <w:right w:val="single" w:color="auto" w:sz="4" w:space="0"/>
                  </w:tcBorders>
                  <w:vAlign w:val="center"/>
                </w:tcPr>
                <w:p w14:paraId="64F7EEEB">
                  <w:pPr>
                    <w:jc w:val="center"/>
                    <w:rPr>
                      <w:color w:val="auto"/>
                      <w:szCs w:val="21"/>
                    </w:rPr>
                  </w:pPr>
                </w:p>
              </w:tc>
              <w:tc>
                <w:tcPr>
                  <w:tcW w:w="662" w:type="dxa"/>
                  <w:vMerge w:val="continue"/>
                  <w:tcBorders>
                    <w:left w:val="single" w:color="auto" w:sz="4" w:space="0"/>
                    <w:right w:val="single" w:color="auto" w:sz="4" w:space="0"/>
                  </w:tcBorders>
                  <w:vAlign w:val="center"/>
                </w:tcPr>
                <w:p w14:paraId="32ED4A19">
                  <w:pPr>
                    <w:rPr>
                      <w:color w:val="auto"/>
                      <w:szCs w:val="21"/>
                    </w:rPr>
                  </w:pPr>
                </w:p>
              </w:tc>
            </w:tr>
            <w:tr w14:paraId="3938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2D3F9FA0">
                  <w:pPr>
                    <w:jc w:val="center"/>
                    <w:rPr>
                      <w:color w:val="auto"/>
                      <w:szCs w:val="21"/>
                    </w:rPr>
                  </w:pPr>
                </w:p>
              </w:tc>
              <w:tc>
                <w:tcPr>
                  <w:tcW w:w="471" w:type="dxa"/>
                  <w:vMerge w:val="continue"/>
                  <w:tcBorders>
                    <w:left w:val="single" w:color="auto" w:sz="4" w:space="0"/>
                    <w:right w:val="single" w:color="auto" w:sz="4" w:space="0"/>
                  </w:tcBorders>
                  <w:vAlign w:val="center"/>
                </w:tcPr>
                <w:p w14:paraId="158EBBE7">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78049382">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66897D18">
                  <w:pPr>
                    <w:jc w:val="center"/>
                    <w:rPr>
                      <w:color w:val="auto"/>
                      <w:szCs w:val="21"/>
                    </w:rPr>
                  </w:pPr>
                </w:p>
              </w:tc>
              <w:tc>
                <w:tcPr>
                  <w:tcW w:w="445" w:type="dxa"/>
                  <w:vMerge w:val="continue"/>
                  <w:tcBorders>
                    <w:left w:val="single" w:color="auto" w:sz="4" w:space="0"/>
                    <w:right w:val="single" w:color="auto" w:sz="4" w:space="0"/>
                  </w:tcBorders>
                  <w:vAlign w:val="center"/>
                </w:tcPr>
                <w:p w14:paraId="5222D327">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674C5824">
                  <w:pPr>
                    <w:jc w:val="center"/>
                    <w:rPr>
                      <w:color w:val="auto"/>
                      <w:szCs w:val="21"/>
                    </w:rPr>
                  </w:pPr>
                </w:p>
              </w:tc>
              <w:tc>
                <w:tcPr>
                  <w:tcW w:w="689" w:type="dxa"/>
                  <w:vMerge w:val="continue"/>
                  <w:tcBorders>
                    <w:left w:val="single" w:color="auto" w:sz="4" w:space="0"/>
                    <w:right w:val="single" w:color="auto" w:sz="4" w:space="0"/>
                  </w:tcBorders>
                  <w:vAlign w:val="center"/>
                </w:tcPr>
                <w:p w14:paraId="3E7FD19B">
                  <w:pPr>
                    <w:jc w:val="center"/>
                    <w:rPr>
                      <w:color w:val="auto"/>
                      <w:szCs w:val="21"/>
                    </w:rPr>
                  </w:pPr>
                </w:p>
              </w:tc>
              <w:tc>
                <w:tcPr>
                  <w:tcW w:w="370" w:type="dxa"/>
                  <w:vMerge w:val="continue"/>
                  <w:tcBorders>
                    <w:left w:val="single" w:color="auto" w:sz="4" w:space="0"/>
                    <w:right w:val="single" w:color="auto" w:sz="4" w:space="0"/>
                  </w:tcBorders>
                  <w:vAlign w:val="center"/>
                </w:tcPr>
                <w:p w14:paraId="7E19B990">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1E2FF098">
                  <w:pPr>
                    <w:jc w:val="center"/>
                    <w:rPr>
                      <w:color w:val="auto"/>
                      <w:szCs w:val="21"/>
                    </w:rPr>
                  </w:pPr>
                  <w:r>
                    <w:rPr>
                      <w:color w:val="auto"/>
                      <w:szCs w:val="21"/>
                    </w:rPr>
                    <w:t>南</w:t>
                  </w:r>
                </w:p>
              </w:tc>
              <w:tc>
                <w:tcPr>
                  <w:tcW w:w="572" w:type="dxa"/>
                  <w:tcBorders>
                    <w:top w:val="single" w:color="auto" w:sz="4" w:space="0"/>
                    <w:left w:val="single" w:color="auto" w:sz="4" w:space="0"/>
                    <w:bottom w:val="single" w:color="auto" w:sz="4" w:space="0"/>
                    <w:right w:val="single" w:color="auto" w:sz="4" w:space="0"/>
                  </w:tcBorders>
                  <w:vAlign w:val="center"/>
                </w:tcPr>
                <w:p w14:paraId="6C8AA4E5">
                  <w:pPr>
                    <w:jc w:val="center"/>
                    <w:rPr>
                      <w:color w:val="auto"/>
                      <w:szCs w:val="21"/>
                    </w:rPr>
                  </w:pPr>
                  <w:r>
                    <w:rPr>
                      <w:rFonts w:hint="eastAsia"/>
                      <w:color w:val="auto"/>
                      <w:szCs w:val="21"/>
                    </w:rPr>
                    <w:t>32</w:t>
                  </w:r>
                </w:p>
              </w:tc>
              <w:tc>
                <w:tcPr>
                  <w:tcW w:w="620" w:type="dxa"/>
                  <w:tcBorders>
                    <w:left w:val="single" w:color="auto" w:sz="4" w:space="0"/>
                    <w:bottom w:val="single" w:color="auto" w:sz="4" w:space="0"/>
                    <w:right w:val="single" w:color="auto" w:sz="4" w:space="0"/>
                  </w:tcBorders>
                  <w:vAlign w:val="center"/>
                </w:tcPr>
                <w:p w14:paraId="6EDB9A36">
                  <w:pPr>
                    <w:jc w:val="center"/>
                    <w:rPr>
                      <w:color w:val="auto"/>
                      <w:szCs w:val="21"/>
                    </w:rPr>
                  </w:pPr>
                  <w:r>
                    <w:rPr>
                      <w:rFonts w:hint="eastAsia"/>
                      <w:color w:val="auto"/>
                      <w:szCs w:val="21"/>
                      <w:lang w:val="en-US" w:eastAsia="zh-CN"/>
                    </w:rPr>
                    <w:t>63</w:t>
                  </w:r>
                  <w:r>
                    <w:rPr>
                      <w:rFonts w:hint="eastAsia"/>
                      <w:color w:val="auto"/>
                      <w:szCs w:val="21"/>
                    </w:rPr>
                    <w:t>.1</w:t>
                  </w:r>
                </w:p>
              </w:tc>
              <w:tc>
                <w:tcPr>
                  <w:tcW w:w="582" w:type="dxa"/>
                  <w:vMerge w:val="continue"/>
                  <w:tcBorders>
                    <w:left w:val="single" w:color="auto" w:sz="4" w:space="0"/>
                    <w:right w:val="single" w:color="auto" w:sz="4" w:space="0"/>
                  </w:tcBorders>
                  <w:vAlign w:val="center"/>
                </w:tcPr>
                <w:p w14:paraId="09573439">
                  <w:pPr>
                    <w:jc w:val="center"/>
                    <w:rPr>
                      <w:color w:val="auto"/>
                      <w:szCs w:val="21"/>
                    </w:rPr>
                  </w:pPr>
                </w:p>
              </w:tc>
              <w:tc>
                <w:tcPr>
                  <w:tcW w:w="692" w:type="dxa"/>
                  <w:vMerge w:val="continue"/>
                  <w:tcBorders>
                    <w:left w:val="single" w:color="auto" w:sz="4" w:space="0"/>
                    <w:right w:val="single" w:color="auto" w:sz="4" w:space="0"/>
                  </w:tcBorders>
                  <w:vAlign w:val="center"/>
                </w:tcPr>
                <w:p w14:paraId="7167661A">
                  <w:pPr>
                    <w:jc w:val="center"/>
                    <w:rPr>
                      <w:color w:val="auto"/>
                      <w:szCs w:val="21"/>
                    </w:rPr>
                  </w:pPr>
                </w:p>
              </w:tc>
              <w:tc>
                <w:tcPr>
                  <w:tcW w:w="652" w:type="dxa"/>
                  <w:vMerge w:val="continue"/>
                  <w:tcBorders>
                    <w:left w:val="single" w:color="auto" w:sz="4" w:space="0"/>
                    <w:right w:val="single" w:color="auto" w:sz="4" w:space="0"/>
                  </w:tcBorders>
                  <w:vAlign w:val="center"/>
                </w:tcPr>
                <w:p w14:paraId="0D41536C">
                  <w:pPr>
                    <w:jc w:val="center"/>
                    <w:rPr>
                      <w:color w:val="auto"/>
                      <w:szCs w:val="21"/>
                    </w:rPr>
                  </w:pPr>
                </w:p>
              </w:tc>
              <w:tc>
                <w:tcPr>
                  <w:tcW w:w="662" w:type="dxa"/>
                  <w:vMerge w:val="continue"/>
                  <w:tcBorders>
                    <w:left w:val="single" w:color="auto" w:sz="4" w:space="0"/>
                    <w:right w:val="single" w:color="auto" w:sz="4" w:space="0"/>
                  </w:tcBorders>
                  <w:vAlign w:val="center"/>
                </w:tcPr>
                <w:p w14:paraId="75C72318">
                  <w:pPr>
                    <w:rPr>
                      <w:color w:val="auto"/>
                      <w:szCs w:val="21"/>
                    </w:rPr>
                  </w:pPr>
                </w:p>
              </w:tc>
            </w:tr>
            <w:tr w14:paraId="4217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60E9932F">
                  <w:pPr>
                    <w:jc w:val="center"/>
                    <w:rPr>
                      <w:color w:val="auto"/>
                      <w:szCs w:val="21"/>
                    </w:rPr>
                  </w:pPr>
                </w:p>
              </w:tc>
              <w:tc>
                <w:tcPr>
                  <w:tcW w:w="471" w:type="dxa"/>
                  <w:vMerge w:val="continue"/>
                  <w:tcBorders>
                    <w:left w:val="single" w:color="auto" w:sz="4" w:space="0"/>
                    <w:right w:val="single" w:color="auto" w:sz="4" w:space="0"/>
                  </w:tcBorders>
                  <w:vAlign w:val="center"/>
                </w:tcPr>
                <w:p w14:paraId="7FE50C1C">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2ED9EE6C">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1D077DDA">
                  <w:pPr>
                    <w:jc w:val="center"/>
                    <w:rPr>
                      <w:color w:val="auto"/>
                      <w:szCs w:val="21"/>
                    </w:rPr>
                  </w:pPr>
                </w:p>
              </w:tc>
              <w:tc>
                <w:tcPr>
                  <w:tcW w:w="445" w:type="dxa"/>
                  <w:vMerge w:val="continue"/>
                  <w:tcBorders>
                    <w:left w:val="single" w:color="auto" w:sz="4" w:space="0"/>
                    <w:right w:val="single" w:color="auto" w:sz="4" w:space="0"/>
                  </w:tcBorders>
                  <w:vAlign w:val="center"/>
                </w:tcPr>
                <w:p w14:paraId="082E0C14">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6DD6BC8C">
                  <w:pPr>
                    <w:jc w:val="center"/>
                    <w:rPr>
                      <w:color w:val="auto"/>
                      <w:szCs w:val="21"/>
                    </w:rPr>
                  </w:pPr>
                </w:p>
              </w:tc>
              <w:tc>
                <w:tcPr>
                  <w:tcW w:w="689" w:type="dxa"/>
                  <w:vMerge w:val="continue"/>
                  <w:tcBorders>
                    <w:left w:val="single" w:color="auto" w:sz="4" w:space="0"/>
                    <w:right w:val="single" w:color="auto" w:sz="4" w:space="0"/>
                  </w:tcBorders>
                  <w:vAlign w:val="center"/>
                </w:tcPr>
                <w:p w14:paraId="2A7552B4">
                  <w:pPr>
                    <w:jc w:val="center"/>
                    <w:rPr>
                      <w:color w:val="auto"/>
                      <w:szCs w:val="21"/>
                    </w:rPr>
                  </w:pPr>
                </w:p>
              </w:tc>
              <w:tc>
                <w:tcPr>
                  <w:tcW w:w="370" w:type="dxa"/>
                  <w:vMerge w:val="continue"/>
                  <w:tcBorders>
                    <w:left w:val="single" w:color="auto" w:sz="4" w:space="0"/>
                    <w:right w:val="single" w:color="auto" w:sz="4" w:space="0"/>
                  </w:tcBorders>
                  <w:vAlign w:val="center"/>
                </w:tcPr>
                <w:p w14:paraId="0FDBB19B">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00A67726">
                  <w:pPr>
                    <w:jc w:val="center"/>
                    <w:rPr>
                      <w:color w:val="auto"/>
                      <w:szCs w:val="21"/>
                    </w:rPr>
                  </w:pPr>
                  <w:r>
                    <w:rPr>
                      <w:color w:val="auto"/>
                      <w:szCs w:val="21"/>
                    </w:rPr>
                    <w:t>西</w:t>
                  </w:r>
                </w:p>
              </w:tc>
              <w:tc>
                <w:tcPr>
                  <w:tcW w:w="572" w:type="dxa"/>
                  <w:tcBorders>
                    <w:top w:val="single" w:color="auto" w:sz="4" w:space="0"/>
                    <w:left w:val="single" w:color="auto" w:sz="4" w:space="0"/>
                    <w:bottom w:val="single" w:color="auto" w:sz="4" w:space="0"/>
                    <w:right w:val="single" w:color="auto" w:sz="4" w:space="0"/>
                  </w:tcBorders>
                  <w:vAlign w:val="center"/>
                </w:tcPr>
                <w:p w14:paraId="19F7C2B8">
                  <w:pPr>
                    <w:jc w:val="center"/>
                    <w:rPr>
                      <w:color w:val="auto"/>
                      <w:szCs w:val="21"/>
                    </w:rPr>
                  </w:pPr>
                  <w:r>
                    <w:rPr>
                      <w:rFonts w:hint="eastAsia"/>
                      <w:color w:val="auto"/>
                      <w:szCs w:val="21"/>
                    </w:rPr>
                    <w:t>63</w:t>
                  </w:r>
                </w:p>
              </w:tc>
              <w:tc>
                <w:tcPr>
                  <w:tcW w:w="620" w:type="dxa"/>
                  <w:tcBorders>
                    <w:left w:val="single" w:color="auto" w:sz="4" w:space="0"/>
                    <w:bottom w:val="single" w:color="auto" w:sz="4" w:space="0"/>
                    <w:right w:val="single" w:color="auto" w:sz="4" w:space="0"/>
                  </w:tcBorders>
                  <w:vAlign w:val="center"/>
                </w:tcPr>
                <w:p w14:paraId="7A830185">
                  <w:pPr>
                    <w:jc w:val="center"/>
                    <w:rPr>
                      <w:color w:val="auto"/>
                      <w:szCs w:val="21"/>
                    </w:rPr>
                  </w:pPr>
                  <w:r>
                    <w:rPr>
                      <w:rFonts w:hint="eastAsia"/>
                      <w:color w:val="auto"/>
                      <w:szCs w:val="21"/>
                      <w:lang w:val="en-US" w:eastAsia="zh-CN"/>
                    </w:rPr>
                    <w:t>63</w:t>
                  </w:r>
                  <w:r>
                    <w:rPr>
                      <w:rFonts w:hint="eastAsia"/>
                      <w:color w:val="auto"/>
                      <w:szCs w:val="21"/>
                    </w:rPr>
                    <w:t>.0</w:t>
                  </w:r>
                </w:p>
              </w:tc>
              <w:tc>
                <w:tcPr>
                  <w:tcW w:w="582" w:type="dxa"/>
                  <w:vMerge w:val="continue"/>
                  <w:tcBorders>
                    <w:left w:val="single" w:color="auto" w:sz="4" w:space="0"/>
                    <w:right w:val="single" w:color="auto" w:sz="4" w:space="0"/>
                  </w:tcBorders>
                  <w:vAlign w:val="center"/>
                </w:tcPr>
                <w:p w14:paraId="5AC31649">
                  <w:pPr>
                    <w:jc w:val="center"/>
                    <w:rPr>
                      <w:color w:val="auto"/>
                      <w:szCs w:val="21"/>
                    </w:rPr>
                  </w:pPr>
                </w:p>
              </w:tc>
              <w:tc>
                <w:tcPr>
                  <w:tcW w:w="692" w:type="dxa"/>
                  <w:vMerge w:val="continue"/>
                  <w:tcBorders>
                    <w:left w:val="single" w:color="auto" w:sz="4" w:space="0"/>
                    <w:right w:val="single" w:color="auto" w:sz="4" w:space="0"/>
                  </w:tcBorders>
                  <w:vAlign w:val="center"/>
                </w:tcPr>
                <w:p w14:paraId="122B5306">
                  <w:pPr>
                    <w:jc w:val="center"/>
                    <w:rPr>
                      <w:color w:val="auto"/>
                      <w:szCs w:val="21"/>
                    </w:rPr>
                  </w:pPr>
                </w:p>
              </w:tc>
              <w:tc>
                <w:tcPr>
                  <w:tcW w:w="652" w:type="dxa"/>
                  <w:vMerge w:val="continue"/>
                  <w:tcBorders>
                    <w:left w:val="single" w:color="auto" w:sz="4" w:space="0"/>
                    <w:right w:val="single" w:color="auto" w:sz="4" w:space="0"/>
                  </w:tcBorders>
                  <w:vAlign w:val="center"/>
                </w:tcPr>
                <w:p w14:paraId="1941A171">
                  <w:pPr>
                    <w:jc w:val="center"/>
                    <w:rPr>
                      <w:color w:val="auto"/>
                      <w:szCs w:val="21"/>
                    </w:rPr>
                  </w:pPr>
                </w:p>
              </w:tc>
              <w:tc>
                <w:tcPr>
                  <w:tcW w:w="662" w:type="dxa"/>
                  <w:vMerge w:val="continue"/>
                  <w:tcBorders>
                    <w:left w:val="single" w:color="auto" w:sz="4" w:space="0"/>
                    <w:right w:val="single" w:color="auto" w:sz="4" w:space="0"/>
                  </w:tcBorders>
                  <w:vAlign w:val="center"/>
                </w:tcPr>
                <w:p w14:paraId="6CCFEC1C">
                  <w:pPr>
                    <w:rPr>
                      <w:color w:val="auto"/>
                      <w:szCs w:val="21"/>
                    </w:rPr>
                  </w:pPr>
                </w:p>
              </w:tc>
            </w:tr>
            <w:tr w14:paraId="5DF2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2BE6AFAB">
                  <w:pPr>
                    <w:jc w:val="center"/>
                    <w:rPr>
                      <w:color w:val="auto"/>
                      <w:szCs w:val="21"/>
                    </w:rPr>
                  </w:pPr>
                </w:p>
              </w:tc>
              <w:tc>
                <w:tcPr>
                  <w:tcW w:w="471" w:type="dxa"/>
                  <w:vMerge w:val="continue"/>
                  <w:tcBorders>
                    <w:left w:val="single" w:color="auto" w:sz="4" w:space="0"/>
                    <w:right w:val="single" w:color="auto" w:sz="4" w:space="0"/>
                  </w:tcBorders>
                  <w:vAlign w:val="center"/>
                </w:tcPr>
                <w:p w14:paraId="445FA3BC">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bottom w:val="single" w:color="auto" w:sz="4" w:space="0"/>
                    <w:right w:val="single" w:color="auto" w:sz="4" w:space="0"/>
                  </w:tcBorders>
                  <w:vAlign w:val="center"/>
                </w:tcPr>
                <w:p w14:paraId="3D7C810E">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bottom w:val="single" w:color="auto" w:sz="4" w:space="0"/>
                    <w:right w:val="single" w:color="auto" w:sz="4" w:space="0"/>
                  </w:tcBorders>
                  <w:vAlign w:val="center"/>
                </w:tcPr>
                <w:p w14:paraId="16625B73">
                  <w:pPr>
                    <w:jc w:val="center"/>
                    <w:rPr>
                      <w:color w:val="auto"/>
                      <w:szCs w:val="21"/>
                    </w:rPr>
                  </w:pPr>
                </w:p>
              </w:tc>
              <w:tc>
                <w:tcPr>
                  <w:tcW w:w="445" w:type="dxa"/>
                  <w:vMerge w:val="continue"/>
                  <w:tcBorders>
                    <w:left w:val="single" w:color="auto" w:sz="4" w:space="0"/>
                    <w:right w:val="single" w:color="auto" w:sz="4" w:space="0"/>
                  </w:tcBorders>
                  <w:vAlign w:val="center"/>
                </w:tcPr>
                <w:p w14:paraId="7EF73BBF">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71FCC1F9">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5155A80A">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15B2E0FF">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4DA3F4E1">
                  <w:pPr>
                    <w:jc w:val="center"/>
                    <w:rPr>
                      <w:color w:val="auto"/>
                      <w:szCs w:val="21"/>
                    </w:rPr>
                  </w:pPr>
                  <w:r>
                    <w:rPr>
                      <w:color w:val="auto"/>
                      <w:szCs w:val="21"/>
                    </w:rPr>
                    <w:t>北</w:t>
                  </w:r>
                </w:p>
              </w:tc>
              <w:tc>
                <w:tcPr>
                  <w:tcW w:w="572" w:type="dxa"/>
                  <w:tcBorders>
                    <w:top w:val="single" w:color="auto" w:sz="4" w:space="0"/>
                    <w:left w:val="single" w:color="auto" w:sz="4" w:space="0"/>
                    <w:bottom w:val="single" w:color="auto" w:sz="4" w:space="0"/>
                    <w:right w:val="single" w:color="auto" w:sz="4" w:space="0"/>
                  </w:tcBorders>
                  <w:vAlign w:val="center"/>
                </w:tcPr>
                <w:p w14:paraId="7FDFF5D8">
                  <w:pPr>
                    <w:jc w:val="center"/>
                    <w:rPr>
                      <w:color w:val="auto"/>
                      <w:szCs w:val="21"/>
                    </w:rPr>
                  </w:pPr>
                  <w:r>
                    <w:rPr>
                      <w:rFonts w:hint="eastAsia"/>
                      <w:color w:val="auto"/>
                      <w:szCs w:val="21"/>
                    </w:rPr>
                    <w:t>13</w:t>
                  </w:r>
                </w:p>
              </w:tc>
              <w:tc>
                <w:tcPr>
                  <w:tcW w:w="620" w:type="dxa"/>
                  <w:tcBorders>
                    <w:left w:val="single" w:color="auto" w:sz="4" w:space="0"/>
                    <w:bottom w:val="single" w:color="auto" w:sz="4" w:space="0"/>
                    <w:right w:val="single" w:color="auto" w:sz="4" w:space="0"/>
                  </w:tcBorders>
                  <w:vAlign w:val="center"/>
                </w:tcPr>
                <w:p w14:paraId="4C25B08C">
                  <w:pPr>
                    <w:jc w:val="center"/>
                    <w:rPr>
                      <w:color w:val="auto"/>
                      <w:szCs w:val="21"/>
                    </w:rPr>
                  </w:pPr>
                  <w:r>
                    <w:rPr>
                      <w:rFonts w:hint="eastAsia"/>
                      <w:color w:val="auto"/>
                      <w:szCs w:val="21"/>
                      <w:lang w:val="en-US" w:eastAsia="zh-CN"/>
                    </w:rPr>
                    <w:t>63</w:t>
                  </w:r>
                  <w:r>
                    <w:rPr>
                      <w:rFonts w:hint="eastAsia"/>
                      <w:color w:val="auto"/>
                      <w:szCs w:val="21"/>
                    </w:rPr>
                    <w:t>.3</w:t>
                  </w:r>
                </w:p>
              </w:tc>
              <w:tc>
                <w:tcPr>
                  <w:tcW w:w="582" w:type="dxa"/>
                  <w:vMerge w:val="continue"/>
                  <w:tcBorders>
                    <w:left w:val="single" w:color="auto" w:sz="4" w:space="0"/>
                    <w:right w:val="single" w:color="auto" w:sz="4" w:space="0"/>
                  </w:tcBorders>
                  <w:vAlign w:val="center"/>
                </w:tcPr>
                <w:p w14:paraId="6C6BFE88">
                  <w:pPr>
                    <w:jc w:val="center"/>
                    <w:rPr>
                      <w:color w:val="auto"/>
                      <w:szCs w:val="21"/>
                    </w:rPr>
                  </w:pPr>
                </w:p>
              </w:tc>
              <w:tc>
                <w:tcPr>
                  <w:tcW w:w="692" w:type="dxa"/>
                  <w:vMerge w:val="continue"/>
                  <w:tcBorders>
                    <w:left w:val="single" w:color="auto" w:sz="4" w:space="0"/>
                    <w:right w:val="single" w:color="auto" w:sz="4" w:space="0"/>
                  </w:tcBorders>
                  <w:vAlign w:val="center"/>
                </w:tcPr>
                <w:p w14:paraId="7CFD0ACB">
                  <w:pPr>
                    <w:jc w:val="center"/>
                    <w:rPr>
                      <w:color w:val="auto"/>
                      <w:szCs w:val="21"/>
                    </w:rPr>
                  </w:pPr>
                </w:p>
              </w:tc>
              <w:tc>
                <w:tcPr>
                  <w:tcW w:w="652" w:type="dxa"/>
                  <w:vMerge w:val="continue"/>
                  <w:tcBorders>
                    <w:left w:val="single" w:color="auto" w:sz="4" w:space="0"/>
                    <w:right w:val="single" w:color="auto" w:sz="4" w:space="0"/>
                  </w:tcBorders>
                  <w:vAlign w:val="center"/>
                </w:tcPr>
                <w:p w14:paraId="4131F47C">
                  <w:pPr>
                    <w:jc w:val="center"/>
                    <w:rPr>
                      <w:color w:val="auto"/>
                      <w:szCs w:val="21"/>
                    </w:rPr>
                  </w:pPr>
                </w:p>
              </w:tc>
              <w:tc>
                <w:tcPr>
                  <w:tcW w:w="662" w:type="dxa"/>
                  <w:vMerge w:val="continue"/>
                  <w:tcBorders>
                    <w:left w:val="single" w:color="auto" w:sz="4" w:space="0"/>
                    <w:right w:val="single" w:color="auto" w:sz="4" w:space="0"/>
                  </w:tcBorders>
                  <w:vAlign w:val="center"/>
                </w:tcPr>
                <w:p w14:paraId="697C312C">
                  <w:pPr>
                    <w:rPr>
                      <w:color w:val="auto"/>
                      <w:szCs w:val="21"/>
                    </w:rPr>
                  </w:pPr>
                </w:p>
              </w:tc>
            </w:tr>
            <w:tr w14:paraId="34D3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restart"/>
                  <w:tcBorders>
                    <w:left w:val="single" w:color="auto" w:sz="4" w:space="0"/>
                    <w:right w:val="single" w:color="auto" w:sz="4" w:space="0"/>
                  </w:tcBorders>
                  <w:vAlign w:val="center"/>
                </w:tcPr>
                <w:p w14:paraId="79AA131C">
                  <w:pPr>
                    <w:jc w:val="center"/>
                    <w:rPr>
                      <w:color w:val="auto"/>
                      <w:szCs w:val="21"/>
                    </w:rPr>
                  </w:pPr>
                  <w:r>
                    <w:rPr>
                      <w:rFonts w:hint="eastAsia"/>
                      <w:color w:val="auto"/>
                      <w:szCs w:val="21"/>
                    </w:rPr>
                    <w:t>10</w:t>
                  </w:r>
                </w:p>
              </w:tc>
              <w:tc>
                <w:tcPr>
                  <w:tcW w:w="471" w:type="dxa"/>
                  <w:vMerge w:val="continue"/>
                  <w:tcBorders>
                    <w:left w:val="single" w:color="auto" w:sz="4" w:space="0"/>
                    <w:right w:val="single" w:color="auto" w:sz="4" w:space="0"/>
                  </w:tcBorders>
                  <w:vAlign w:val="center"/>
                </w:tcPr>
                <w:p w14:paraId="525CEFC3">
                  <w:pPr>
                    <w:pStyle w:val="32"/>
                    <w:spacing w:before="0" w:beforeAutospacing="0" w:after="0" w:afterAutospacing="0"/>
                    <w:jc w:val="center"/>
                    <w:rPr>
                      <w:rFonts w:ascii="Times New Roman" w:hAnsi="Times New Roman"/>
                      <w:color w:val="auto"/>
                      <w:sz w:val="21"/>
                      <w:szCs w:val="21"/>
                    </w:rPr>
                  </w:pPr>
                </w:p>
              </w:tc>
              <w:tc>
                <w:tcPr>
                  <w:tcW w:w="691" w:type="dxa"/>
                  <w:vMerge w:val="restart"/>
                  <w:tcBorders>
                    <w:left w:val="single" w:color="auto" w:sz="4" w:space="0"/>
                    <w:right w:val="single" w:color="auto" w:sz="4" w:space="0"/>
                  </w:tcBorders>
                  <w:vAlign w:val="center"/>
                </w:tcPr>
                <w:p w14:paraId="5211F202">
                  <w:pPr>
                    <w:pStyle w:val="32"/>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lang w:eastAsia="zh-CN"/>
                    </w:rPr>
                    <w:t>钻床</w:t>
                  </w:r>
                  <w:r>
                    <w:rPr>
                      <w:rFonts w:hint="eastAsia" w:ascii="Times New Roman" w:hAnsi="Times New Roman"/>
                      <w:color w:val="auto"/>
                      <w:sz w:val="21"/>
                      <w:szCs w:val="21"/>
                    </w:rPr>
                    <w:t>（1台）</w:t>
                  </w:r>
                </w:p>
              </w:tc>
              <w:tc>
                <w:tcPr>
                  <w:tcW w:w="733" w:type="dxa"/>
                  <w:vMerge w:val="restart"/>
                  <w:tcBorders>
                    <w:left w:val="single" w:color="auto" w:sz="4" w:space="0"/>
                    <w:right w:val="single" w:color="auto" w:sz="4" w:space="0"/>
                  </w:tcBorders>
                  <w:vAlign w:val="center"/>
                </w:tcPr>
                <w:p w14:paraId="3B09580D">
                  <w:pPr>
                    <w:jc w:val="center"/>
                    <w:rPr>
                      <w:color w:val="auto"/>
                      <w:szCs w:val="21"/>
                    </w:rPr>
                  </w:pPr>
                  <w:r>
                    <w:rPr>
                      <w:rFonts w:hint="eastAsia"/>
                      <w:color w:val="auto"/>
                      <w:szCs w:val="21"/>
                      <w:lang w:val="en-US" w:eastAsia="zh-CN"/>
                    </w:rPr>
                    <w:t>83</w:t>
                  </w:r>
                  <w:r>
                    <w:rPr>
                      <w:rFonts w:hint="eastAsia"/>
                      <w:color w:val="auto"/>
                      <w:szCs w:val="21"/>
                    </w:rPr>
                    <w:t>（单台</w:t>
                  </w:r>
                  <w:r>
                    <w:rPr>
                      <w:rFonts w:hint="eastAsia"/>
                      <w:color w:val="auto"/>
                      <w:szCs w:val="21"/>
                      <w:lang w:val="en-US" w:eastAsia="zh-CN"/>
                    </w:rPr>
                    <w:t>83</w:t>
                  </w:r>
                  <w:r>
                    <w:rPr>
                      <w:rFonts w:hint="eastAsia"/>
                      <w:color w:val="auto"/>
                      <w:szCs w:val="21"/>
                    </w:rPr>
                    <w:t>）</w:t>
                  </w:r>
                </w:p>
              </w:tc>
              <w:tc>
                <w:tcPr>
                  <w:tcW w:w="445" w:type="dxa"/>
                  <w:vMerge w:val="continue"/>
                  <w:tcBorders>
                    <w:left w:val="single" w:color="auto" w:sz="4" w:space="0"/>
                    <w:right w:val="single" w:color="auto" w:sz="4" w:space="0"/>
                  </w:tcBorders>
                  <w:vAlign w:val="center"/>
                </w:tcPr>
                <w:p w14:paraId="1D4C9586">
                  <w:pPr>
                    <w:pStyle w:val="32"/>
                    <w:spacing w:before="0" w:beforeAutospacing="0" w:after="0" w:afterAutospacing="0"/>
                    <w:jc w:val="center"/>
                    <w:rPr>
                      <w:rFonts w:ascii="Times New Roman" w:hAnsi="Times New Roman"/>
                      <w:color w:val="auto"/>
                      <w:sz w:val="21"/>
                      <w:szCs w:val="21"/>
                    </w:rPr>
                  </w:pPr>
                </w:p>
              </w:tc>
              <w:tc>
                <w:tcPr>
                  <w:tcW w:w="689" w:type="dxa"/>
                  <w:vMerge w:val="restart"/>
                  <w:tcBorders>
                    <w:left w:val="single" w:color="auto" w:sz="4" w:space="0"/>
                    <w:right w:val="single" w:color="auto" w:sz="4" w:space="0"/>
                  </w:tcBorders>
                  <w:vAlign w:val="center"/>
                </w:tcPr>
                <w:p w14:paraId="00940367">
                  <w:pPr>
                    <w:jc w:val="center"/>
                    <w:rPr>
                      <w:color w:val="auto"/>
                      <w:szCs w:val="21"/>
                    </w:rPr>
                  </w:pPr>
                  <w:r>
                    <w:rPr>
                      <w:rFonts w:hint="eastAsia"/>
                      <w:color w:val="auto"/>
                      <w:szCs w:val="21"/>
                    </w:rPr>
                    <w:t>-20</w:t>
                  </w:r>
                </w:p>
              </w:tc>
              <w:tc>
                <w:tcPr>
                  <w:tcW w:w="689" w:type="dxa"/>
                  <w:vMerge w:val="restart"/>
                  <w:tcBorders>
                    <w:left w:val="single" w:color="auto" w:sz="4" w:space="0"/>
                    <w:right w:val="single" w:color="auto" w:sz="4" w:space="0"/>
                  </w:tcBorders>
                  <w:vAlign w:val="center"/>
                </w:tcPr>
                <w:p w14:paraId="7AD5686D">
                  <w:pPr>
                    <w:jc w:val="center"/>
                    <w:rPr>
                      <w:color w:val="auto"/>
                      <w:szCs w:val="21"/>
                    </w:rPr>
                  </w:pPr>
                  <w:r>
                    <w:rPr>
                      <w:rFonts w:hint="eastAsia"/>
                      <w:color w:val="auto"/>
                      <w:szCs w:val="21"/>
                    </w:rPr>
                    <w:t>5.5</w:t>
                  </w:r>
                </w:p>
              </w:tc>
              <w:tc>
                <w:tcPr>
                  <w:tcW w:w="370" w:type="dxa"/>
                  <w:vMerge w:val="restart"/>
                  <w:tcBorders>
                    <w:left w:val="single" w:color="auto" w:sz="4" w:space="0"/>
                    <w:right w:val="single" w:color="auto" w:sz="4" w:space="0"/>
                  </w:tcBorders>
                  <w:vAlign w:val="center"/>
                </w:tcPr>
                <w:p w14:paraId="284B72A2">
                  <w:pPr>
                    <w:jc w:val="center"/>
                    <w:rPr>
                      <w:color w:val="auto"/>
                      <w:szCs w:val="21"/>
                    </w:rPr>
                  </w:pPr>
                  <w:r>
                    <w:rPr>
                      <w:rFonts w:hint="eastAsia"/>
                      <w:color w:val="auto"/>
                      <w:szCs w:val="21"/>
                    </w:rPr>
                    <w:t>1</w:t>
                  </w:r>
                </w:p>
              </w:tc>
              <w:tc>
                <w:tcPr>
                  <w:tcW w:w="465" w:type="dxa"/>
                  <w:tcBorders>
                    <w:top w:val="single" w:color="auto" w:sz="4" w:space="0"/>
                    <w:left w:val="single" w:color="auto" w:sz="4" w:space="0"/>
                    <w:bottom w:val="single" w:color="auto" w:sz="4" w:space="0"/>
                    <w:right w:val="single" w:color="auto" w:sz="4" w:space="0"/>
                  </w:tcBorders>
                  <w:vAlign w:val="center"/>
                </w:tcPr>
                <w:p w14:paraId="5218C712">
                  <w:pPr>
                    <w:jc w:val="center"/>
                    <w:rPr>
                      <w:color w:val="auto"/>
                      <w:szCs w:val="21"/>
                    </w:rPr>
                  </w:pPr>
                  <w:r>
                    <w:rPr>
                      <w:rFonts w:hint="eastAsia"/>
                      <w:color w:val="auto"/>
                      <w:szCs w:val="21"/>
                    </w:rPr>
                    <w:t>东</w:t>
                  </w:r>
                </w:p>
              </w:tc>
              <w:tc>
                <w:tcPr>
                  <w:tcW w:w="572" w:type="dxa"/>
                  <w:tcBorders>
                    <w:top w:val="single" w:color="auto" w:sz="4" w:space="0"/>
                    <w:left w:val="single" w:color="auto" w:sz="4" w:space="0"/>
                    <w:bottom w:val="single" w:color="auto" w:sz="4" w:space="0"/>
                    <w:right w:val="single" w:color="auto" w:sz="4" w:space="0"/>
                  </w:tcBorders>
                  <w:vAlign w:val="center"/>
                </w:tcPr>
                <w:p w14:paraId="080F0651">
                  <w:pPr>
                    <w:jc w:val="center"/>
                    <w:rPr>
                      <w:color w:val="auto"/>
                      <w:szCs w:val="21"/>
                    </w:rPr>
                  </w:pPr>
                  <w:r>
                    <w:rPr>
                      <w:rFonts w:hint="eastAsia"/>
                      <w:color w:val="auto"/>
                      <w:szCs w:val="21"/>
                    </w:rPr>
                    <w:t>54</w:t>
                  </w:r>
                </w:p>
              </w:tc>
              <w:tc>
                <w:tcPr>
                  <w:tcW w:w="620" w:type="dxa"/>
                  <w:tcBorders>
                    <w:left w:val="single" w:color="auto" w:sz="4" w:space="0"/>
                    <w:bottom w:val="single" w:color="auto" w:sz="4" w:space="0"/>
                    <w:right w:val="single" w:color="auto" w:sz="4" w:space="0"/>
                  </w:tcBorders>
                  <w:vAlign w:val="center"/>
                </w:tcPr>
                <w:p w14:paraId="109D87B7">
                  <w:pPr>
                    <w:jc w:val="center"/>
                    <w:rPr>
                      <w:color w:val="auto"/>
                      <w:szCs w:val="21"/>
                    </w:rPr>
                  </w:pPr>
                  <w:r>
                    <w:rPr>
                      <w:rFonts w:hint="eastAsia"/>
                      <w:color w:val="auto"/>
                      <w:szCs w:val="21"/>
                      <w:lang w:val="en-US" w:eastAsia="zh-CN"/>
                    </w:rPr>
                    <w:t>60</w:t>
                  </w:r>
                  <w:r>
                    <w:rPr>
                      <w:rFonts w:hint="eastAsia"/>
                      <w:color w:val="auto"/>
                      <w:szCs w:val="21"/>
                    </w:rPr>
                    <w:t>.0</w:t>
                  </w:r>
                </w:p>
              </w:tc>
              <w:tc>
                <w:tcPr>
                  <w:tcW w:w="582" w:type="dxa"/>
                  <w:vMerge w:val="continue"/>
                  <w:tcBorders>
                    <w:left w:val="single" w:color="auto" w:sz="4" w:space="0"/>
                    <w:right w:val="single" w:color="auto" w:sz="4" w:space="0"/>
                  </w:tcBorders>
                  <w:vAlign w:val="center"/>
                </w:tcPr>
                <w:p w14:paraId="396FA741">
                  <w:pPr>
                    <w:jc w:val="center"/>
                    <w:rPr>
                      <w:color w:val="auto"/>
                      <w:szCs w:val="21"/>
                    </w:rPr>
                  </w:pPr>
                </w:p>
              </w:tc>
              <w:tc>
                <w:tcPr>
                  <w:tcW w:w="692" w:type="dxa"/>
                  <w:vMerge w:val="continue"/>
                  <w:tcBorders>
                    <w:left w:val="single" w:color="auto" w:sz="4" w:space="0"/>
                    <w:right w:val="single" w:color="auto" w:sz="4" w:space="0"/>
                  </w:tcBorders>
                  <w:vAlign w:val="center"/>
                </w:tcPr>
                <w:p w14:paraId="17E7E7AB">
                  <w:pPr>
                    <w:jc w:val="center"/>
                    <w:rPr>
                      <w:color w:val="auto"/>
                      <w:szCs w:val="21"/>
                    </w:rPr>
                  </w:pPr>
                </w:p>
              </w:tc>
              <w:tc>
                <w:tcPr>
                  <w:tcW w:w="652" w:type="dxa"/>
                  <w:vMerge w:val="continue"/>
                  <w:tcBorders>
                    <w:left w:val="single" w:color="auto" w:sz="4" w:space="0"/>
                    <w:right w:val="single" w:color="auto" w:sz="4" w:space="0"/>
                  </w:tcBorders>
                  <w:vAlign w:val="center"/>
                </w:tcPr>
                <w:p w14:paraId="25D98BFC">
                  <w:pPr>
                    <w:jc w:val="center"/>
                    <w:rPr>
                      <w:color w:val="auto"/>
                      <w:szCs w:val="21"/>
                    </w:rPr>
                  </w:pPr>
                </w:p>
              </w:tc>
              <w:tc>
                <w:tcPr>
                  <w:tcW w:w="662" w:type="dxa"/>
                  <w:vMerge w:val="continue"/>
                  <w:tcBorders>
                    <w:left w:val="single" w:color="auto" w:sz="4" w:space="0"/>
                    <w:right w:val="single" w:color="auto" w:sz="4" w:space="0"/>
                  </w:tcBorders>
                  <w:vAlign w:val="center"/>
                </w:tcPr>
                <w:p w14:paraId="6B2A6FF6">
                  <w:pPr>
                    <w:rPr>
                      <w:color w:val="auto"/>
                      <w:szCs w:val="21"/>
                    </w:rPr>
                  </w:pPr>
                </w:p>
              </w:tc>
            </w:tr>
            <w:tr w14:paraId="5304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33A8B0A1">
                  <w:pPr>
                    <w:jc w:val="center"/>
                    <w:rPr>
                      <w:color w:val="auto"/>
                      <w:szCs w:val="21"/>
                    </w:rPr>
                  </w:pPr>
                </w:p>
              </w:tc>
              <w:tc>
                <w:tcPr>
                  <w:tcW w:w="471" w:type="dxa"/>
                  <w:vMerge w:val="continue"/>
                  <w:tcBorders>
                    <w:left w:val="single" w:color="auto" w:sz="4" w:space="0"/>
                    <w:right w:val="single" w:color="auto" w:sz="4" w:space="0"/>
                  </w:tcBorders>
                  <w:vAlign w:val="center"/>
                </w:tcPr>
                <w:p w14:paraId="5E0A309E">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1B9083B2">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420F4AE2">
                  <w:pPr>
                    <w:jc w:val="center"/>
                    <w:rPr>
                      <w:color w:val="auto"/>
                      <w:szCs w:val="21"/>
                    </w:rPr>
                  </w:pPr>
                </w:p>
              </w:tc>
              <w:tc>
                <w:tcPr>
                  <w:tcW w:w="445" w:type="dxa"/>
                  <w:vMerge w:val="continue"/>
                  <w:tcBorders>
                    <w:left w:val="single" w:color="auto" w:sz="4" w:space="0"/>
                    <w:right w:val="single" w:color="auto" w:sz="4" w:space="0"/>
                  </w:tcBorders>
                  <w:vAlign w:val="center"/>
                </w:tcPr>
                <w:p w14:paraId="5BF86EAD">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3F05CB22">
                  <w:pPr>
                    <w:jc w:val="center"/>
                    <w:rPr>
                      <w:color w:val="auto"/>
                      <w:szCs w:val="21"/>
                    </w:rPr>
                  </w:pPr>
                </w:p>
              </w:tc>
              <w:tc>
                <w:tcPr>
                  <w:tcW w:w="689" w:type="dxa"/>
                  <w:vMerge w:val="continue"/>
                  <w:tcBorders>
                    <w:left w:val="single" w:color="auto" w:sz="4" w:space="0"/>
                    <w:right w:val="single" w:color="auto" w:sz="4" w:space="0"/>
                  </w:tcBorders>
                  <w:vAlign w:val="center"/>
                </w:tcPr>
                <w:p w14:paraId="36621C83">
                  <w:pPr>
                    <w:jc w:val="center"/>
                    <w:rPr>
                      <w:color w:val="auto"/>
                      <w:szCs w:val="21"/>
                    </w:rPr>
                  </w:pPr>
                </w:p>
              </w:tc>
              <w:tc>
                <w:tcPr>
                  <w:tcW w:w="370" w:type="dxa"/>
                  <w:vMerge w:val="continue"/>
                  <w:tcBorders>
                    <w:left w:val="single" w:color="auto" w:sz="4" w:space="0"/>
                    <w:right w:val="single" w:color="auto" w:sz="4" w:space="0"/>
                  </w:tcBorders>
                  <w:vAlign w:val="center"/>
                </w:tcPr>
                <w:p w14:paraId="618E8ABC">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6CF596F1">
                  <w:pPr>
                    <w:jc w:val="center"/>
                    <w:rPr>
                      <w:color w:val="auto"/>
                      <w:szCs w:val="21"/>
                    </w:rPr>
                  </w:pPr>
                  <w:r>
                    <w:rPr>
                      <w:color w:val="auto"/>
                      <w:szCs w:val="21"/>
                    </w:rPr>
                    <w:t>南</w:t>
                  </w:r>
                </w:p>
              </w:tc>
              <w:tc>
                <w:tcPr>
                  <w:tcW w:w="572" w:type="dxa"/>
                  <w:tcBorders>
                    <w:top w:val="single" w:color="auto" w:sz="4" w:space="0"/>
                    <w:left w:val="single" w:color="auto" w:sz="4" w:space="0"/>
                    <w:bottom w:val="single" w:color="auto" w:sz="4" w:space="0"/>
                    <w:right w:val="single" w:color="auto" w:sz="4" w:space="0"/>
                  </w:tcBorders>
                  <w:vAlign w:val="center"/>
                </w:tcPr>
                <w:p w14:paraId="31E8792B">
                  <w:pPr>
                    <w:jc w:val="center"/>
                    <w:rPr>
                      <w:color w:val="auto"/>
                      <w:szCs w:val="21"/>
                    </w:rPr>
                  </w:pPr>
                  <w:r>
                    <w:rPr>
                      <w:rFonts w:hint="eastAsia"/>
                      <w:color w:val="auto"/>
                      <w:szCs w:val="21"/>
                    </w:rPr>
                    <w:t>28</w:t>
                  </w:r>
                </w:p>
              </w:tc>
              <w:tc>
                <w:tcPr>
                  <w:tcW w:w="620" w:type="dxa"/>
                  <w:tcBorders>
                    <w:left w:val="single" w:color="auto" w:sz="4" w:space="0"/>
                    <w:bottom w:val="single" w:color="auto" w:sz="4" w:space="0"/>
                    <w:right w:val="single" w:color="auto" w:sz="4" w:space="0"/>
                  </w:tcBorders>
                  <w:vAlign w:val="center"/>
                </w:tcPr>
                <w:p w14:paraId="15AA213A">
                  <w:pPr>
                    <w:jc w:val="center"/>
                    <w:rPr>
                      <w:color w:val="auto"/>
                      <w:szCs w:val="21"/>
                    </w:rPr>
                  </w:pPr>
                  <w:r>
                    <w:rPr>
                      <w:rFonts w:hint="eastAsia"/>
                      <w:color w:val="auto"/>
                      <w:szCs w:val="21"/>
                      <w:lang w:val="en-US" w:eastAsia="zh-CN"/>
                    </w:rPr>
                    <w:t>60</w:t>
                  </w:r>
                  <w:r>
                    <w:rPr>
                      <w:rFonts w:hint="eastAsia"/>
                      <w:color w:val="auto"/>
                      <w:szCs w:val="21"/>
                    </w:rPr>
                    <w:t>.1</w:t>
                  </w:r>
                </w:p>
              </w:tc>
              <w:tc>
                <w:tcPr>
                  <w:tcW w:w="582" w:type="dxa"/>
                  <w:vMerge w:val="continue"/>
                  <w:tcBorders>
                    <w:left w:val="single" w:color="auto" w:sz="4" w:space="0"/>
                    <w:right w:val="single" w:color="auto" w:sz="4" w:space="0"/>
                  </w:tcBorders>
                  <w:vAlign w:val="center"/>
                </w:tcPr>
                <w:p w14:paraId="5B24C6C7">
                  <w:pPr>
                    <w:jc w:val="center"/>
                    <w:rPr>
                      <w:color w:val="auto"/>
                      <w:szCs w:val="21"/>
                    </w:rPr>
                  </w:pPr>
                </w:p>
              </w:tc>
              <w:tc>
                <w:tcPr>
                  <w:tcW w:w="692" w:type="dxa"/>
                  <w:vMerge w:val="continue"/>
                  <w:tcBorders>
                    <w:left w:val="single" w:color="auto" w:sz="4" w:space="0"/>
                    <w:right w:val="single" w:color="auto" w:sz="4" w:space="0"/>
                  </w:tcBorders>
                  <w:vAlign w:val="center"/>
                </w:tcPr>
                <w:p w14:paraId="7E3A50D6">
                  <w:pPr>
                    <w:jc w:val="center"/>
                    <w:rPr>
                      <w:color w:val="auto"/>
                      <w:szCs w:val="21"/>
                    </w:rPr>
                  </w:pPr>
                </w:p>
              </w:tc>
              <w:tc>
                <w:tcPr>
                  <w:tcW w:w="652" w:type="dxa"/>
                  <w:vMerge w:val="continue"/>
                  <w:tcBorders>
                    <w:left w:val="single" w:color="auto" w:sz="4" w:space="0"/>
                    <w:right w:val="single" w:color="auto" w:sz="4" w:space="0"/>
                  </w:tcBorders>
                  <w:vAlign w:val="center"/>
                </w:tcPr>
                <w:p w14:paraId="26EC0FA1">
                  <w:pPr>
                    <w:jc w:val="center"/>
                    <w:rPr>
                      <w:color w:val="auto"/>
                      <w:szCs w:val="21"/>
                    </w:rPr>
                  </w:pPr>
                </w:p>
              </w:tc>
              <w:tc>
                <w:tcPr>
                  <w:tcW w:w="662" w:type="dxa"/>
                  <w:vMerge w:val="continue"/>
                  <w:tcBorders>
                    <w:left w:val="single" w:color="auto" w:sz="4" w:space="0"/>
                    <w:right w:val="single" w:color="auto" w:sz="4" w:space="0"/>
                  </w:tcBorders>
                  <w:vAlign w:val="center"/>
                </w:tcPr>
                <w:p w14:paraId="52412C16">
                  <w:pPr>
                    <w:rPr>
                      <w:color w:val="auto"/>
                      <w:szCs w:val="21"/>
                    </w:rPr>
                  </w:pPr>
                </w:p>
              </w:tc>
            </w:tr>
            <w:tr w14:paraId="617C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right w:val="single" w:color="auto" w:sz="4" w:space="0"/>
                  </w:tcBorders>
                  <w:vAlign w:val="center"/>
                </w:tcPr>
                <w:p w14:paraId="59FC102B">
                  <w:pPr>
                    <w:jc w:val="center"/>
                    <w:rPr>
                      <w:color w:val="auto"/>
                      <w:szCs w:val="21"/>
                    </w:rPr>
                  </w:pPr>
                </w:p>
              </w:tc>
              <w:tc>
                <w:tcPr>
                  <w:tcW w:w="471" w:type="dxa"/>
                  <w:vMerge w:val="continue"/>
                  <w:tcBorders>
                    <w:left w:val="single" w:color="auto" w:sz="4" w:space="0"/>
                    <w:right w:val="single" w:color="auto" w:sz="4" w:space="0"/>
                  </w:tcBorders>
                  <w:vAlign w:val="center"/>
                </w:tcPr>
                <w:p w14:paraId="65B73E4F">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right w:val="single" w:color="auto" w:sz="4" w:space="0"/>
                  </w:tcBorders>
                  <w:vAlign w:val="center"/>
                </w:tcPr>
                <w:p w14:paraId="5AD8FFE0">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right w:val="single" w:color="auto" w:sz="4" w:space="0"/>
                  </w:tcBorders>
                  <w:vAlign w:val="center"/>
                </w:tcPr>
                <w:p w14:paraId="1B86A433">
                  <w:pPr>
                    <w:jc w:val="center"/>
                    <w:rPr>
                      <w:color w:val="auto"/>
                      <w:szCs w:val="21"/>
                    </w:rPr>
                  </w:pPr>
                </w:p>
              </w:tc>
              <w:tc>
                <w:tcPr>
                  <w:tcW w:w="445" w:type="dxa"/>
                  <w:vMerge w:val="continue"/>
                  <w:tcBorders>
                    <w:left w:val="single" w:color="auto" w:sz="4" w:space="0"/>
                    <w:right w:val="single" w:color="auto" w:sz="4" w:space="0"/>
                  </w:tcBorders>
                  <w:vAlign w:val="center"/>
                </w:tcPr>
                <w:p w14:paraId="1A4E7FA8">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right w:val="single" w:color="auto" w:sz="4" w:space="0"/>
                  </w:tcBorders>
                  <w:vAlign w:val="center"/>
                </w:tcPr>
                <w:p w14:paraId="0C3AB281">
                  <w:pPr>
                    <w:jc w:val="center"/>
                    <w:rPr>
                      <w:color w:val="auto"/>
                      <w:szCs w:val="21"/>
                    </w:rPr>
                  </w:pPr>
                </w:p>
              </w:tc>
              <w:tc>
                <w:tcPr>
                  <w:tcW w:w="689" w:type="dxa"/>
                  <w:vMerge w:val="continue"/>
                  <w:tcBorders>
                    <w:left w:val="single" w:color="auto" w:sz="4" w:space="0"/>
                    <w:right w:val="single" w:color="auto" w:sz="4" w:space="0"/>
                  </w:tcBorders>
                  <w:vAlign w:val="center"/>
                </w:tcPr>
                <w:p w14:paraId="67458D75">
                  <w:pPr>
                    <w:jc w:val="center"/>
                    <w:rPr>
                      <w:color w:val="auto"/>
                      <w:szCs w:val="21"/>
                    </w:rPr>
                  </w:pPr>
                </w:p>
              </w:tc>
              <w:tc>
                <w:tcPr>
                  <w:tcW w:w="370" w:type="dxa"/>
                  <w:vMerge w:val="continue"/>
                  <w:tcBorders>
                    <w:left w:val="single" w:color="auto" w:sz="4" w:space="0"/>
                    <w:right w:val="single" w:color="auto" w:sz="4" w:space="0"/>
                  </w:tcBorders>
                  <w:vAlign w:val="center"/>
                </w:tcPr>
                <w:p w14:paraId="090D9A5B">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4DA25B38">
                  <w:pPr>
                    <w:jc w:val="center"/>
                    <w:rPr>
                      <w:color w:val="auto"/>
                      <w:szCs w:val="21"/>
                    </w:rPr>
                  </w:pPr>
                  <w:r>
                    <w:rPr>
                      <w:color w:val="auto"/>
                      <w:szCs w:val="21"/>
                    </w:rPr>
                    <w:t>西</w:t>
                  </w:r>
                </w:p>
              </w:tc>
              <w:tc>
                <w:tcPr>
                  <w:tcW w:w="572" w:type="dxa"/>
                  <w:tcBorders>
                    <w:top w:val="single" w:color="auto" w:sz="4" w:space="0"/>
                    <w:left w:val="single" w:color="auto" w:sz="4" w:space="0"/>
                    <w:bottom w:val="single" w:color="auto" w:sz="4" w:space="0"/>
                    <w:right w:val="single" w:color="auto" w:sz="4" w:space="0"/>
                  </w:tcBorders>
                  <w:vAlign w:val="center"/>
                </w:tcPr>
                <w:p w14:paraId="5529770B">
                  <w:pPr>
                    <w:jc w:val="center"/>
                    <w:rPr>
                      <w:color w:val="auto"/>
                      <w:szCs w:val="21"/>
                    </w:rPr>
                  </w:pPr>
                  <w:r>
                    <w:rPr>
                      <w:rFonts w:hint="eastAsia"/>
                      <w:color w:val="auto"/>
                      <w:szCs w:val="21"/>
                    </w:rPr>
                    <w:t>14</w:t>
                  </w:r>
                </w:p>
              </w:tc>
              <w:tc>
                <w:tcPr>
                  <w:tcW w:w="620" w:type="dxa"/>
                  <w:tcBorders>
                    <w:left w:val="single" w:color="auto" w:sz="4" w:space="0"/>
                    <w:bottom w:val="single" w:color="auto" w:sz="4" w:space="0"/>
                    <w:right w:val="single" w:color="auto" w:sz="4" w:space="0"/>
                  </w:tcBorders>
                  <w:vAlign w:val="center"/>
                </w:tcPr>
                <w:p w14:paraId="72830591">
                  <w:pPr>
                    <w:jc w:val="center"/>
                    <w:rPr>
                      <w:color w:val="auto"/>
                      <w:szCs w:val="21"/>
                    </w:rPr>
                  </w:pPr>
                  <w:r>
                    <w:rPr>
                      <w:rFonts w:hint="eastAsia"/>
                      <w:color w:val="auto"/>
                      <w:szCs w:val="21"/>
                      <w:lang w:val="en-US" w:eastAsia="zh-CN"/>
                    </w:rPr>
                    <w:t>60</w:t>
                  </w:r>
                  <w:r>
                    <w:rPr>
                      <w:rFonts w:hint="eastAsia"/>
                      <w:color w:val="auto"/>
                      <w:szCs w:val="21"/>
                    </w:rPr>
                    <w:t>.3</w:t>
                  </w:r>
                </w:p>
              </w:tc>
              <w:tc>
                <w:tcPr>
                  <w:tcW w:w="582" w:type="dxa"/>
                  <w:vMerge w:val="continue"/>
                  <w:tcBorders>
                    <w:left w:val="single" w:color="auto" w:sz="4" w:space="0"/>
                    <w:right w:val="single" w:color="auto" w:sz="4" w:space="0"/>
                  </w:tcBorders>
                  <w:vAlign w:val="center"/>
                </w:tcPr>
                <w:p w14:paraId="53800383">
                  <w:pPr>
                    <w:jc w:val="center"/>
                    <w:rPr>
                      <w:color w:val="auto"/>
                      <w:szCs w:val="21"/>
                    </w:rPr>
                  </w:pPr>
                </w:p>
              </w:tc>
              <w:tc>
                <w:tcPr>
                  <w:tcW w:w="692" w:type="dxa"/>
                  <w:vMerge w:val="continue"/>
                  <w:tcBorders>
                    <w:left w:val="single" w:color="auto" w:sz="4" w:space="0"/>
                    <w:right w:val="single" w:color="auto" w:sz="4" w:space="0"/>
                  </w:tcBorders>
                  <w:vAlign w:val="center"/>
                </w:tcPr>
                <w:p w14:paraId="1CE334C4">
                  <w:pPr>
                    <w:jc w:val="center"/>
                    <w:rPr>
                      <w:color w:val="auto"/>
                      <w:szCs w:val="21"/>
                    </w:rPr>
                  </w:pPr>
                </w:p>
              </w:tc>
              <w:tc>
                <w:tcPr>
                  <w:tcW w:w="652" w:type="dxa"/>
                  <w:vMerge w:val="continue"/>
                  <w:tcBorders>
                    <w:left w:val="single" w:color="auto" w:sz="4" w:space="0"/>
                    <w:right w:val="single" w:color="auto" w:sz="4" w:space="0"/>
                  </w:tcBorders>
                  <w:vAlign w:val="center"/>
                </w:tcPr>
                <w:p w14:paraId="0457B9E8">
                  <w:pPr>
                    <w:jc w:val="center"/>
                    <w:rPr>
                      <w:color w:val="auto"/>
                      <w:szCs w:val="21"/>
                    </w:rPr>
                  </w:pPr>
                </w:p>
              </w:tc>
              <w:tc>
                <w:tcPr>
                  <w:tcW w:w="662" w:type="dxa"/>
                  <w:vMerge w:val="continue"/>
                  <w:tcBorders>
                    <w:left w:val="single" w:color="auto" w:sz="4" w:space="0"/>
                    <w:right w:val="single" w:color="auto" w:sz="4" w:space="0"/>
                  </w:tcBorders>
                  <w:vAlign w:val="center"/>
                </w:tcPr>
                <w:p w14:paraId="18C6730C">
                  <w:pPr>
                    <w:rPr>
                      <w:color w:val="auto"/>
                      <w:szCs w:val="21"/>
                    </w:rPr>
                  </w:pPr>
                </w:p>
              </w:tc>
            </w:tr>
            <w:tr w14:paraId="650E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dxa"/>
                  <w:vMerge w:val="continue"/>
                  <w:tcBorders>
                    <w:left w:val="single" w:color="auto" w:sz="4" w:space="0"/>
                    <w:bottom w:val="single" w:color="auto" w:sz="4" w:space="0"/>
                    <w:right w:val="single" w:color="auto" w:sz="4" w:space="0"/>
                  </w:tcBorders>
                  <w:vAlign w:val="center"/>
                </w:tcPr>
                <w:p w14:paraId="1900E681">
                  <w:pPr>
                    <w:jc w:val="center"/>
                    <w:rPr>
                      <w:color w:val="auto"/>
                      <w:szCs w:val="21"/>
                    </w:rPr>
                  </w:pPr>
                </w:p>
              </w:tc>
              <w:tc>
                <w:tcPr>
                  <w:tcW w:w="471" w:type="dxa"/>
                  <w:vMerge w:val="continue"/>
                  <w:tcBorders>
                    <w:left w:val="single" w:color="auto" w:sz="4" w:space="0"/>
                    <w:right w:val="single" w:color="auto" w:sz="4" w:space="0"/>
                  </w:tcBorders>
                  <w:vAlign w:val="center"/>
                </w:tcPr>
                <w:p w14:paraId="4B2432F3">
                  <w:pPr>
                    <w:pStyle w:val="32"/>
                    <w:spacing w:before="0" w:beforeAutospacing="0" w:after="0" w:afterAutospacing="0"/>
                    <w:jc w:val="center"/>
                    <w:rPr>
                      <w:rFonts w:ascii="Times New Roman" w:hAnsi="Times New Roman"/>
                      <w:color w:val="auto"/>
                      <w:sz w:val="21"/>
                      <w:szCs w:val="21"/>
                    </w:rPr>
                  </w:pPr>
                </w:p>
              </w:tc>
              <w:tc>
                <w:tcPr>
                  <w:tcW w:w="691" w:type="dxa"/>
                  <w:vMerge w:val="continue"/>
                  <w:tcBorders>
                    <w:left w:val="single" w:color="auto" w:sz="4" w:space="0"/>
                    <w:bottom w:val="single" w:color="auto" w:sz="4" w:space="0"/>
                    <w:right w:val="single" w:color="auto" w:sz="4" w:space="0"/>
                  </w:tcBorders>
                  <w:vAlign w:val="center"/>
                </w:tcPr>
                <w:p w14:paraId="0D99C91D">
                  <w:pPr>
                    <w:pStyle w:val="32"/>
                    <w:spacing w:before="0" w:beforeAutospacing="0" w:after="0" w:afterAutospacing="0"/>
                    <w:jc w:val="center"/>
                    <w:rPr>
                      <w:rFonts w:ascii="Times New Roman" w:hAnsi="Times New Roman"/>
                      <w:color w:val="auto"/>
                      <w:sz w:val="21"/>
                      <w:szCs w:val="21"/>
                    </w:rPr>
                  </w:pPr>
                </w:p>
              </w:tc>
              <w:tc>
                <w:tcPr>
                  <w:tcW w:w="733" w:type="dxa"/>
                  <w:vMerge w:val="continue"/>
                  <w:tcBorders>
                    <w:left w:val="single" w:color="auto" w:sz="4" w:space="0"/>
                    <w:bottom w:val="single" w:color="auto" w:sz="4" w:space="0"/>
                    <w:right w:val="single" w:color="auto" w:sz="4" w:space="0"/>
                  </w:tcBorders>
                  <w:vAlign w:val="center"/>
                </w:tcPr>
                <w:p w14:paraId="406002ED">
                  <w:pPr>
                    <w:jc w:val="center"/>
                    <w:rPr>
                      <w:color w:val="auto"/>
                      <w:szCs w:val="21"/>
                    </w:rPr>
                  </w:pPr>
                </w:p>
              </w:tc>
              <w:tc>
                <w:tcPr>
                  <w:tcW w:w="445" w:type="dxa"/>
                  <w:vMerge w:val="continue"/>
                  <w:tcBorders>
                    <w:left w:val="single" w:color="auto" w:sz="4" w:space="0"/>
                    <w:right w:val="single" w:color="auto" w:sz="4" w:space="0"/>
                  </w:tcBorders>
                  <w:vAlign w:val="center"/>
                </w:tcPr>
                <w:p w14:paraId="5CE957B8">
                  <w:pPr>
                    <w:pStyle w:val="32"/>
                    <w:spacing w:before="0" w:beforeAutospacing="0" w:after="0" w:afterAutospacing="0"/>
                    <w:jc w:val="center"/>
                    <w:rPr>
                      <w:rFonts w:ascii="Times New Roman" w:hAnsi="Times New Roman"/>
                      <w:color w:val="auto"/>
                      <w:sz w:val="21"/>
                      <w:szCs w:val="21"/>
                    </w:rPr>
                  </w:pPr>
                </w:p>
              </w:tc>
              <w:tc>
                <w:tcPr>
                  <w:tcW w:w="689" w:type="dxa"/>
                  <w:vMerge w:val="continue"/>
                  <w:tcBorders>
                    <w:left w:val="single" w:color="auto" w:sz="4" w:space="0"/>
                    <w:bottom w:val="single" w:color="auto" w:sz="4" w:space="0"/>
                    <w:right w:val="single" w:color="auto" w:sz="4" w:space="0"/>
                  </w:tcBorders>
                  <w:vAlign w:val="center"/>
                </w:tcPr>
                <w:p w14:paraId="30504755">
                  <w:pPr>
                    <w:jc w:val="center"/>
                    <w:rPr>
                      <w:color w:val="auto"/>
                      <w:szCs w:val="21"/>
                    </w:rPr>
                  </w:pPr>
                </w:p>
              </w:tc>
              <w:tc>
                <w:tcPr>
                  <w:tcW w:w="689" w:type="dxa"/>
                  <w:vMerge w:val="continue"/>
                  <w:tcBorders>
                    <w:left w:val="single" w:color="auto" w:sz="4" w:space="0"/>
                    <w:bottom w:val="single" w:color="auto" w:sz="4" w:space="0"/>
                    <w:right w:val="single" w:color="auto" w:sz="4" w:space="0"/>
                  </w:tcBorders>
                  <w:vAlign w:val="center"/>
                </w:tcPr>
                <w:p w14:paraId="701639EF">
                  <w:pPr>
                    <w:jc w:val="center"/>
                    <w:rPr>
                      <w:color w:val="auto"/>
                      <w:szCs w:val="21"/>
                    </w:rPr>
                  </w:pPr>
                </w:p>
              </w:tc>
              <w:tc>
                <w:tcPr>
                  <w:tcW w:w="370" w:type="dxa"/>
                  <w:vMerge w:val="continue"/>
                  <w:tcBorders>
                    <w:left w:val="single" w:color="auto" w:sz="4" w:space="0"/>
                    <w:bottom w:val="single" w:color="auto" w:sz="4" w:space="0"/>
                    <w:right w:val="single" w:color="auto" w:sz="4" w:space="0"/>
                  </w:tcBorders>
                  <w:vAlign w:val="center"/>
                </w:tcPr>
                <w:p w14:paraId="595972AC">
                  <w:pPr>
                    <w:jc w:val="center"/>
                    <w:rPr>
                      <w:color w:val="auto"/>
                      <w:szCs w:val="21"/>
                    </w:rPr>
                  </w:pPr>
                </w:p>
              </w:tc>
              <w:tc>
                <w:tcPr>
                  <w:tcW w:w="465" w:type="dxa"/>
                  <w:tcBorders>
                    <w:top w:val="single" w:color="auto" w:sz="4" w:space="0"/>
                    <w:left w:val="single" w:color="auto" w:sz="4" w:space="0"/>
                    <w:bottom w:val="single" w:color="auto" w:sz="4" w:space="0"/>
                    <w:right w:val="single" w:color="auto" w:sz="4" w:space="0"/>
                  </w:tcBorders>
                  <w:vAlign w:val="center"/>
                </w:tcPr>
                <w:p w14:paraId="0EAB0842">
                  <w:pPr>
                    <w:jc w:val="center"/>
                    <w:rPr>
                      <w:color w:val="auto"/>
                      <w:szCs w:val="21"/>
                    </w:rPr>
                  </w:pPr>
                  <w:r>
                    <w:rPr>
                      <w:color w:val="auto"/>
                      <w:szCs w:val="21"/>
                    </w:rPr>
                    <w:t>北</w:t>
                  </w:r>
                </w:p>
              </w:tc>
              <w:tc>
                <w:tcPr>
                  <w:tcW w:w="572" w:type="dxa"/>
                  <w:tcBorders>
                    <w:top w:val="single" w:color="auto" w:sz="4" w:space="0"/>
                    <w:left w:val="single" w:color="auto" w:sz="4" w:space="0"/>
                    <w:bottom w:val="single" w:color="auto" w:sz="4" w:space="0"/>
                    <w:right w:val="single" w:color="auto" w:sz="4" w:space="0"/>
                  </w:tcBorders>
                  <w:vAlign w:val="center"/>
                </w:tcPr>
                <w:p w14:paraId="4D23EF1C">
                  <w:pPr>
                    <w:jc w:val="center"/>
                    <w:rPr>
                      <w:color w:val="auto"/>
                      <w:szCs w:val="21"/>
                    </w:rPr>
                  </w:pPr>
                  <w:r>
                    <w:rPr>
                      <w:rFonts w:hint="eastAsia"/>
                      <w:color w:val="auto"/>
                      <w:szCs w:val="21"/>
                    </w:rPr>
                    <w:t>17</w:t>
                  </w:r>
                </w:p>
              </w:tc>
              <w:tc>
                <w:tcPr>
                  <w:tcW w:w="620" w:type="dxa"/>
                  <w:tcBorders>
                    <w:left w:val="single" w:color="auto" w:sz="4" w:space="0"/>
                    <w:bottom w:val="single" w:color="auto" w:sz="4" w:space="0"/>
                    <w:right w:val="single" w:color="auto" w:sz="4" w:space="0"/>
                  </w:tcBorders>
                  <w:vAlign w:val="center"/>
                </w:tcPr>
                <w:p w14:paraId="57556408">
                  <w:pPr>
                    <w:jc w:val="center"/>
                    <w:rPr>
                      <w:color w:val="auto"/>
                      <w:szCs w:val="21"/>
                    </w:rPr>
                  </w:pPr>
                  <w:r>
                    <w:rPr>
                      <w:rFonts w:hint="eastAsia"/>
                      <w:color w:val="auto"/>
                      <w:szCs w:val="21"/>
                      <w:lang w:val="en-US" w:eastAsia="zh-CN"/>
                    </w:rPr>
                    <w:t>60</w:t>
                  </w:r>
                  <w:r>
                    <w:rPr>
                      <w:rFonts w:hint="eastAsia"/>
                      <w:color w:val="auto"/>
                      <w:szCs w:val="21"/>
                    </w:rPr>
                    <w:t>.2</w:t>
                  </w:r>
                </w:p>
              </w:tc>
              <w:tc>
                <w:tcPr>
                  <w:tcW w:w="582" w:type="dxa"/>
                  <w:vMerge w:val="continue"/>
                  <w:tcBorders>
                    <w:left w:val="single" w:color="auto" w:sz="4" w:space="0"/>
                    <w:right w:val="single" w:color="auto" w:sz="4" w:space="0"/>
                  </w:tcBorders>
                  <w:vAlign w:val="center"/>
                </w:tcPr>
                <w:p w14:paraId="5D05FFB5">
                  <w:pPr>
                    <w:jc w:val="center"/>
                    <w:rPr>
                      <w:color w:val="auto"/>
                      <w:szCs w:val="21"/>
                    </w:rPr>
                  </w:pPr>
                </w:p>
              </w:tc>
              <w:tc>
                <w:tcPr>
                  <w:tcW w:w="692" w:type="dxa"/>
                  <w:vMerge w:val="continue"/>
                  <w:tcBorders>
                    <w:left w:val="single" w:color="auto" w:sz="4" w:space="0"/>
                    <w:right w:val="single" w:color="auto" w:sz="4" w:space="0"/>
                  </w:tcBorders>
                  <w:vAlign w:val="center"/>
                </w:tcPr>
                <w:p w14:paraId="774D335B">
                  <w:pPr>
                    <w:jc w:val="center"/>
                    <w:rPr>
                      <w:color w:val="auto"/>
                      <w:szCs w:val="21"/>
                    </w:rPr>
                  </w:pPr>
                </w:p>
              </w:tc>
              <w:tc>
                <w:tcPr>
                  <w:tcW w:w="652" w:type="dxa"/>
                  <w:vMerge w:val="continue"/>
                  <w:tcBorders>
                    <w:left w:val="single" w:color="auto" w:sz="4" w:space="0"/>
                    <w:right w:val="single" w:color="auto" w:sz="4" w:space="0"/>
                  </w:tcBorders>
                  <w:vAlign w:val="center"/>
                </w:tcPr>
                <w:p w14:paraId="5BB7E98B">
                  <w:pPr>
                    <w:jc w:val="center"/>
                    <w:rPr>
                      <w:color w:val="auto"/>
                      <w:szCs w:val="21"/>
                    </w:rPr>
                  </w:pPr>
                </w:p>
              </w:tc>
              <w:tc>
                <w:tcPr>
                  <w:tcW w:w="662" w:type="dxa"/>
                  <w:vMerge w:val="continue"/>
                  <w:tcBorders>
                    <w:left w:val="single" w:color="auto" w:sz="4" w:space="0"/>
                    <w:right w:val="single" w:color="auto" w:sz="4" w:space="0"/>
                  </w:tcBorders>
                  <w:vAlign w:val="center"/>
                </w:tcPr>
                <w:p w14:paraId="37341C24">
                  <w:pPr>
                    <w:rPr>
                      <w:color w:val="auto"/>
                      <w:szCs w:val="21"/>
                    </w:rPr>
                  </w:pPr>
                </w:p>
              </w:tc>
            </w:tr>
            <w:tr w14:paraId="7244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87" w:type="dxa"/>
                  <w:gridSpan w:val="15"/>
                  <w:tcBorders>
                    <w:left w:val="single" w:color="auto" w:sz="4" w:space="0"/>
                    <w:right w:val="single" w:color="auto" w:sz="4" w:space="0"/>
                  </w:tcBorders>
                  <w:vAlign w:val="center"/>
                </w:tcPr>
                <w:p w14:paraId="62D51C11">
                  <w:pPr>
                    <w:rPr>
                      <w:color w:val="auto"/>
                      <w:szCs w:val="21"/>
                    </w:rPr>
                  </w:pPr>
                  <w:r>
                    <w:rPr>
                      <w:rFonts w:hint="eastAsia"/>
                      <w:color w:val="auto"/>
                      <w:szCs w:val="21"/>
                    </w:rPr>
                    <w:t>备注：本项目X、Y、Z的坐标以厂房中心坐标原点确认，透声窗面积S按5m</w:t>
                  </w:r>
                  <w:r>
                    <w:rPr>
                      <w:rFonts w:hint="eastAsia"/>
                      <w:color w:val="auto"/>
                      <w:szCs w:val="21"/>
                      <w:vertAlign w:val="superscript"/>
                    </w:rPr>
                    <w:t>2</w:t>
                  </w:r>
                  <w:r>
                    <w:rPr>
                      <w:rFonts w:hint="eastAsia"/>
                      <w:color w:val="auto"/>
                      <w:szCs w:val="21"/>
                    </w:rPr>
                    <w:t>计。</w:t>
                  </w:r>
                </w:p>
              </w:tc>
            </w:tr>
          </w:tbl>
          <w:p w14:paraId="5848C555">
            <w:pPr>
              <w:pStyle w:val="14"/>
              <w:tabs>
                <w:tab w:val="left" w:pos="789"/>
              </w:tabs>
              <w:adjustRightInd w:val="0"/>
              <w:spacing w:before="0" w:after="0" w:line="240" w:lineRule="auto"/>
              <w:ind w:firstLine="420"/>
              <w:rPr>
                <w:color w:val="auto"/>
                <w:sz w:val="21"/>
                <w:szCs w:val="21"/>
              </w:rPr>
            </w:pPr>
            <w:r>
              <w:rPr>
                <w:rFonts w:hint="eastAsia"/>
                <w:color w:val="auto"/>
                <w:sz w:val="21"/>
                <w:szCs w:val="21"/>
              </w:rPr>
              <w:t>注：上表格中空间位置为同类型设备等效点声源源强及空间位置。</w:t>
            </w:r>
          </w:p>
          <w:p w14:paraId="50F8EBC7">
            <w:pPr>
              <w:pStyle w:val="14"/>
              <w:tabs>
                <w:tab w:val="left" w:pos="789"/>
              </w:tabs>
              <w:adjustRightInd w:val="0"/>
              <w:spacing w:before="0" w:after="0" w:line="440" w:lineRule="exact"/>
              <w:ind w:firstLine="420"/>
              <w:jc w:val="center"/>
              <w:rPr>
                <w:b/>
                <w:color w:val="auto"/>
                <w:sz w:val="21"/>
                <w:szCs w:val="21"/>
              </w:rPr>
            </w:pPr>
            <w:r>
              <w:rPr>
                <w:rFonts w:hint="eastAsia"/>
                <w:b/>
                <w:color w:val="auto"/>
                <w:sz w:val="21"/>
                <w:szCs w:val="21"/>
              </w:rPr>
              <w:t>表 4-</w:t>
            </w:r>
            <w:r>
              <w:rPr>
                <w:rFonts w:hint="eastAsia"/>
                <w:b/>
                <w:color w:val="auto"/>
                <w:sz w:val="21"/>
                <w:szCs w:val="21"/>
                <w:lang w:val="en-US" w:eastAsia="zh-CN"/>
              </w:rPr>
              <w:t>21</w:t>
            </w:r>
            <w:r>
              <w:rPr>
                <w:rFonts w:hint="eastAsia"/>
                <w:b/>
                <w:color w:val="auto"/>
                <w:sz w:val="21"/>
                <w:szCs w:val="21"/>
              </w:rPr>
              <w:t xml:space="preserve">  噪声污染源强核算结果及相关参数一览表（室外声源）</w:t>
            </w:r>
          </w:p>
          <w:tbl>
            <w:tblPr>
              <w:tblStyle w:val="37"/>
              <w:tblW w:w="878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2"/>
              <w:gridCol w:w="2661"/>
              <w:gridCol w:w="668"/>
              <w:gridCol w:w="714"/>
              <w:gridCol w:w="624"/>
              <w:gridCol w:w="1742"/>
              <w:gridCol w:w="972"/>
              <w:gridCol w:w="1014"/>
            </w:tblGrid>
            <w:tr w14:paraId="51909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3" w:type="pct"/>
                  <w:vMerge w:val="restart"/>
                  <w:vAlign w:val="center"/>
                </w:tcPr>
                <w:p w14:paraId="352F6F40">
                  <w:pPr>
                    <w:pStyle w:val="109"/>
                    <w:autoSpaceDE/>
                    <w:autoSpaceDN/>
                    <w:snapToGrid w:val="0"/>
                    <w:spacing w:before="0"/>
                    <w:rPr>
                      <w:b/>
                      <w:bCs/>
                      <w:color w:val="auto"/>
                      <w:sz w:val="21"/>
                      <w:szCs w:val="21"/>
                      <w:lang w:eastAsia="en-US"/>
                    </w:rPr>
                  </w:pPr>
                  <w:r>
                    <w:rPr>
                      <w:b/>
                      <w:bCs/>
                      <w:color w:val="auto"/>
                      <w:sz w:val="21"/>
                      <w:szCs w:val="21"/>
                      <w:lang w:eastAsia="en-US"/>
                    </w:rPr>
                    <w:t>序号</w:t>
                  </w:r>
                </w:p>
              </w:tc>
              <w:tc>
                <w:tcPr>
                  <w:tcW w:w="1513" w:type="pct"/>
                  <w:vMerge w:val="restart"/>
                  <w:vAlign w:val="center"/>
                </w:tcPr>
                <w:p w14:paraId="1DE3EF81">
                  <w:pPr>
                    <w:pStyle w:val="109"/>
                    <w:autoSpaceDE/>
                    <w:autoSpaceDN/>
                    <w:snapToGrid w:val="0"/>
                    <w:spacing w:before="0"/>
                    <w:rPr>
                      <w:b/>
                      <w:bCs/>
                      <w:color w:val="auto"/>
                      <w:sz w:val="21"/>
                      <w:szCs w:val="21"/>
                      <w:lang w:eastAsia="en-US"/>
                    </w:rPr>
                  </w:pPr>
                  <w:r>
                    <w:rPr>
                      <w:b/>
                      <w:bCs/>
                      <w:color w:val="auto"/>
                      <w:sz w:val="21"/>
                      <w:szCs w:val="21"/>
                      <w:lang w:eastAsia="en-US"/>
                    </w:rPr>
                    <w:t>声源名称</w:t>
                  </w:r>
                </w:p>
              </w:tc>
              <w:tc>
                <w:tcPr>
                  <w:tcW w:w="1141" w:type="pct"/>
                  <w:gridSpan w:val="3"/>
                  <w:vAlign w:val="center"/>
                </w:tcPr>
                <w:p w14:paraId="1856C25D">
                  <w:pPr>
                    <w:pStyle w:val="109"/>
                    <w:autoSpaceDE/>
                    <w:autoSpaceDN/>
                    <w:snapToGrid w:val="0"/>
                    <w:spacing w:before="0"/>
                    <w:rPr>
                      <w:b/>
                      <w:bCs/>
                      <w:color w:val="auto"/>
                      <w:sz w:val="21"/>
                      <w:szCs w:val="21"/>
                      <w:lang w:eastAsia="en-US"/>
                    </w:rPr>
                  </w:pPr>
                  <w:r>
                    <w:rPr>
                      <w:b/>
                      <w:bCs/>
                      <w:color w:val="auto"/>
                      <w:sz w:val="21"/>
                      <w:szCs w:val="21"/>
                      <w:lang w:eastAsia="en-US"/>
                    </w:rPr>
                    <w:t>空间相对位置/m</w:t>
                  </w:r>
                </w:p>
              </w:tc>
              <w:tc>
                <w:tcPr>
                  <w:tcW w:w="991" w:type="pct"/>
                  <w:vAlign w:val="center"/>
                </w:tcPr>
                <w:p w14:paraId="1DD131EE">
                  <w:pPr>
                    <w:pStyle w:val="109"/>
                    <w:autoSpaceDE/>
                    <w:autoSpaceDN/>
                    <w:snapToGrid w:val="0"/>
                    <w:spacing w:before="0"/>
                    <w:rPr>
                      <w:b/>
                      <w:bCs/>
                      <w:color w:val="auto"/>
                      <w:sz w:val="21"/>
                      <w:szCs w:val="21"/>
                      <w:lang w:eastAsia="en-US"/>
                    </w:rPr>
                  </w:pPr>
                  <w:r>
                    <w:rPr>
                      <w:b/>
                      <w:bCs/>
                      <w:color w:val="auto"/>
                      <w:sz w:val="21"/>
                      <w:szCs w:val="21"/>
                      <w:lang w:eastAsia="en-US"/>
                    </w:rPr>
                    <w:t>声源源强</w:t>
                  </w:r>
                </w:p>
              </w:tc>
              <w:tc>
                <w:tcPr>
                  <w:tcW w:w="553" w:type="pct"/>
                  <w:vMerge w:val="restart"/>
                  <w:vAlign w:val="center"/>
                </w:tcPr>
                <w:p w14:paraId="7499B137">
                  <w:pPr>
                    <w:pStyle w:val="109"/>
                    <w:autoSpaceDE/>
                    <w:autoSpaceDN/>
                    <w:snapToGrid w:val="0"/>
                    <w:spacing w:before="0"/>
                    <w:rPr>
                      <w:b/>
                      <w:bCs/>
                      <w:color w:val="auto"/>
                      <w:sz w:val="21"/>
                      <w:szCs w:val="21"/>
                      <w:lang w:eastAsia="en-US"/>
                    </w:rPr>
                  </w:pPr>
                  <w:r>
                    <w:rPr>
                      <w:b/>
                      <w:bCs/>
                      <w:color w:val="auto"/>
                      <w:sz w:val="21"/>
                      <w:szCs w:val="21"/>
                      <w:lang w:eastAsia="en-US"/>
                    </w:rPr>
                    <w:t>声源控制</w:t>
                  </w:r>
                </w:p>
                <w:p w14:paraId="31C3C71B">
                  <w:pPr>
                    <w:pStyle w:val="109"/>
                    <w:autoSpaceDE/>
                    <w:autoSpaceDN/>
                    <w:snapToGrid w:val="0"/>
                    <w:spacing w:before="0"/>
                    <w:rPr>
                      <w:b/>
                      <w:bCs/>
                      <w:color w:val="auto"/>
                      <w:sz w:val="21"/>
                      <w:szCs w:val="21"/>
                      <w:lang w:eastAsia="en-US"/>
                    </w:rPr>
                  </w:pPr>
                  <w:r>
                    <w:rPr>
                      <w:b/>
                      <w:bCs/>
                      <w:color w:val="auto"/>
                      <w:sz w:val="21"/>
                      <w:szCs w:val="21"/>
                      <w:lang w:eastAsia="en-US"/>
                    </w:rPr>
                    <w:t>措施</w:t>
                  </w:r>
                </w:p>
              </w:tc>
              <w:tc>
                <w:tcPr>
                  <w:tcW w:w="577" w:type="pct"/>
                  <w:vMerge w:val="restart"/>
                  <w:vAlign w:val="center"/>
                </w:tcPr>
                <w:p w14:paraId="21F31238">
                  <w:pPr>
                    <w:pStyle w:val="109"/>
                    <w:autoSpaceDE/>
                    <w:autoSpaceDN/>
                    <w:snapToGrid w:val="0"/>
                    <w:spacing w:before="0"/>
                    <w:rPr>
                      <w:b/>
                      <w:bCs/>
                      <w:color w:val="auto"/>
                      <w:sz w:val="21"/>
                      <w:szCs w:val="21"/>
                      <w:lang w:eastAsia="en-US"/>
                    </w:rPr>
                  </w:pPr>
                  <w:r>
                    <w:rPr>
                      <w:b/>
                      <w:bCs/>
                      <w:color w:val="auto"/>
                      <w:sz w:val="21"/>
                      <w:szCs w:val="21"/>
                      <w:lang w:eastAsia="en-US"/>
                    </w:rPr>
                    <w:t>运行时段</w:t>
                  </w:r>
                </w:p>
              </w:tc>
            </w:tr>
            <w:tr w14:paraId="32F92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23" w:type="pct"/>
                  <w:vMerge w:val="continue"/>
                  <w:vAlign w:val="center"/>
                </w:tcPr>
                <w:p w14:paraId="48FCF418">
                  <w:pPr>
                    <w:adjustRightInd w:val="0"/>
                    <w:snapToGrid w:val="0"/>
                    <w:jc w:val="center"/>
                    <w:rPr>
                      <w:color w:val="auto"/>
                      <w:szCs w:val="21"/>
                      <w:lang w:eastAsia="en-US"/>
                    </w:rPr>
                  </w:pPr>
                </w:p>
              </w:tc>
              <w:tc>
                <w:tcPr>
                  <w:tcW w:w="1513" w:type="pct"/>
                  <w:vMerge w:val="continue"/>
                  <w:vAlign w:val="center"/>
                </w:tcPr>
                <w:p w14:paraId="74CEBAFE">
                  <w:pPr>
                    <w:adjustRightInd w:val="0"/>
                    <w:snapToGrid w:val="0"/>
                    <w:jc w:val="center"/>
                    <w:rPr>
                      <w:color w:val="auto"/>
                      <w:szCs w:val="21"/>
                      <w:lang w:eastAsia="en-US"/>
                    </w:rPr>
                  </w:pPr>
                </w:p>
              </w:tc>
              <w:tc>
                <w:tcPr>
                  <w:tcW w:w="380" w:type="pct"/>
                  <w:vAlign w:val="center"/>
                </w:tcPr>
                <w:p w14:paraId="2BBE20CB">
                  <w:pPr>
                    <w:pStyle w:val="109"/>
                    <w:autoSpaceDE/>
                    <w:autoSpaceDN/>
                    <w:snapToGrid w:val="0"/>
                    <w:spacing w:before="0"/>
                    <w:rPr>
                      <w:b/>
                      <w:bCs/>
                      <w:color w:val="auto"/>
                      <w:sz w:val="21"/>
                      <w:szCs w:val="21"/>
                      <w:lang w:eastAsia="en-US"/>
                    </w:rPr>
                  </w:pPr>
                  <w:r>
                    <w:rPr>
                      <w:b/>
                      <w:bCs/>
                      <w:color w:val="auto"/>
                      <w:sz w:val="21"/>
                      <w:szCs w:val="21"/>
                      <w:lang w:eastAsia="en-US"/>
                    </w:rPr>
                    <w:t>X</w:t>
                  </w:r>
                </w:p>
              </w:tc>
              <w:tc>
                <w:tcPr>
                  <w:tcW w:w="406" w:type="pct"/>
                  <w:vAlign w:val="center"/>
                </w:tcPr>
                <w:p w14:paraId="0559DAD1">
                  <w:pPr>
                    <w:pStyle w:val="109"/>
                    <w:autoSpaceDE/>
                    <w:autoSpaceDN/>
                    <w:snapToGrid w:val="0"/>
                    <w:spacing w:before="0"/>
                    <w:rPr>
                      <w:b/>
                      <w:bCs/>
                      <w:color w:val="auto"/>
                      <w:sz w:val="21"/>
                      <w:szCs w:val="21"/>
                      <w:lang w:eastAsia="en-US"/>
                    </w:rPr>
                  </w:pPr>
                  <w:r>
                    <w:rPr>
                      <w:b/>
                      <w:bCs/>
                      <w:color w:val="auto"/>
                      <w:sz w:val="21"/>
                      <w:szCs w:val="21"/>
                      <w:lang w:eastAsia="en-US"/>
                    </w:rPr>
                    <w:t>Y</w:t>
                  </w:r>
                </w:p>
              </w:tc>
              <w:tc>
                <w:tcPr>
                  <w:tcW w:w="354" w:type="pct"/>
                  <w:vAlign w:val="center"/>
                </w:tcPr>
                <w:p w14:paraId="39514903">
                  <w:pPr>
                    <w:pStyle w:val="109"/>
                    <w:autoSpaceDE/>
                    <w:autoSpaceDN/>
                    <w:snapToGrid w:val="0"/>
                    <w:spacing w:before="0"/>
                    <w:rPr>
                      <w:b/>
                      <w:bCs/>
                      <w:color w:val="auto"/>
                      <w:sz w:val="21"/>
                      <w:szCs w:val="21"/>
                      <w:lang w:eastAsia="en-US"/>
                    </w:rPr>
                  </w:pPr>
                  <w:r>
                    <w:rPr>
                      <w:b/>
                      <w:bCs/>
                      <w:color w:val="auto"/>
                      <w:sz w:val="21"/>
                      <w:szCs w:val="21"/>
                      <w:lang w:eastAsia="en-US"/>
                    </w:rPr>
                    <w:t>Z</w:t>
                  </w:r>
                </w:p>
              </w:tc>
              <w:tc>
                <w:tcPr>
                  <w:tcW w:w="991" w:type="pct"/>
                  <w:vAlign w:val="center"/>
                </w:tcPr>
                <w:p w14:paraId="70DC9DAC">
                  <w:pPr>
                    <w:pStyle w:val="109"/>
                    <w:autoSpaceDE/>
                    <w:autoSpaceDN/>
                    <w:snapToGrid w:val="0"/>
                    <w:spacing w:before="0"/>
                    <w:rPr>
                      <w:b/>
                      <w:bCs/>
                      <w:color w:val="auto"/>
                      <w:sz w:val="21"/>
                      <w:szCs w:val="21"/>
                      <w:lang w:eastAsia="en-US"/>
                    </w:rPr>
                  </w:pPr>
                  <w:r>
                    <w:rPr>
                      <w:b/>
                      <w:bCs/>
                      <w:color w:val="auto"/>
                      <w:sz w:val="21"/>
                      <w:szCs w:val="21"/>
                      <w:lang w:eastAsia="en-US"/>
                    </w:rPr>
                    <w:t xml:space="preserve">（声压级/距声源距离）/（dB(A)/m） </w:t>
                  </w:r>
                </w:p>
              </w:tc>
              <w:tc>
                <w:tcPr>
                  <w:tcW w:w="553" w:type="pct"/>
                  <w:vMerge w:val="continue"/>
                  <w:tcBorders>
                    <w:bottom w:val="single" w:color="auto" w:sz="4" w:space="0"/>
                  </w:tcBorders>
                  <w:vAlign w:val="center"/>
                </w:tcPr>
                <w:p w14:paraId="5696D82A">
                  <w:pPr>
                    <w:adjustRightInd w:val="0"/>
                    <w:snapToGrid w:val="0"/>
                    <w:jc w:val="center"/>
                    <w:rPr>
                      <w:color w:val="auto"/>
                      <w:szCs w:val="21"/>
                      <w:lang w:eastAsia="en-US"/>
                    </w:rPr>
                  </w:pPr>
                </w:p>
              </w:tc>
              <w:tc>
                <w:tcPr>
                  <w:tcW w:w="577" w:type="pct"/>
                  <w:vMerge w:val="continue"/>
                  <w:vAlign w:val="center"/>
                </w:tcPr>
                <w:p w14:paraId="5F3E68E4">
                  <w:pPr>
                    <w:adjustRightInd w:val="0"/>
                    <w:snapToGrid w:val="0"/>
                    <w:jc w:val="center"/>
                    <w:rPr>
                      <w:color w:val="auto"/>
                      <w:szCs w:val="21"/>
                      <w:lang w:eastAsia="en-US"/>
                    </w:rPr>
                  </w:pPr>
                </w:p>
              </w:tc>
            </w:tr>
            <w:tr w14:paraId="0605F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3" w:type="pct"/>
                  <w:vAlign w:val="center"/>
                </w:tcPr>
                <w:p w14:paraId="44B776EB">
                  <w:pPr>
                    <w:pStyle w:val="109"/>
                    <w:autoSpaceDE/>
                    <w:autoSpaceDN/>
                    <w:snapToGrid w:val="0"/>
                    <w:spacing w:before="0"/>
                    <w:rPr>
                      <w:color w:val="auto"/>
                      <w:sz w:val="21"/>
                      <w:szCs w:val="21"/>
                    </w:rPr>
                  </w:pPr>
                  <w:r>
                    <w:rPr>
                      <w:rFonts w:hint="eastAsia"/>
                      <w:color w:val="auto"/>
                      <w:sz w:val="21"/>
                      <w:szCs w:val="21"/>
                    </w:rPr>
                    <w:t>1</w:t>
                  </w:r>
                </w:p>
              </w:tc>
              <w:tc>
                <w:tcPr>
                  <w:tcW w:w="1513" w:type="pct"/>
                  <w:vAlign w:val="center"/>
                </w:tcPr>
                <w:p w14:paraId="6110A5E7">
                  <w:pPr>
                    <w:pStyle w:val="109"/>
                    <w:autoSpaceDE/>
                    <w:autoSpaceDN/>
                    <w:snapToGrid w:val="0"/>
                    <w:spacing w:before="0"/>
                    <w:rPr>
                      <w:color w:val="auto"/>
                      <w:sz w:val="21"/>
                      <w:szCs w:val="21"/>
                    </w:rPr>
                  </w:pPr>
                  <w:r>
                    <w:rPr>
                      <w:rFonts w:hint="eastAsia"/>
                      <w:color w:val="auto"/>
                      <w:sz w:val="21"/>
                      <w:szCs w:val="21"/>
                    </w:rPr>
                    <w:t>喷胶废气处理装置（含风机）</w:t>
                  </w:r>
                </w:p>
              </w:tc>
              <w:tc>
                <w:tcPr>
                  <w:tcW w:w="380" w:type="pct"/>
                  <w:vAlign w:val="center"/>
                </w:tcPr>
                <w:p w14:paraId="2A10B095">
                  <w:pPr>
                    <w:pStyle w:val="109"/>
                    <w:autoSpaceDE/>
                    <w:autoSpaceDN/>
                    <w:snapToGrid w:val="0"/>
                    <w:rPr>
                      <w:color w:val="auto"/>
                      <w:sz w:val="21"/>
                      <w:szCs w:val="21"/>
                    </w:rPr>
                  </w:pPr>
                  <w:r>
                    <w:rPr>
                      <w:rFonts w:hint="eastAsia"/>
                      <w:color w:val="auto"/>
                      <w:sz w:val="21"/>
                      <w:szCs w:val="21"/>
                    </w:rPr>
                    <w:t>-24</w:t>
                  </w:r>
                </w:p>
              </w:tc>
              <w:tc>
                <w:tcPr>
                  <w:tcW w:w="406" w:type="pct"/>
                  <w:vAlign w:val="center"/>
                </w:tcPr>
                <w:p w14:paraId="54D74549">
                  <w:pPr>
                    <w:pStyle w:val="109"/>
                    <w:autoSpaceDE/>
                    <w:autoSpaceDN/>
                    <w:snapToGrid w:val="0"/>
                    <w:rPr>
                      <w:color w:val="auto"/>
                      <w:sz w:val="21"/>
                      <w:szCs w:val="21"/>
                    </w:rPr>
                  </w:pPr>
                  <w:r>
                    <w:rPr>
                      <w:rFonts w:hint="eastAsia"/>
                      <w:color w:val="auto"/>
                      <w:sz w:val="21"/>
                      <w:szCs w:val="21"/>
                    </w:rPr>
                    <w:t>-17.5</w:t>
                  </w:r>
                </w:p>
              </w:tc>
              <w:tc>
                <w:tcPr>
                  <w:tcW w:w="354" w:type="pct"/>
                  <w:vAlign w:val="center"/>
                </w:tcPr>
                <w:p w14:paraId="159D98F3">
                  <w:pPr>
                    <w:pStyle w:val="109"/>
                    <w:autoSpaceDE/>
                    <w:autoSpaceDN/>
                    <w:snapToGrid w:val="0"/>
                    <w:rPr>
                      <w:color w:val="auto"/>
                      <w:sz w:val="21"/>
                      <w:szCs w:val="21"/>
                    </w:rPr>
                  </w:pPr>
                  <w:r>
                    <w:rPr>
                      <w:rFonts w:hint="eastAsia"/>
                      <w:color w:val="auto"/>
                      <w:sz w:val="21"/>
                      <w:szCs w:val="21"/>
                    </w:rPr>
                    <w:t>1</w:t>
                  </w:r>
                </w:p>
              </w:tc>
              <w:tc>
                <w:tcPr>
                  <w:tcW w:w="991" w:type="pct"/>
                  <w:vAlign w:val="center"/>
                </w:tcPr>
                <w:p w14:paraId="6252E3D0">
                  <w:pPr>
                    <w:pStyle w:val="109"/>
                    <w:autoSpaceDE/>
                    <w:autoSpaceDN/>
                    <w:snapToGrid w:val="0"/>
                    <w:spacing w:before="0"/>
                    <w:rPr>
                      <w:color w:val="auto"/>
                      <w:sz w:val="21"/>
                      <w:szCs w:val="21"/>
                    </w:rPr>
                  </w:pPr>
                  <w:r>
                    <w:rPr>
                      <w:rFonts w:hint="eastAsia"/>
                      <w:color w:val="auto"/>
                      <w:sz w:val="21"/>
                      <w:szCs w:val="21"/>
                    </w:rPr>
                    <w:t>80/1m</w:t>
                  </w:r>
                </w:p>
              </w:tc>
              <w:tc>
                <w:tcPr>
                  <w:tcW w:w="553" w:type="pct"/>
                  <w:vMerge w:val="continue"/>
                  <w:vAlign w:val="center"/>
                </w:tcPr>
                <w:p w14:paraId="15EB8479">
                  <w:pPr>
                    <w:pStyle w:val="109"/>
                    <w:autoSpaceDE/>
                    <w:autoSpaceDN/>
                    <w:snapToGrid w:val="0"/>
                    <w:spacing w:before="0"/>
                    <w:rPr>
                      <w:color w:val="auto"/>
                      <w:sz w:val="21"/>
                      <w:szCs w:val="21"/>
                    </w:rPr>
                  </w:pPr>
                </w:p>
              </w:tc>
              <w:tc>
                <w:tcPr>
                  <w:tcW w:w="577" w:type="pct"/>
                  <w:vAlign w:val="center"/>
                </w:tcPr>
                <w:p w14:paraId="479BA840">
                  <w:pPr>
                    <w:pStyle w:val="109"/>
                    <w:autoSpaceDE/>
                    <w:autoSpaceDN/>
                    <w:snapToGrid w:val="0"/>
                    <w:spacing w:before="0"/>
                    <w:rPr>
                      <w:color w:val="auto"/>
                      <w:sz w:val="21"/>
                      <w:szCs w:val="21"/>
                    </w:rPr>
                  </w:pPr>
                  <w:r>
                    <w:rPr>
                      <w:rFonts w:hint="eastAsia"/>
                      <w:color w:val="auto"/>
                      <w:sz w:val="21"/>
                      <w:szCs w:val="21"/>
                    </w:rPr>
                    <w:t>8:00-17:00</w:t>
                  </w:r>
                </w:p>
              </w:tc>
            </w:tr>
          </w:tbl>
          <w:p w14:paraId="378B35D5">
            <w:pPr>
              <w:ind w:firstLine="420" w:firstLineChars="200"/>
              <w:rPr>
                <w:color w:val="auto"/>
                <w:sz w:val="24"/>
              </w:rPr>
            </w:pPr>
            <w:r>
              <w:rPr>
                <w:rFonts w:hint="eastAsia"/>
                <w:color w:val="auto"/>
                <w:szCs w:val="21"/>
              </w:rPr>
              <w:t>注：本项目X、Y、Z的坐标以厂房中心坐标原点确认。</w:t>
            </w:r>
          </w:p>
          <w:p w14:paraId="47AB7F14">
            <w:pPr>
              <w:spacing w:line="480" w:lineRule="exact"/>
              <w:ind w:firstLine="480" w:firstLineChars="200"/>
              <w:rPr>
                <w:rFonts w:hAnsi="宋体"/>
                <w:color w:val="auto"/>
                <w:kern w:val="0"/>
                <w:sz w:val="24"/>
              </w:rPr>
            </w:pPr>
            <w:r>
              <w:rPr>
                <w:rFonts w:hint="eastAsia"/>
                <w:color w:val="auto"/>
                <w:sz w:val="24"/>
              </w:rPr>
              <w:t>（2）噪声污染防治措施</w:t>
            </w:r>
          </w:p>
          <w:p w14:paraId="3FC8235A">
            <w:pPr>
              <w:spacing w:line="480" w:lineRule="exact"/>
              <w:ind w:firstLine="480" w:firstLineChars="200"/>
              <w:rPr>
                <w:color w:val="auto"/>
                <w:sz w:val="24"/>
              </w:rPr>
            </w:pPr>
            <w:r>
              <w:rPr>
                <w:rFonts w:hint="eastAsia" w:hAnsi="宋体"/>
                <w:color w:val="auto"/>
                <w:kern w:val="0"/>
                <w:sz w:val="24"/>
              </w:rPr>
              <w:t>本项目选址厂界周边均为生产企业，且厂界外50m范围内无居民住户等敏感点，</w:t>
            </w:r>
            <w:r>
              <w:rPr>
                <w:color w:val="auto"/>
                <w:sz w:val="24"/>
              </w:rPr>
              <w:t>为了减少噪声对周围环境的影响，确保厂界声环境达标，维持区域声环境质量状况，建议厂方采取以下措施：</w:t>
            </w:r>
          </w:p>
          <w:p w14:paraId="48E761CE">
            <w:pPr>
              <w:spacing w:line="480" w:lineRule="exact"/>
              <w:ind w:firstLine="480"/>
              <w:jc w:val="left"/>
              <w:rPr>
                <w:color w:val="auto"/>
                <w:sz w:val="24"/>
              </w:rPr>
            </w:pPr>
            <w:r>
              <w:rPr>
                <w:rFonts w:hint="eastAsia"/>
                <w:color w:val="auto"/>
                <w:sz w:val="24"/>
              </w:rPr>
              <w:fldChar w:fldCharType="begin"/>
            </w:r>
            <w:r>
              <w:rPr>
                <w:color w:val="auto"/>
                <w:sz w:val="24"/>
              </w:rPr>
              <w:instrText xml:space="preserve"> = 1 \* GB3 </w:instrText>
            </w:r>
            <w:r>
              <w:rPr>
                <w:rFonts w:hint="eastAsia"/>
                <w:color w:val="auto"/>
                <w:sz w:val="24"/>
              </w:rPr>
              <w:fldChar w:fldCharType="separate"/>
            </w:r>
            <w:r>
              <w:rPr>
                <w:rFonts w:hint="eastAsia" w:ascii="宋体" w:hAnsi="宋体" w:cs="宋体"/>
                <w:color w:val="auto"/>
                <w:sz w:val="24"/>
              </w:rPr>
              <w:t>①</w:t>
            </w:r>
            <w:r>
              <w:rPr>
                <w:rFonts w:hint="eastAsia" w:ascii="宋体" w:hAnsi="宋体" w:cs="宋体"/>
                <w:color w:val="auto"/>
                <w:sz w:val="24"/>
              </w:rPr>
              <w:fldChar w:fldCharType="end"/>
            </w:r>
            <w:r>
              <w:rPr>
                <w:color w:val="auto"/>
                <w:sz w:val="24"/>
              </w:rPr>
              <w:t>建议企业定期对厂界噪声进行监测，及时发现噪声源超标情况，企业应选用低噪声设备，对空压机等高噪声设备采取减振隔振措施；风机设置隔声罩；</w:t>
            </w:r>
          </w:p>
          <w:p w14:paraId="672771CE">
            <w:pPr>
              <w:spacing w:line="480" w:lineRule="exact"/>
              <w:ind w:firstLine="480"/>
              <w:jc w:val="left"/>
              <w:rPr>
                <w:color w:val="auto"/>
                <w:sz w:val="24"/>
              </w:rPr>
            </w:pPr>
            <w:r>
              <w:rPr>
                <w:rFonts w:hint="eastAsia"/>
                <w:color w:val="auto"/>
                <w:sz w:val="24"/>
              </w:rPr>
              <w:fldChar w:fldCharType="begin"/>
            </w:r>
            <w:r>
              <w:rPr>
                <w:color w:val="auto"/>
                <w:sz w:val="24"/>
              </w:rPr>
              <w:instrText xml:space="preserve"> = 2 \* GB3 </w:instrText>
            </w:r>
            <w:r>
              <w:rPr>
                <w:rFonts w:hint="eastAsia"/>
                <w:color w:val="auto"/>
                <w:sz w:val="24"/>
              </w:rPr>
              <w:fldChar w:fldCharType="separate"/>
            </w:r>
            <w:r>
              <w:rPr>
                <w:rFonts w:hint="eastAsia" w:ascii="宋体" w:hAnsi="宋体" w:cs="宋体"/>
                <w:color w:val="auto"/>
                <w:sz w:val="24"/>
              </w:rPr>
              <w:t>②</w:t>
            </w:r>
            <w:r>
              <w:rPr>
                <w:rFonts w:hint="eastAsia" w:ascii="宋体" w:hAnsi="宋体" w:cs="宋体"/>
                <w:color w:val="auto"/>
                <w:sz w:val="24"/>
              </w:rPr>
              <w:fldChar w:fldCharType="end"/>
            </w:r>
            <w:r>
              <w:rPr>
                <w:color w:val="auto"/>
                <w:sz w:val="24"/>
              </w:rPr>
              <w:t>厂房内部采用合理的平面布局，尽量使高噪声设备远离厂界</w:t>
            </w:r>
            <w:r>
              <w:rPr>
                <w:rFonts w:hint="eastAsia"/>
                <w:color w:val="auto"/>
                <w:sz w:val="24"/>
              </w:rPr>
              <w:t>北侧</w:t>
            </w:r>
            <w:r>
              <w:rPr>
                <w:color w:val="auto"/>
                <w:sz w:val="24"/>
              </w:rPr>
              <w:t>布置；</w:t>
            </w:r>
          </w:p>
          <w:p w14:paraId="72B5C8C2">
            <w:pPr>
              <w:spacing w:line="480" w:lineRule="exact"/>
              <w:ind w:firstLine="480"/>
              <w:jc w:val="left"/>
              <w:rPr>
                <w:color w:val="auto"/>
                <w:sz w:val="24"/>
              </w:rPr>
            </w:pPr>
            <w:r>
              <w:rPr>
                <w:rFonts w:hint="eastAsia"/>
                <w:color w:val="auto"/>
                <w:sz w:val="24"/>
              </w:rPr>
              <w:fldChar w:fldCharType="begin"/>
            </w:r>
            <w:r>
              <w:rPr>
                <w:color w:val="auto"/>
                <w:sz w:val="24"/>
              </w:rPr>
              <w:instrText xml:space="preserve"> = 3 \* GB3 </w:instrText>
            </w:r>
            <w:r>
              <w:rPr>
                <w:rFonts w:hint="eastAsia"/>
                <w:color w:val="auto"/>
                <w:sz w:val="24"/>
              </w:rPr>
              <w:fldChar w:fldCharType="separate"/>
            </w:r>
            <w:r>
              <w:rPr>
                <w:rFonts w:hint="eastAsia" w:ascii="宋体" w:hAnsi="宋体" w:cs="宋体"/>
                <w:color w:val="auto"/>
                <w:sz w:val="24"/>
              </w:rPr>
              <w:t>③</w:t>
            </w:r>
            <w:r>
              <w:rPr>
                <w:rFonts w:hint="eastAsia" w:ascii="宋体" w:hAnsi="宋体" w:cs="宋体"/>
                <w:color w:val="auto"/>
                <w:sz w:val="24"/>
              </w:rPr>
              <w:fldChar w:fldCharType="end"/>
            </w:r>
            <w:r>
              <w:rPr>
                <w:color w:val="auto"/>
                <w:sz w:val="24"/>
              </w:rPr>
              <w:t>采用减振措施，在需要降噪的设备</w:t>
            </w:r>
            <w:r>
              <w:rPr>
                <w:rFonts w:hint="eastAsia"/>
                <w:color w:val="auto"/>
                <w:sz w:val="24"/>
              </w:rPr>
              <w:t>（如废气处理风机等）</w:t>
            </w:r>
            <w:r>
              <w:rPr>
                <w:color w:val="auto"/>
                <w:sz w:val="24"/>
              </w:rPr>
              <w:t xml:space="preserve">基础上采取安装减震座、减震垫等； </w:t>
            </w:r>
          </w:p>
          <w:p w14:paraId="66CD1765">
            <w:pPr>
              <w:spacing w:line="480" w:lineRule="exact"/>
              <w:ind w:firstLine="480"/>
              <w:jc w:val="left"/>
              <w:rPr>
                <w:color w:val="auto"/>
                <w:sz w:val="24"/>
              </w:rPr>
            </w:pPr>
            <w:r>
              <w:rPr>
                <w:rFonts w:hint="eastAsia"/>
                <w:color w:val="auto"/>
                <w:sz w:val="24"/>
              </w:rPr>
              <w:fldChar w:fldCharType="begin"/>
            </w:r>
            <w:r>
              <w:rPr>
                <w:color w:val="auto"/>
                <w:sz w:val="24"/>
              </w:rPr>
              <w:instrText xml:space="preserve"> = 4 \* GB3 </w:instrText>
            </w:r>
            <w:r>
              <w:rPr>
                <w:rFonts w:hint="eastAsia"/>
                <w:color w:val="auto"/>
                <w:sz w:val="24"/>
              </w:rPr>
              <w:fldChar w:fldCharType="separate"/>
            </w:r>
            <w:r>
              <w:rPr>
                <w:rFonts w:hint="eastAsia" w:ascii="宋体" w:hAnsi="宋体" w:cs="宋体"/>
                <w:color w:val="auto"/>
                <w:sz w:val="24"/>
              </w:rPr>
              <w:t>④</w:t>
            </w:r>
            <w:r>
              <w:rPr>
                <w:rFonts w:hint="eastAsia" w:ascii="宋体" w:hAnsi="宋体" w:cs="宋体"/>
                <w:color w:val="auto"/>
                <w:sz w:val="24"/>
              </w:rPr>
              <w:fldChar w:fldCharType="end"/>
            </w:r>
            <w:r>
              <w:rPr>
                <w:color w:val="auto"/>
                <w:sz w:val="24"/>
              </w:rPr>
              <w:t>加强设备维修保养，保证设备处于良好的运行状态；</w:t>
            </w:r>
          </w:p>
          <w:p w14:paraId="713ECDA7">
            <w:pPr>
              <w:spacing w:line="480" w:lineRule="exact"/>
              <w:ind w:firstLine="480"/>
              <w:jc w:val="left"/>
              <w:rPr>
                <w:color w:val="auto"/>
                <w:sz w:val="24"/>
              </w:rPr>
            </w:pPr>
            <w:r>
              <w:rPr>
                <w:rFonts w:hint="eastAsia"/>
                <w:color w:val="auto"/>
                <w:sz w:val="24"/>
              </w:rPr>
              <w:fldChar w:fldCharType="begin"/>
            </w:r>
            <w:r>
              <w:rPr>
                <w:color w:val="auto"/>
                <w:sz w:val="24"/>
              </w:rPr>
              <w:instrText xml:space="preserve"> = 5 \* GB3 </w:instrText>
            </w:r>
            <w:r>
              <w:rPr>
                <w:rFonts w:hint="eastAsia"/>
                <w:color w:val="auto"/>
                <w:sz w:val="24"/>
              </w:rPr>
              <w:fldChar w:fldCharType="separate"/>
            </w:r>
            <w:r>
              <w:rPr>
                <w:rFonts w:hint="eastAsia" w:ascii="宋体" w:hAnsi="宋体" w:cs="宋体"/>
                <w:color w:val="auto"/>
                <w:sz w:val="24"/>
              </w:rPr>
              <w:t>⑤</w:t>
            </w:r>
            <w:r>
              <w:rPr>
                <w:rFonts w:hint="eastAsia" w:ascii="宋体" w:hAnsi="宋体" w:cs="宋体"/>
                <w:color w:val="auto"/>
                <w:sz w:val="24"/>
              </w:rPr>
              <w:fldChar w:fldCharType="end"/>
            </w:r>
            <w:r>
              <w:rPr>
                <w:color w:val="auto"/>
                <w:sz w:val="24"/>
              </w:rPr>
              <w:t>加强生产管理，生产时做到门窗关闭</w:t>
            </w:r>
            <w:r>
              <w:rPr>
                <w:rFonts w:hint="eastAsia"/>
                <w:color w:val="auto"/>
                <w:sz w:val="24"/>
              </w:rPr>
              <w:t>，同时严格执行昼间制生产制度</w:t>
            </w:r>
            <w:r>
              <w:rPr>
                <w:color w:val="auto"/>
                <w:sz w:val="24"/>
              </w:rPr>
              <w:t>；</w:t>
            </w:r>
          </w:p>
          <w:p w14:paraId="7701A565">
            <w:pPr>
              <w:spacing w:line="480" w:lineRule="exact"/>
              <w:ind w:firstLine="480"/>
              <w:rPr>
                <w:color w:val="auto"/>
                <w:sz w:val="24"/>
              </w:rPr>
            </w:pPr>
            <w:r>
              <w:rPr>
                <w:rFonts w:hint="eastAsia"/>
                <w:color w:val="auto"/>
                <w:sz w:val="24"/>
              </w:rPr>
              <w:fldChar w:fldCharType="begin"/>
            </w:r>
            <w:r>
              <w:rPr>
                <w:color w:val="auto"/>
                <w:sz w:val="24"/>
              </w:rPr>
              <w:instrText xml:space="preserve"> = 6 \* GB3 </w:instrText>
            </w:r>
            <w:r>
              <w:rPr>
                <w:rFonts w:hint="eastAsia"/>
                <w:color w:val="auto"/>
                <w:sz w:val="24"/>
              </w:rPr>
              <w:fldChar w:fldCharType="separate"/>
            </w:r>
            <w:r>
              <w:rPr>
                <w:rFonts w:hint="eastAsia" w:ascii="宋体" w:hAnsi="宋体" w:cs="宋体"/>
                <w:color w:val="auto"/>
                <w:sz w:val="24"/>
              </w:rPr>
              <w:t>⑥</w:t>
            </w:r>
            <w:r>
              <w:rPr>
                <w:rFonts w:hint="eastAsia" w:ascii="宋体" w:hAnsi="宋体" w:cs="宋体"/>
                <w:color w:val="auto"/>
                <w:sz w:val="24"/>
              </w:rPr>
              <w:fldChar w:fldCharType="end"/>
            </w:r>
            <w:r>
              <w:rPr>
                <w:color w:val="auto"/>
                <w:sz w:val="24"/>
              </w:rPr>
              <w:t>采用以上噪声防治措施后，可以确保厂界噪声达标，对周围环境影响较小。</w:t>
            </w:r>
          </w:p>
          <w:p w14:paraId="105DF4F1">
            <w:pPr>
              <w:pStyle w:val="118"/>
              <w:spacing w:line="480" w:lineRule="exact"/>
              <w:ind w:firstLine="0" w:firstLineChars="0"/>
              <w:jc w:val="center"/>
              <w:rPr>
                <w:rFonts w:eastAsia="宋体"/>
                <w:b/>
                <w:color w:val="auto"/>
                <w:sz w:val="21"/>
                <w:szCs w:val="21"/>
              </w:rPr>
            </w:pPr>
            <w:r>
              <w:rPr>
                <w:rFonts w:hint="eastAsia" w:eastAsia="宋体"/>
                <w:b/>
                <w:color w:val="auto"/>
                <w:sz w:val="21"/>
                <w:szCs w:val="21"/>
              </w:rPr>
              <w:t>表4-2</w:t>
            </w:r>
            <w:r>
              <w:rPr>
                <w:rFonts w:hint="eastAsia" w:eastAsia="宋体"/>
                <w:b/>
                <w:color w:val="auto"/>
                <w:sz w:val="21"/>
                <w:szCs w:val="21"/>
                <w:lang w:val="en-US" w:eastAsia="zh-CN"/>
              </w:rPr>
              <w:t>2</w:t>
            </w:r>
            <w:r>
              <w:rPr>
                <w:rFonts w:hint="eastAsia" w:eastAsia="宋体"/>
                <w:b/>
                <w:color w:val="auto"/>
                <w:sz w:val="21"/>
                <w:szCs w:val="21"/>
              </w:rPr>
              <w:t xml:space="preserve"> 项目主要产噪设施及噪声污染防治措施一览表</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607"/>
              <w:gridCol w:w="3441"/>
              <w:gridCol w:w="2294"/>
              <w:gridCol w:w="779"/>
            </w:tblGrid>
            <w:tr w14:paraId="157B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45" w:type="dxa"/>
                  <w:vMerge w:val="restart"/>
                  <w:vAlign w:val="center"/>
                </w:tcPr>
                <w:p w14:paraId="3718AABD">
                  <w:pPr>
                    <w:suppressAutoHyphens/>
                    <w:jc w:val="center"/>
                    <w:rPr>
                      <w:b/>
                      <w:snapToGrid w:val="0"/>
                      <w:color w:val="auto"/>
                      <w:kern w:val="0"/>
                      <w:szCs w:val="21"/>
                    </w:rPr>
                  </w:pPr>
                  <w:r>
                    <w:rPr>
                      <w:rFonts w:hint="eastAsia"/>
                      <w:b/>
                      <w:snapToGrid w:val="0"/>
                      <w:color w:val="auto"/>
                      <w:kern w:val="0"/>
                      <w:szCs w:val="21"/>
                    </w:rPr>
                    <w:t>序号</w:t>
                  </w:r>
                </w:p>
              </w:tc>
              <w:tc>
                <w:tcPr>
                  <w:tcW w:w="1555" w:type="dxa"/>
                  <w:vMerge w:val="restart"/>
                  <w:vAlign w:val="center"/>
                </w:tcPr>
                <w:p w14:paraId="65AE9688">
                  <w:pPr>
                    <w:suppressAutoHyphens/>
                    <w:jc w:val="center"/>
                    <w:rPr>
                      <w:b/>
                      <w:snapToGrid w:val="0"/>
                      <w:color w:val="auto"/>
                      <w:kern w:val="0"/>
                      <w:szCs w:val="21"/>
                    </w:rPr>
                  </w:pPr>
                  <w:r>
                    <w:rPr>
                      <w:rFonts w:hint="eastAsia"/>
                      <w:b/>
                      <w:snapToGrid w:val="0"/>
                      <w:color w:val="auto"/>
                      <w:kern w:val="0"/>
                      <w:szCs w:val="21"/>
                    </w:rPr>
                    <w:t>企业项目主要产噪设施</w:t>
                  </w:r>
                </w:p>
              </w:tc>
              <w:tc>
                <w:tcPr>
                  <w:tcW w:w="5550" w:type="dxa"/>
                  <w:gridSpan w:val="2"/>
                  <w:vAlign w:val="center"/>
                </w:tcPr>
                <w:p w14:paraId="5A800F58">
                  <w:pPr>
                    <w:suppressAutoHyphens/>
                    <w:jc w:val="center"/>
                    <w:rPr>
                      <w:b/>
                      <w:snapToGrid w:val="0"/>
                      <w:color w:val="auto"/>
                      <w:kern w:val="0"/>
                      <w:szCs w:val="21"/>
                    </w:rPr>
                  </w:pPr>
                  <w:r>
                    <w:rPr>
                      <w:rFonts w:hint="eastAsia"/>
                      <w:b/>
                      <w:snapToGrid w:val="0"/>
                      <w:color w:val="auto"/>
                      <w:kern w:val="0"/>
                      <w:szCs w:val="21"/>
                    </w:rPr>
                    <w:t>主要噪声污染防治措施</w:t>
                  </w:r>
                </w:p>
              </w:tc>
              <w:tc>
                <w:tcPr>
                  <w:tcW w:w="754" w:type="dxa"/>
                  <w:vMerge w:val="restart"/>
                  <w:vAlign w:val="center"/>
                </w:tcPr>
                <w:p w14:paraId="0F7B0241">
                  <w:pPr>
                    <w:suppressAutoHyphens/>
                    <w:jc w:val="center"/>
                    <w:rPr>
                      <w:b/>
                      <w:snapToGrid w:val="0"/>
                      <w:color w:val="auto"/>
                      <w:kern w:val="0"/>
                      <w:szCs w:val="21"/>
                    </w:rPr>
                  </w:pPr>
                  <w:r>
                    <w:rPr>
                      <w:rFonts w:hint="eastAsia"/>
                      <w:b/>
                      <w:snapToGrid w:val="0"/>
                      <w:color w:val="auto"/>
                      <w:kern w:val="0"/>
                      <w:szCs w:val="21"/>
                    </w:rPr>
                    <w:t>是否可行</w:t>
                  </w:r>
                </w:p>
              </w:tc>
            </w:tr>
            <w:tr w14:paraId="0637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45" w:type="dxa"/>
                  <w:vMerge w:val="continue"/>
                  <w:vAlign w:val="center"/>
                </w:tcPr>
                <w:p w14:paraId="242A69B9">
                  <w:pPr>
                    <w:suppressAutoHyphens/>
                    <w:jc w:val="center"/>
                    <w:rPr>
                      <w:b/>
                      <w:snapToGrid w:val="0"/>
                      <w:color w:val="auto"/>
                      <w:kern w:val="0"/>
                      <w:szCs w:val="21"/>
                    </w:rPr>
                  </w:pPr>
                </w:p>
              </w:tc>
              <w:tc>
                <w:tcPr>
                  <w:tcW w:w="1555" w:type="dxa"/>
                  <w:vMerge w:val="continue"/>
                  <w:vAlign w:val="center"/>
                </w:tcPr>
                <w:p w14:paraId="2F0AFF16">
                  <w:pPr>
                    <w:suppressAutoHyphens/>
                    <w:jc w:val="center"/>
                    <w:rPr>
                      <w:b/>
                      <w:snapToGrid w:val="0"/>
                      <w:color w:val="auto"/>
                      <w:kern w:val="0"/>
                      <w:szCs w:val="21"/>
                    </w:rPr>
                  </w:pPr>
                </w:p>
              </w:tc>
              <w:tc>
                <w:tcPr>
                  <w:tcW w:w="3330" w:type="dxa"/>
                  <w:vAlign w:val="center"/>
                </w:tcPr>
                <w:p w14:paraId="109A573A">
                  <w:pPr>
                    <w:suppressAutoHyphens/>
                    <w:jc w:val="center"/>
                    <w:rPr>
                      <w:b/>
                      <w:snapToGrid w:val="0"/>
                      <w:color w:val="auto"/>
                      <w:kern w:val="0"/>
                      <w:szCs w:val="21"/>
                    </w:rPr>
                  </w:pPr>
                  <w:r>
                    <w:rPr>
                      <w:rFonts w:hint="eastAsia"/>
                      <w:b/>
                      <w:snapToGrid w:val="0"/>
                      <w:color w:val="auto"/>
                      <w:kern w:val="0"/>
                      <w:szCs w:val="21"/>
                    </w:rPr>
                    <w:t>推荐可行措施</w:t>
                  </w:r>
                </w:p>
              </w:tc>
              <w:tc>
                <w:tcPr>
                  <w:tcW w:w="2220" w:type="dxa"/>
                  <w:vAlign w:val="center"/>
                </w:tcPr>
                <w:p w14:paraId="6CD124D0">
                  <w:pPr>
                    <w:suppressAutoHyphens/>
                    <w:jc w:val="center"/>
                    <w:rPr>
                      <w:b/>
                      <w:snapToGrid w:val="0"/>
                      <w:color w:val="auto"/>
                      <w:kern w:val="0"/>
                      <w:szCs w:val="21"/>
                    </w:rPr>
                  </w:pPr>
                  <w:r>
                    <w:rPr>
                      <w:rFonts w:hint="eastAsia"/>
                      <w:b/>
                      <w:snapToGrid w:val="0"/>
                      <w:color w:val="auto"/>
                      <w:kern w:val="0"/>
                      <w:szCs w:val="21"/>
                    </w:rPr>
                    <w:t>项目采用措施</w:t>
                  </w:r>
                </w:p>
              </w:tc>
              <w:tc>
                <w:tcPr>
                  <w:tcW w:w="754" w:type="dxa"/>
                  <w:vMerge w:val="continue"/>
                  <w:vAlign w:val="center"/>
                </w:tcPr>
                <w:p w14:paraId="768D178C">
                  <w:pPr>
                    <w:suppressAutoHyphens/>
                    <w:jc w:val="center"/>
                    <w:rPr>
                      <w:b/>
                      <w:snapToGrid w:val="0"/>
                      <w:color w:val="auto"/>
                      <w:kern w:val="0"/>
                      <w:szCs w:val="21"/>
                    </w:rPr>
                  </w:pPr>
                </w:p>
              </w:tc>
            </w:tr>
            <w:tr w14:paraId="3F20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45" w:type="dxa"/>
                  <w:vAlign w:val="center"/>
                </w:tcPr>
                <w:p w14:paraId="5B188354">
                  <w:pPr>
                    <w:jc w:val="center"/>
                    <w:rPr>
                      <w:color w:val="auto"/>
                    </w:rPr>
                  </w:pPr>
                  <w:r>
                    <w:rPr>
                      <w:rFonts w:hint="eastAsia"/>
                      <w:color w:val="auto"/>
                    </w:rPr>
                    <w:t>1</w:t>
                  </w:r>
                </w:p>
              </w:tc>
              <w:tc>
                <w:tcPr>
                  <w:tcW w:w="1555" w:type="dxa"/>
                  <w:vAlign w:val="center"/>
                </w:tcPr>
                <w:p w14:paraId="40CC1198">
                  <w:pPr>
                    <w:jc w:val="center"/>
                    <w:rPr>
                      <w:color w:val="auto"/>
                      <w:szCs w:val="21"/>
                    </w:rPr>
                  </w:pPr>
                  <w:r>
                    <w:rPr>
                      <w:rFonts w:hint="eastAsia"/>
                      <w:color w:val="auto"/>
                      <w:szCs w:val="21"/>
                    </w:rPr>
                    <w:t>处理设施风机</w:t>
                  </w:r>
                </w:p>
              </w:tc>
              <w:tc>
                <w:tcPr>
                  <w:tcW w:w="3330" w:type="dxa"/>
                  <w:vMerge w:val="restart"/>
                  <w:vAlign w:val="center"/>
                </w:tcPr>
                <w:p w14:paraId="14B02923">
                  <w:pPr>
                    <w:widowControl/>
                    <w:jc w:val="left"/>
                    <w:rPr>
                      <w:color w:val="auto"/>
                      <w:szCs w:val="21"/>
                    </w:rPr>
                  </w:pPr>
                  <w:r>
                    <w:rPr>
                      <w:rFonts w:hint="eastAsia" w:ascii="宋体" w:hAnsi="宋体" w:cs="宋体"/>
                      <w:color w:val="auto"/>
                      <w:kern w:val="0"/>
                      <w:szCs w:val="21"/>
                    </w:rPr>
                    <w:t>基础减振、管道外壳阻尼、软连接；消声器；隔声罩、隔声间、隔声屏障、厂房隔声；吸声喷涂；其他</w:t>
                  </w:r>
                </w:p>
              </w:tc>
              <w:tc>
                <w:tcPr>
                  <w:tcW w:w="2220" w:type="dxa"/>
                  <w:vAlign w:val="center"/>
                </w:tcPr>
                <w:p w14:paraId="7D0C1769">
                  <w:pPr>
                    <w:jc w:val="center"/>
                    <w:rPr>
                      <w:color w:val="auto"/>
                      <w:szCs w:val="21"/>
                    </w:rPr>
                  </w:pPr>
                  <w:r>
                    <w:rPr>
                      <w:rFonts w:hint="eastAsia" w:ascii="宋体" w:hAnsi="宋体" w:cs="宋体"/>
                      <w:color w:val="auto"/>
                      <w:kern w:val="0"/>
                      <w:szCs w:val="21"/>
                    </w:rPr>
                    <w:t>隔声罩</w:t>
                  </w:r>
                </w:p>
              </w:tc>
              <w:tc>
                <w:tcPr>
                  <w:tcW w:w="754" w:type="dxa"/>
                  <w:vAlign w:val="center"/>
                </w:tcPr>
                <w:p w14:paraId="3C8FB5B6">
                  <w:pPr>
                    <w:jc w:val="center"/>
                    <w:rPr>
                      <w:color w:val="auto"/>
                      <w:szCs w:val="21"/>
                    </w:rPr>
                  </w:pPr>
                  <w:r>
                    <w:rPr>
                      <w:rFonts w:hint="eastAsia"/>
                      <w:color w:val="auto"/>
                      <w:szCs w:val="21"/>
                    </w:rPr>
                    <w:t>是</w:t>
                  </w:r>
                </w:p>
              </w:tc>
            </w:tr>
            <w:tr w14:paraId="69AD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45" w:type="dxa"/>
                  <w:vAlign w:val="center"/>
                </w:tcPr>
                <w:p w14:paraId="64E07A62">
                  <w:pPr>
                    <w:jc w:val="center"/>
                    <w:rPr>
                      <w:color w:val="auto"/>
                    </w:rPr>
                  </w:pPr>
                  <w:r>
                    <w:rPr>
                      <w:rFonts w:hint="eastAsia"/>
                      <w:color w:val="auto"/>
                    </w:rPr>
                    <w:t>2</w:t>
                  </w:r>
                </w:p>
              </w:tc>
              <w:tc>
                <w:tcPr>
                  <w:tcW w:w="1555" w:type="dxa"/>
                  <w:vAlign w:val="center"/>
                </w:tcPr>
                <w:p w14:paraId="668347F2">
                  <w:pPr>
                    <w:jc w:val="center"/>
                    <w:rPr>
                      <w:color w:val="auto"/>
                      <w:szCs w:val="21"/>
                    </w:rPr>
                  </w:pPr>
                  <w:r>
                    <w:rPr>
                      <w:rFonts w:hint="eastAsia"/>
                      <w:color w:val="auto"/>
                      <w:szCs w:val="21"/>
                    </w:rPr>
                    <w:t>加工设备</w:t>
                  </w:r>
                </w:p>
              </w:tc>
              <w:tc>
                <w:tcPr>
                  <w:tcW w:w="3330" w:type="dxa"/>
                  <w:vMerge w:val="continue"/>
                  <w:vAlign w:val="center"/>
                </w:tcPr>
                <w:p w14:paraId="58EE27D9">
                  <w:pPr>
                    <w:jc w:val="center"/>
                    <w:rPr>
                      <w:color w:val="auto"/>
                      <w:szCs w:val="21"/>
                    </w:rPr>
                  </w:pPr>
                </w:p>
              </w:tc>
              <w:tc>
                <w:tcPr>
                  <w:tcW w:w="2220" w:type="dxa"/>
                  <w:vAlign w:val="center"/>
                </w:tcPr>
                <w:p w14:paraId="3C94333E">
                  <w:pPr>
                    <w:jc w:val="center"/>
                    <w:rPr>
                      <w:rFonts w:ascii="宋体" w:hAnsi="宋体" w:cs="宋体"/>
                      <w:color w:val="auto"/>
                      <w:kern w:val="0"/>
                      <w:szCs w:val="21"/>
                    </w:rPr>
                  </w:pPr>
                  <w:r>
                    <w:rPr>
                      <w:rFonts w:hint="eastAsia" w:ascii="宋体" w:hAnsi="宋体" w:cs="宋体"/>
                      <w:color w:val="auto"/>
                      <w:kern w:val="0"/>
                      <w:szCs w:val="21"/>
                    </w:rPr>
                    <w:t>基础减振、厂房隔声</w:t>
                  </w:r>
                </w:p>
              </w:tc>
              <w:tc>
                <w:tcPr>
                  <w:tcW w:w="754" w:type="dxa"/>
                  <w:vAlign w:val="center"/>
                </w:tcPr>
                <w:p w14:paraId="14947EB3">
                  <w:pPr>
                    <w:jc w:val="center"/>
                    <w:rPr>
                      <w:color w:val="auto"/>
                      <w:szCs w:val="21"/>
                    </w:rPr>
                  </w:pPr>
                  <w:r>
                    <w:rPr>
                      <w:rFonts w:hint="eastAsia"/>
                      <w:color w:val="auto"/>
                      <w:szCs w:val="21"/>
                    </w:rPr>
                    <w:t>是</w:t>
                  </w:r>
                </w:p>
              </w:tc>
            </w:tr>
          </w:tbl>
          <w:p w14:paraId="133BC02C">
            <w:pPr>
              <w:spacing w:line="480" w:lineRule="exact"/>
              <w:ind w:firstLine="360" w:firstLineChars="150"/>
              <w:jc w:val="left"/>
              <w:rPr>
                <w:color w:val="auto"/>
                <w:sz w:val="24"/>
              </w:rPr>
            </w:pPr>
            <w:r>
              <w:rPr>
                <w:rFonts w:hint="eastAsia"/>
                <w:color w:val="auto"/>
                <w:sz w:val="24"/>
              </w:rPr>
              <w:t>（3）</w:t>
            </w:r>
            <w:r>
              <w:rPr>
                <w:color w:val="auto"/>
                <w:sz w:val="24"/>
              </w:rPr>
              <w:t>预测模式</w:t>
            </w:r>
          </w:p>
          <w:p w14:paraId="1B648264">
            <w:pPr>
              <w:spacing w:line="480" w:lineRule="exact"/>
              <w:ind w:firstLine="480" w:firstLineChars="200"/>
              <w:rPr>
                <w:rFonts w:hAnsi="宋体"/>
                <w:color w:val="auto"/>
                <w:sz w:val="24"/>
                <w:szCs w:val="21"/>
              </w:rPr>
            </w:pPr>
            <w:r>
              <w:rPr>
                <w:rFonts w:hAnsi="宋体"/>
                <w:color w:val="auto"/>
                <w:sz w:val="24"/>
                <w:szCs w:val="21"/>
              </w:rPr>
              <w:t>根据《环境影响评价技术导则 声环境》（HJ</w:t>
            </w:r>
            <w:r>
              <w:rPr>
                <w:rFonts w:hint="eastAsia" w:hAnsi="宋体"/>
                <w:color w:val="auto"/>
                <w:sz w:val="24"/>
                <w:szCs w:val="21"/>
              </w:rPr>
              <w:t xml:space="preserve"> </w:t>
            </w:r>
            <w:r>
              <w:rPr>
                <w:rFonts w:hAnsi="宋体"/>
                <w:color w:val="auto"/>
                <w:sz w:val="24"/>
                <w:szCs w:val="21"/>
              </w:rPr>
              <w:t>2.4-20</w:t>
            </w:r>
            <w:r>
              <w:rPr>
                <w:rFonts w:hint="eastAsia" w:hAnsi="宋体"/>
                <w:color w:val="auto"/>
                <w:sz w:val="24"/>
                <w:szCs w:val="21"/>
              </w:rPr>
              <w:t>21</w:t>
            </w:r>
            <w:r>
              <w:rPr>
                <w:rFonts w:hAnsi="宋体"/>
                <w:color w:val="auto"/>
                <w:sz w:val="24"/>
                <w:szCs w:val="21"/>
              </w:rPr>
              <w:t>）附录</w:t>
            </w:r>
            <w:r>
              <w:rPr>
                <w:rFonts w:hint="eastAsia" w:hAnsi="宋体"/>
                <w:color w:val="auto"/>
                <w:sz w:val="24"/>
                <w:szCs w:val="21"/>
              </w:rPr>
              <w:t>A和B</w:t>
            </w:r>
            <w:r>
              <w:rPr>
                <w:rFonts w:hAnsi="宋体"/>
                <w:color w:val="auto"/>
                <w:sz w:val="24"/>
                <w:szCs w:val="21"/>
              </w:rPr>
              <w:t>。声环境影响预测，一般采用声源的倍频带声功率级，A声功率级或靠近声源某一位置的倍频带声压级，A声级来预测计算距声源不同距离的声级。工业声源</w:t>
            </w:r>
            <w:r>
              <w:rPr>
                <w:rFonts w:hint="eastAsia" w:hAnsi="宋体"/>
                <w:color w:val="auto"/>
                <w:sz w:val="24"/>
                <w:szCs w:val="21"/>
              </w:rPr>
              <w:t>有</w:t>
            </w:r>
            <w:r>
              <w:rPr>
                <w:rFonts w:hAnsi="宋体"/>
                <w:color w:val="auto"/>
                <w:sz w:val="24"/>
                <w:szCs w:val="21"/>
              </w:rPr>
              <w:t>室外和室内两种声源</w:t>
            </w:r>
            <w:r>
              <w:rPr>
                <w:rFonts w:hint="eastAsia" w:hAnsi="宋体"/>
                <w:color w:val="auto"/>
                <w:sz w:val="24"/>
                <w:szCs w:val="21"/>
              </w:rPr>
              <w:t>，应</w:t>
            </w:r>
            <w:r>
              <w:rPr>
                <w:rFonts w:hAnsi="宋体"/>
                <w:color w:val="auto"/>
                <w:sz w:val="24"/>
                <w:szCs w:val="21"/>
              </w:rPr>
              <w:t>分别计算</w:t>
            </w:r>
            <w:r>
              <w:rPr>
                <w:rFonts w:hint="eastAsia" w:hAnsi="宋体"/>
                <w:color w:val="auto"/>
                <w:sz w:val="24"/>
                <w:szCs w:val="21"/>
              </w:rPr>
              <w:t>。</w:t>
            </w:r>
          </w:p>
          <w:p w14:paraId="53F96B34">
            <w:pPr>
              <w:spacing w:line="440" w:lineRule="exact"/>
              <w:ind w:firstLine="480" w:firstLineChars="200"/>
              <w:rPr>
                <w:rFonts w:hAnsi="宋体"/>
                <w:color w:val="auto"/>
                <w:sz w:val="24"/>
                <w:szCs w:val="21"/>
              </w:rPr>
            </w:pPr>
            <w:r>
              <w:rPr>
                <w:rFonts w:hAnsi="宋体"/>
                <w:color w:val="auto"/>
                <w:sz w:val="24"/>
                <w:szCs w:val="21"/>
              </w:rPr>
              <w:t>本环评预测噪声源影响时仅考虑距离</w:t>
            </w:r>
            <w:r>
              <w:rPr>
                <w:rFonts w:hint="eastAsia" w:hAnsi="宋体"/>
                <w:color w:val="auto"/>
                <w:sz w:val="24"/>
                <w:szCs w:val="21"/>
              </w:rPr>
              <w:t>、屏障</w:t>
            </w:r>
            <w:r>
              <w:rPr>
                <w:rFonts w:hAnsi="宋体"/>
                <w:color w:val="auto"/>
                <w:sz w:val="24"/>
                <w:szCs w:val="21"/>
              </w:rPr>
              <w:t>衰减，忽略在传播过程中的空气、地面等的影响，采用下列模式进行计算。</w:t>
            </w:r>
          </w:p>
          <w:p w14:paraId="587417DB">
            <w:pPr>
              <w:spacing w:line="440" w:lineRule="exact"/>
              <w:ind w:firstLine="482"/>
              <w:rPr>
                <w:rFonts w:hAnsi="宋体"/>
                <w:color w:val="auto"/>
                <w:sz w:val="24"/>
                <w:szCs w:val="21"/>
              </w:rPr>
            </w:pPr>
            <w:r>
              <w:rPr>
                <w:rFonts w:hAnsi="宋体"/>
                <w:color w:val="auto"/>
                <w:sz w:val="24"/>
                <w:szCs w:val="21"/>
              </w:rPr>
              <w:t>①单个室外的点声源在预测点产生的声级计算基本公式</w:t>
            </w:r>
          </w:p>
          <w:p w14:paraId="083BD7B5">
            <w:pPr>
              <w:pStyle w:val="19"/>
              <w:adjustRightInd w:val="0"/>
              <w:snapToGrid w:val="0"/>
              <w:spacing w:line="440" w:lineRule="exact"/>
              <w:ind w:firstLine="200"/>
              <w:jc w:val="center"/>
              <w:rPr>
                <w:rFonts w:ascii="Times New Roman" w:hAnsi="宋体"/>
                <w:color w:val="auto"/>
                <w:sz w:val="24"/>
              </w:rPr>
            </w:pPr>
            <w:r>
              <w:rPr>
                <w:rFonts w:ascii="Times New Roman" w:hAnsi="宋体"/>
                <w:color w:val="auto"/>
                <w:sz w:val="24"/>
              </w:rPr>
              <w:drawing>
                <wp:inline distT="0" distB="0" distL="114300" distR="114300">
                  <wp:extent cx="2219325" cy="638175"/>
                  <wp:effectExtent l="0" t="0" r="9525" b="9525"/>
                  <wp:docPr id="17"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1"/>
                          <pic:cNvPicPr>
                            <a:picLocks noChangeAspect="1"/>
                          </pic:cNvPicPr>
                        </pic:nvPicPr>
                        <pic:blipFill>
                          <a:blip r:embed="rId14" cstate="print"/>
                          <a:stretch>
                            <a:fillRect/>
                          </a:stretch>
                        </pic:blipFill>
                        <pic:spPr>
                          <a:xfrm>
                            <a:off x="0" y="0"/>
                            <a:ext cx="2219325" cy="638175"/>
                          </a:xfrm>
                          <a:prstGeom prst="rect">
                            <a:avLst/>
                          </a:prstGeom>
                          <a:noFill/>
                          <a:ln>
                            <a:noFill/>
                          </a:ln>
                        </pic:spPr>
                      </pic:pic>
                    </a:graphicData>
                  </a:graphic>
                </wp:inline>
              </w:drawing>
            </w:r>
          </w:p>
          <w:p w14:paraId="4C6FF8B2">
            <w:pPr>
              <w:pStyle w:val="19"/>
              <w:spacing w:line="440" w:lineRule="exact"/>
              <w:ind w:firstLine="200"/>
              <w:rPr>
                <w:rFonts w:ascii="Times New Roman" w:hAnsi="Times New Roman" w:eastAsiaTheme="minorEastAsia"/>
                <w:color w:val="auto"/>
                <w:sz w:val="24"/>
              </w:rPr>
            </w:pPr>
            <w:r>
              <w:rPr>
                <w:rFonts w:ascii="Times New Roman" w:hAnsi="宋体"/>
                <w:color w:val="auto"/>
                <w:sz w:val="24"/>
              </w:rPr>
              <w:t>式中：L</w:t>
            </w:r>
            <w:r>
              <w:rPr>
                <w:rFonts w:ascii="Times New Roman" w:hAnsi="宋体"/>
                <w:color w:val="auto"/>
                <w:sz w:val="24"/>
                <w:vertAlign w:val="subscript"/>
              </w:rPr>
              <w:t>W</w:t>
            </w:r>
            <w:r>
              <w:rPr>
                <w:rFonts w:ascii="Times New Roman" w:hAnsi="Times New Roman" w:eastAsiaTheme="minorEastAsia"/>
                <w:color w:val="auto"/>
                <w:sz w:val="24"/>
              </w:rPr>
              <w:t>—</w:t>
            </w:r>
            <w:r>
              <w:rPr>
                <w:rFonts w:ascii="Times New Roman" w:hAnsi="宋体"/>
                <w:color w:val="auto"/>
                <w:sz w:val="24"/>
              </w:rPr>
              <w:t>倍频带声功率级，dB；</w:t>
            </w:r>
          </w:p>
          <w:p w14:paraId="37998110">
            <w:pPr>
              <w:pStyle w:val="19"/>
              <w:spacing w:line="440" w:lineRule="exact"/>
              <w:ind w:firstLine="948" w:firstLineChars="395"/>
              <w:rPr>
                <w:rFonts w:ascii="Times New Roman" w:hAnsi="宋体"/>
                <w:color w:val="auto"/>
                <w:sz w:val="24"/>
              </w:rPr>
            </w:pPr>
            <w:r>
              <w:rPr>
                <w:rFonts w:ascii="Times New Roman" w:hAnsi="宋体"/>
                <w:color w:val="auto"/>
                <w:sz w:val="24"/>
              </w:rPr>
              <w:t>D</w:t>
            </w:r>
            <w:r>
              <w:rPr>
                <w:rFonts w:ascii="Times New Roman" w:hAnsi="宋体"/>
                <w:color w:val="auto"/>
                <w:sz w:val="24"/>
                <w:vertAlign w:val="subscript"/>
              </w:rPr>
              <w:t>C</w:t>
            </w:r>
            <w:r>
              <w:rPr>
                <w:rFonts w:ascii="Times New Roman" w:hAnsi="宋体"/>
                <w:color w:val="auto"/>
                <w:sz w:val="24"/>
              </w:rPr>
              <w:t>—指向性校正，dB；</w:t>
            </w:r>
          </w:p>
          <w:p w14:paraId="32D060E4">
            <w:pPr>
              <w:pStyle w:val="19"/>
              <w:spacing w:line="440" w:lineRule="exact"/>
              <w:ind w:firstLine="948" w:firstLineChars="395"/>
              <w:rPr>
                <w:rFonts w:ascii="Times New Roman" w:hAnsi="宋体"/>
                <w:color w:val="auto"/>
                <w:sz w:val="24"/>
              </w:rPr>
            </w:pPr>
            <w:r>
              <w:rPr>
                <w:rFonts w:ascii="Times New Roman" w:hAnsi="宋体"/>
                <w:color w:val="auto"/>
                <w:sz w:val="24"/>
              </w:rPr>
              <w:t>A—倍频带衰减，dB；</w:t>
            </w:r>
          </w:p>
          <w:p w14:paraId="1D2B9F60">
            <w:pPr>
              <w:pStyle w:val="19"/>
              <w:spacing w:line="440" w:lineRule="exact"/>
              <w:ind w:firstLine="948" w:firstLineChars="395"/>
              <w:rPr>
                <w:rFonts w:ascii="Times New Roman" w:hAnsi="宋体"/>
                <w:color w:val="auto"/>
                <w:sz w:val="24"/>
              </w:rPr>
            </w:pPr>
            <w:r>
              <w:rPr>
                <w:rFonts w:ascii="Times New Roman" w:hAnsi="宋体"/>
                <w:color w:val="auto"/>
                <w:sz w:val="24"/>
              </w:rPr>
              <w:t>A</w:t>
            </w:r>
            <w:r>
              <w:rPr>
                <w:rFonts w:ascii="Times New Roman" w:hAnsi="宋体"/>
                <w:color w:val="auto"/>
                <w:sz w:val="24"/>
                <w:vertAlign w:val="subscript"/>
              </w:rPr>
              <w:t>div</w:t>
            </w:r>
            <w:r>
              <w:rPr>
                <w:rFonts w:ascii="Times New Roman" w:hAnsi="宋体"/>
                <w:color w:val="auto"/>
                <w:sz w:val="24"/>
              </w:rPr>
              <w:t>—几何发散引起的倍频带衰减，dB；</w:t>
            </w:r>
          </w:p>
          <w:p w14:paraId="495ED285">
            <w:pPr>
              <w:pStyle w:val="19"/>
              <w:spacing w:line="440" w:lineRule="exact"/>
              <w:ind w:firstLine="948" w:firstLineChars="395"/>
              <w:rPr>
                <w:rFonts w:ascii="Times New Roman" w:hAnsi="宋体"/>
                <w:color w:val="auto"/>
                <w:sz w:val="24"/>
              </w:rPr>
            </w:pPr>
            <w:r>
              <w:rPr>
                <w:rFonts w:ascii="Times New Roman" w:hAnsi="宋体"/>
                <w:color w:val="auto"/>
                <w:sz w:val="24"/>
              </w:rPr>
              <w:t>A</w:t>
            </w:r>
            <w:r>
              <w:rPr>
                <w:rFonts w:ascii="Times New Roman" w:hAnsi="宋体"/>
                <w:color w:val="auto"/>
                <w:sz w:val="24"/>
                <w:vertAlign w:val="subscript"/>
              </w:rPr>
              <w:t>atm</w:t>
            </w:r>
            <w:r>
              <w:rPr>
                <w:rFonts w:ascii="Times New Roman" w:hAnsi="宋体"/>
                <w:color w:val="auto"/>
                <w:sz w:val="24"/>
              </w:rPr>
              <w:t>—大气吸收引起的倍频带衰减，dB；</w:t>
            </w:r>
          </w:p>
          <w:p w14:paraId="090F5441">
            <w:pPr>
              <w:pStyle w:val="19"/>
              <w:spacing w:line="440" w:lineRule="exact"/>
              <w:ind w:firstLine="948" w:firstLineChars="395"/>
              <w:rPr>
                <w:rFonts w:ascii="Times New Roman" w:hAnsi="宋体"/>
                <w:color w:val="auto"/>
                <w:sz w:val="24"/>
              </w:rPr>
            </w:pPr>
            <w:r>
              <w:rPr>
                <w:rFonts w:ascii="Times New Roman" w:hAnsi="宋体"/>
                <w:color w:val="auto"/>
                <w:sz w:val="24"/>
              </w:rPr>
              <w:t>A</w:t>
            </w:r>
            <w:r>
              <w:rPr>
                <w:rFonts w:ascii="Times New Roman" w:hAnsi="宋体"/>
                <w:color w:val="auto"/>
                <w:sz w:val="24"/>
                <w:vertAlign w:val="subscript"/>
              </w:rPr>
              <w:t>gr</w:t>
            </w:r>
            <w:r>
              <w:rPr>
                <w:rFonts w:ascii="Times New Roman" w:hAnsi="宋体"/>
                <w:color w:val="auto"/>
                <w:sz w:val="24"/>
              </w:rPr>
              <w:t>—地面效应引起的倍频带衰减，dB；</w:t>
            </w:r>
          </w:p>
          <w:p w14:paraId="0A254891">
            <w:pPr>
              <w:pStyle w:val="19"/>
              <w:spacing w:line="440" w:lineRule="exact"/>
              <w:ind w:firstLine="948" w:firstLineChars="395"/>
              <w:rPr>
                <w:rFonts w:ascii="Times New Roman" w:hAnsi="宋体"/>
                <w:color w:val="auto"/>
                <w:sz w:val="24"/>
              </w:rPr>
            </w:pPr>
            <w:r>
              <w:rPr>
                <w:rFonts w:ascii="Times New Roman" w:hAnsi="宋体"/>
                <w:color w:val="auto"/>
                <w:sz w:val="24"/>
              </w:rPr>
              <w:t>A</w:t>
            </w:r>
            <w:r>
              <w:rPr>
                <w:rFonts w:ascii="Times New Roman" w:hAnsi="宋体"/>
                <w:color w:val="auto"/>
                <w:sz w:val="24"/>
                <w:vertAlign w:val="subscript"/>
              </w:rPr>
              <w:t>bar</w:t>
            </w:r>
            <w:r>
              <w:rPr>
                <w:rFonts w:ascii="Times New Roman" w:hAnsi="宋体"/>
                <w:color w:val="auto"/>
                <w:sz w:val="24"/>
              </w:rPr>
              <w:t>—声屏障引起的倍频带衰减，dB，一排房屋的声屏障隔声3-5dB，二排房屋的声屏障隔声6-10dB，三排及以上房屋的声屏障隔声10-12dB；</w:t>
            </w:r>
          </w:p>
          <w:p w14:paraId="755E1F57">
            <w:pPr>
              <w:pStyle w:val="19"/>
              <w:spacing w:line="440" w:lineRule="exact"/>
              <w:ind w:firstLine="948" w:firstLineChars="395"/>
              <w:rPr>
                <w:rFonts w:ascii="Times New Roman" w:hAnsi="宋体"/>
                <w:color w:val="auto"/>
                <w:sz w:val="24"/>
              </w:rPr>
            </w:pPr>
            <w:r>
              <w:rPr>
                <w:rFonts w:ascii="Times New Roman" w:hAnsi="宋体"/>
                <w:color w:val="auto"/>
                <w:sz w:val="24"/>
              </w:rPr>
              <w:t>A</w:t>
            </w:r>
            <w:r>
              <w:rPr>
                <w:rFonts w:ascii="Times New Roman" w:hAnsi="宋体"/>
                <w:color w:val="auto"/>
                <w:sz w:val="24"/>
                <w:vertAlign w:val="subscript"/>
              </w:rPr>
              <w:t>misc</w:t>
            </w:r>
            <w:r>
              <w:rPr>
                <w:rFonts w:ascii="Times New Roman" w:hAnsi="宋体"/>
                <w:color w:val="auto"/>
                <w:sz w:val="24"/>
              </w:rPr>
              <w:t>—其他多方面效应引起的倍频带衰减，dB；</w:t>
            </w:r>
          </w:p>
          <w:p w14:paraId="4C77AF5F">
            <w:pPr>
              <w:spacing w:line="440" w:lineRule="exact"/>
              <w:ind w:firstLine="482"/>
              <w:rPr>
                <w:rFonts w:hAnsi="宋体"/>
                <w:color w:val="auto"/>
                <w:sz w:val="24"/>
                <w:szCs w:val="21"/>
              </w:rPr>
            </w:pPr>
            <w:r>
              <w:rPr>
                <w:rFonts w:hAnsi="宋体"/>
                <w:color w:val="auto"/>
                <w:sz w:val="24"/>
                <w:szCs w:val="21"/>
              </w:rPr>
              <w:t>②室内声源等效室外声源声功率级计算方法</w:t>
            </w:r>
          </w:p>
          <w:p w14:paraId="5E0BFA5F">
            <w:pPr>
              <w:spacing w:line="440" w:lineRule="exact"/>
              <w:ind w:firstLine="482"/>
              <w:rPr>
                <w:rFonts w:hAnsi="宋体"/>
                <w:color w:val="auto"/>
                <w:sz w:val="24"/>
                <w:szCs w:val="21"/>
              </w:rPr>
            </w:pPr>
            <w:r>
              <w:rPr>
                <w:rFonts w:hAnsi="宋体"/>
                <w:color w:val="auto"/>
                <w:sz w:val="24"/>
                <w:szCs w:val="21"/>
              </w:rPr>
              <w:t>声源位于室内，室内声源可采用等效室外声源声功率级法进行计算。设靠近开口处（或窗户）室内、室外某倍频带的声压级分别为L</w:t>
            </w:r>
            <w:r>
              <w:rPr>
                <w:rFonts w:hAnsi="宋体"/>
                <w:color w:val="auto"/>
                <w:sz w:val="24"/>
                <w:szCs w:val="21"/>
                <w:vertAlign w:val="subscript"/>
              </w:rPr>
              <w:t>P1</w:t>
            </w:r>
            <w:r>
              <w:rPr>
                <w:rFonts w:hAnsi="宋体"/>
                <w:color w:val="auto"/>
                <w:sz w:val="24"/>
                <w:szCs w:val="21"/>
              </w:rPr>
              <w:t>和L</w:t>
            </w:r>
            <w:r>
              <w:rPr>
                <w:rFonts w:hAnsi="宋体"/>
                <w:color w:val="auto"/>
                <w:sz w:val="24"/>
                <w:szCs w:val="21"/>
                <w:vertAlign w:val="subscript"/>
              </w:rPr>
              <w:t>P2</w:t>
            </w:r>
            <w:r>
              <w:rPr>
                <w:rFonts w:hAnsi="宋体"/>
                <w:color w:val="auto"/>
                <w:sz w:val="24"/>
                <w:szCs w:val="21"/>
              </w:rPr>
              <w:t>。若声源所在室内声场为近似扩散声场，则室外的倍频带声压级可按以下计算公式如下：</w:t>
            </w:r>
          </w:p>
          <w:p w14:paraId="20FD40F2">
            <w:pPr>
              <w:pStyle w:val="19"/>
              <w:spacing w:line="440" w:lineRule="exact"/>
              <w:rPr>
                <w:color w:val="auto"/>
              </w:rPr>
            </w:pPr>
          </w:p>
          <w:p w14:paraId="47A8EC05">
            <w:pPr>
              <w:pStyle w:val="15"/>
              <w:tabs>
                <w:tab w:val="left" w:pos="360"/>
              </w:tabs>
              <w:adjustRightInd w:val="0"/>
              <w:spacing w:after="0" w:line="440" w:lineRule="exact"/>
              <w:ind w:firstLine="200"/>
              <w:jc w:val="center"/>
              <w:rPr>
                <w:rFonts w:hAnsi="宋体"/>
                <w:color w:val="auto"/>
                <w:szCs w:val="21"/>
              </w:rPr>
            </w:pPr>
            <w:r>
              <w:rPr>
                <w:rFonts w:hAnsi="宋体"/>
                <w:color w:val="auto"/>
                <w:szCs w:val="21"/>
              </w:rPr>
              <w:drawing>
                <wp:inline distT="0" distB="0" distL="114300" distR="114300">
                  <wp:extent cx="1381125" cy="323850"/>
                  <wp:effectExtent l="0" t="0" r="9525" b="0"/>
                  <wp:docPr id="18"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2"/>
                          <pic:cNvPicPr>
                            <a:picLocks noChangeAspect="1"/>
                          </pic:cNvPicPr>
                        </pic:nvPicPr>
                        <pic:blipFill>
                          <a:blip r:embed="rId15" cstate="print"/>
                          <a:stretch>
                            <a:fillRect/>
                          </a:stretch>
                        </pic:blipFill>
                        <pic:spPr>
                          <a:xfrm>
                            <a:off x="0" y="0"/>
                            <a:ext cx="1381125" cy="323850"/>
                          </a:xfrm>
                          <a:prstGeom prst="rect">
                            <a:avLst/>
                          </a:prstGeom>
                          <a:noFill/>
                          <a:ln>
                            <a:noFill/>
                          </a:ln>
                        </pic:spPr>
                      </pic:pic>
                    </a:graphicData>
                  </a:graphic>
                </wp:inline>
              </w:drawing>
            </w:r>
          </w:p>
          <w:p w14:paraId="60447B84">
            <w:pPr>
              <w:pStyle w:val="19"/>
              <w:spacing w:line="440" w:lineRule="exact"/>
              <w:ind w:firstLine="468" w:firstLineChars="195"/>
              <w:rPr>
                <w:rFonts w:ascii="Times New Roman" w:hAnsi="宋体"/>
                <w:color w:val="auto"/>
                <w:sz w:val="24"/>
              </w:rPr>
            </w:pPr>
            <w:r>
              <w:rPr>
                <w:rFonts w:ascii="Times New Roman" w:hAnsi="宋体"/>
                <w:color w:val="auto"/>
                <w:sz w:val="24"/>
              </w:rPr>
              <w:t>式中：TL—隔墙（或窗户）倍频带的隔声量，dB；</w:t>
            </w:r>
          </w:p>
          <w:p w14:paraId="2686881E">
            <w:pPr>
              <w:pStyle w:val="15"/>
              <w:tabs>
                <w:tab w:val="left" w:pos="360"/>
              </w:tabs>
              <w:spacing w:after="0" w:line="440" w:lineRule="exact"/>
              <w:ind w:firstLine="480" w:firstLineChars="200"/>
              <w:rPr>
                <w:rFonts w:hAnsi="宋体"/>
                <w:color w:val="auto"/>
                <w:szCs w:val="21"/>
              </w:rPr>
            </w:pPr>
            <w:r>
              <w:rPr>
                <w:rFonts w:hAnsi="宋体"/>
                <w:color w:val="auto"/>
                <w:szCs w:val="21"/>
              </w:rPr>
              <w:t>L</w:t>
            </w:r>
            <w:r>
              <w:rPr>
                <w:rFonts w:hAnsi="宋体"/>
                <w:color w:val="auto"/>
                <w:szCs w:val="21"/>
                <w:vertAlign w:val="subscript"/>
              </w:rPr>
              <w:t>P1</w:t>
            </w:r>
            <w:r>
              <w:rPr>
                <w:rFonts w:hAnsi="宋体"/>
                <w:color w:val="auto"/>
                <w:szCs w:val="21"/>
              </w:rPr>
              <w:t>（某一室内声源靠近围护结构处产生的倍频带声压级）按下式计算：</w:t>
            </w:r>
          </w:p>
          <w:p w14:paraId="53F4D13D">
            <w:pPr>
              <w:pStyle w:val="15"/>
              <w:tabs>
                <w:tab w:val="left" w:pos="360"/>
              </w:tabs>
              <w:spacing w:after="0" w:line="440" w:lineRule="exact"/>
              <w:ind w:firstLine="480" w:firstLineChars="200"/>
              <w:rPr>
                <w:rFonts w:hAnsi="宋体"/>
                <w:color w:val="auto"/>
                <w:szCs w:val="21"/>
              </w:rPr>
            </w:pPr>
          </w:p>
          <w:p w14:paraId="20E7CD33">
            <w:pPr>
              <w:pStyle w:val="15"/>
              <w:tabs>
                <w:tab w:val="left" w:pos="360"/>
              </w:tabs>
              <w:adjustRightInd w:val="0"/>
              <w:spacing w:after="0" w:line="440" w:lineRule="exact"/>
              <w:ind w:firstLine="198"/>
              <w:jc w:val="center"/>
              <w:rPr>
                <w:rFonts w:eastAsia="仿宋_GB2312"/>
                <w:color w:val="auto"/>
              </w:rPr>
            </w:pPr>
            <w:r>
              <w:rPr>
                <w:rFonts w:eastAsia="仿宋_GB2312"/>
                <w:color w:val="auto"/>
              </w:rPr>
              <w:drawing>
                <wp:anchor distT="0" distB="0" distL="114300" distR="114300" simplePos="0" relativeHeight="251664384" behindDoc="0" locked="0" layoutInCell="1" allowOverlap="1">
                  <wp:simplePos x="0" y="0"/>
                  <wp:positionH relativeFrom="column">
                    <wp:posOffset>2223770</wp:posOffset>
                  </wp:positionH>
                  <wp:positionV relativeFrom="paragraph">
                    <wp:posOffset>-251460</wp:posOffset>
                  </wp:positionV>
                  <wp:extent cx="1524000" cy="485775"/>
                  <wp:effectExtent l="0" t="0" r="0" b="9525"/>
                  <wp:wrapSquare wrapText="bothSides"/>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6" cstate="print"/>
                          <a:stretch>
                            <a:fillRect/>
                          </a:stretch>
                        </pic:blipFill>
                        <pic:spPr>
                          <a:xfrm>
                            <a:off x="0" y="0"/>
                            <a:ext cx="1524000" cy="485775"/>
                          </a:xfrm>
                          <a:prstGeom prst="rect">
                            <a:avLst/>
                          </a:prstGeom>
                          <a:noFill/>
                          <a:ln>
                            <a:noFill/>
                          </a:ln>
                        </pic:spPr>
                      </pic:pic>
                    </a:graphicData>
                  </a:graphic>
                </wp:anchor>
              </w:drawing>
            </w:r>
          </w:p>
          <w:p w14:paraId="67144EAF">
            <w:pPr>
              <w:pStyle w:val="19"/>
              <w:spacing w:line="440" w:lineRule="exact"/>
              <w:ind w:firstLine="468" w:firstLineChars="195"/>
              <w:rPr>
                <w:rFonts w:ascii="Times New Roman" w:hAnsi="宋体"/>
                <w:color w:val="auto"/>
                <w:sz w:val="24"/>
              </w:rPr>
            </w:pPr>
          </w:p>
          <w:p w14:paraId="3D2E46D8">
            <w:pPr>
              <w:pStyle w:val="19"/>
              <w:spacing w:line="440" w:lineRule="exact"/>
              <w:ind w:firstLine="468" w:firstLineChars="195"/>
              <w:rPr>
                <w:rFonts w:ascii="Times New Roman" w:hAnsi="宋体"/>
                <w:color w:val="auto"/>
                <w:sz w:val="24"/>
              </w:rPr>
            </w:pPr>
            <w:r>
              <w:rPr>
                <w:rFonts w:ascii="Times New Roman" w:hAnsi="宋体"/>
                <w:color w:val="auto"/>
                <w:sz w:val="24"/>
              </w:rPr>
              <w:t>式中：Q—指向性因数，通常对无指向性声源，当声源放在房间中心时，Q=1；当放在一面墙的中心时，Q=2；当放在两面墙夹角处时，Q=4；当放在三面墙夹角处时，Q=8；</w:t>
            </w:r>
          </w:p>
          <w:p w14:paraId="59F7BFA9">
            <w:pPr>
              <w:pStyle w:val="19"/>
              <w:spacing w:line="440" w:lineRule="exact"/>
              <w:ind w:firstLine="468" w:firstLineChars="195"/>
              <w:rPr>
                <w:rFonts w:ascii="Times New Roman" w:hAnsi="宋体"/>
                <w:color w:val="auto"/>
                <w:sz w:val="24"/>
              </w:rPr>
            </w:pPr>
            <w:r>
              <w:rPr>
                <w:rFonts w:ascii="Times New Roman" w:hAnsi="宋体"/>
                <w:color w:val="auto"/>
                <w:sz w:val="24"/>
              </w:rPr>
              <w:t>R—房间常数，</w:t>
            </w:r>
            <w:r>
              <w:rPr>
                <w:rFonts w:ascii="Times New Roman" w:hAnsi="宋体"/>
                <w:color w:val="auto"/>
                <w:sz w:val="24"/>
              </w:rPr>
              <w:drawing>
                <wp:inline distT="0" distB="0" distL="114300" distR="114300">
                  <wp:extent cx="962025" cy="209550"/>
                  <wp:effectExtent l="0" t="0" r="9525" b="0"/>
                  <wp:docPr id="15"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4"/>
                          <pic:cNvPicPr>
                            <a:picLocks noChangeAspect="1"/>
                          </pic:cNvPicPr>
                        </pic:nvPicPr>
                        <pic:blipFill>
                          <a:blip r:embed="rId17" cstate="print"/>
                          <a:stretch>
                            <a:fillRect/>
                          </a:stretch>
                        </pic:blipFill>
                        <pic:spPr>
                          <a:xfrm>
                            <a:off x="0" y="0"/>
                            <a:ext cx="962025" cy="209550"/>
                          </a:xfrm>
                          <a:prstGeom prst="rect">
                            <a:avLst/>
                          </a:prstGeom>
                          <a:noFill/>
                          <a:ln>
                            <a:noFill/>
                          </a:ln>
                        </pic:spPr>
                      </pic:pic>
                    </a:graphicData>
                  </a:graphic>
                </wp:inline>
              </w:drawing>
            </w:r>
            <w:r>
              <w:rPr>
                <w:rFonts w:ascii="Times New Roman" w:hAnsi="宋体"/>
                <w:color w:val="auto"/>
                <w:sz w:val="24"/>
              </w:rPr>
              <w:t>，S为房间内表面面积，m</w:t>
            </w:r>
            <w:r>
              <w:rPr>
                <w:rFonts w:ascii="Times New Roman" w:hAnsi="宋体"/>
                <w:color w:val="auto"/>
                <w:sz w:val="24"/>
                <w:vertAlign w:val="superscript"/>
              </w:rPr>
              <w:t>2</w:t>
            </w:r>
            <w:r>
              <w:rPr>
                <w:rFonts w:ascii="Times New Roman" w:hAnsi="宋体"/>
                <w:color w:val="auto"/>
                <w:sz w:val="24"/>
              </w:rPr>
              <w:t>，α为平均吸声系数；</w:t>
            </w:r>
          </w:p>
          <w:p w14:paraId="44D121F7">
            <w:pPr>
              <w:pStyle w:val="19"/>
              <w:spacing w:line="440" w:lineRule="exact"/>
              <w:ind w:firstLine="468" w:firstLineChars="195"/>
              <w:rPr>
                <w:rFonts w:ascii="Times New Roman" w:hAnsi="宋体"/>
                <w:color w:val="auto"/>
                <w:sz w:val="24"/>
              </w:rPr>
            </w:pPr>
            <w:r>
              <w:rPr>
                <w:rFonts w:ascii="Times New Roman" w:hAnsi="宋体"/>
                <w:color w:val="auto"/>
                <w:sz w:val="24"/>
              </w:rPr>
              <w:t>r—声源到靠近围护结构某点处的距离，m。</w:t>
            </w:r>
          </w:p>
          <w:p w14:paraId="20FD697C">
            <w:pPr>
              <w:pStyle w:val="15"/>
              <w:tabs>
                <w:tab w:val="left" w:pos="360"/>
              </w:tabs>
              <w:spacing w:after="0" w:line="440" w:lineRule="exact"/>
              <w:ind w:firstLine="480" w:firstLineChars="200"/>
              <w:rPr>
                <w:rFonts w:hAnsi="宋体"/>
                <w:color w:val="auto"/>
                <w:szCs w:val="21"/>
              </w:rPr>
            </w:pPr>
            <w:r>
              <w:rPr>
                <w:rFonts w:hAnsi="宋体"/>
                <w:color w:val="auto"/>
                <w:szCs w:val="21"/>
              </w:rPr>
              <w:t>再按下式计算出所有室内声源在围护结构处产生的i倍频带叠加声压级</w:t>
            </w:r>
          </w:p>
          <w:p w14:paraId="120D2A86">
            <w:pPr>
              <w:pStyle w:val="15"/>
              <w:tabs>
                <w:tab w:val="left" w:pos="360"/>
              </w:tabs>
              <w:spacing w:after="0" w:line="440" w:lineRule="exact"/>
              <w:ind w:firstLine="480" w:firstLineChars="200"/>
              <w:rPr>
                <w:rFonts w:hAnsi="宋体"/>
                <w:color w:val="auto"/>
                <w:szCs w:val="21"/>
              </w:rPr>
            </w:pPr>
          </w:p>
          <w:p w14:paraId="66D4BB88">
            <w:pPr>
              <w:pStyle w:val="15"/>
              <w:tabs>
                <w:tab w:val="left" w:pos="360"/>
              </w:tabs>
              <w:adjustRightInd w:val="0"/>
              <w:spacing w:after="0" w:line="440" w:lineRule="exact"/>
              <w:ind w:firstLine="200"/>
              <w:jc w:val="center"/>
              <w:rPr>
                <w:rFonts w:eastAsia="仿宋_GB2312"/>
                <w:color w:val="auto"/>
              </w:rPr>
            </w:pPr>
            <w:r>
              <w:rPr>
                <w:rFonts w:eastAsia="仿宋_GB2312"/>
                <w:color w:val="auto"/>
              </w:rPr>
              <w:drawing>
                <wp:anchor distT="0" distB="0" distL="114300" distR="114300" simplePos="0" relativeHeight="251663360" behindDoc="0" locked="0" layoutInCell="1" allowOverlap="1">
                  <wp:simplePos x="0" y="0"/>
                  <wp:positionH relativeFrom="column">
                    <wp:posOffset>2233295</wp:posOffset>
                  </wp:positionH>
                  <wp:positionV relativeFrom="paragraph">
                    <wp:posOffset>-137160</wp:posOffset>
                  </wp:positionV>
                  <wp:extent cx="1495425" cy="381000"/>
                  <wp:effectExtent l="0" t="0" r="9525" b="0"/>
                  <wp:wrapSquare wrapText="bothSides"/>
                  <wp:docPr id="1"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5"/>
                          <pic:cNvPicPr>
                            <a:picLocks noChangeAspect="1"/>
                          </pic:cNvPicPr>
                        </pic:nvPicPr>
                        <pic:blipFill>
                          <a:blip r:embed="rId18" cstate="print"/>
                          <a:stretch>
                            <a:fillRect/>
                          </a:stretch>
                        </pic:blipFill>
                        <pic:spPr>
                          <a:xfrm>
                            <a:off x="0" y="0"/>
                            <a:ext cx="1495425" cy="381000"/>
                          </a:xfrm>
                          <a:prstGeom prst="rect">
                            <a:avLst/>
                          </a:prstGeom>
                          <a:noFill/>
                          <a:ln>
                            <a:noFill/>
                          </a:ln>
                        </pic:spPr>
                      </pic:pic>
                    </a:graphicData>
                  </a:graphic>
                </wp:anchor>
              </w:drawing>
            </w:r>
          </w:p>
          <w:p w14:paraId="17A7B739">
            <w:pPr>
              <w:pStyle w:val="15"/>
              <w:tabs>
                <w:tab w:val="left" w:pos="360"/>
              </w:tabs>
              <w:spacing w:after="0" w:line="440" w:lineRule="exact"/>
              <w:ind w:firstLine="480" w:firstLineChars="200"/>
              <w:rPr>
                <w:rFonts w:hAnsi="宋体"/>
                <w:color w:val="auto"/>
                <w:szCs w:val="21"/>
              </w:rPr>
            </w:pPr>
            <w:r>
              <w:rPr>
                <w:rFonts w:hAnsi="宋体"/>
                <w:color w:val="auto"/>
                <w:szCs w:val="21"/>
              </w:rPr>
              <w:t>式中：L</w:t>
            </w:r>
            <w:r>
              <w:rPr>
                <w:rFonts w:hAnsi="宋体"/>
                <w:color w:val="auto"/>
                <w:szCs w:val="21"/>
                <w:vertAlign w:val="subscript"/>
              </w:rPr>
              <w:t>P1i</w:t>
            </w:r>
            <w:r>
              <w:rPr>
                <w:rFonts w:hAnsi="宋体"/>
                <w:color w:val="auto"/>
                <w:szCs w:val="21"/>
              </w:rPr>
              <w:t>—靠近围护结构处室内 N个声源i倍频带的叠加声压级，dB；</w:t>
            </w:r>
          </w:p>
          <w:p w14:paraId="2D3AFF49">
            <w:pPr>
              <w:pStyle w:val="15"/>
              <w:tabs>
                <w:tab w:val="left" w:pos="360"/>
              </w:tabs>
              <w:spacing w:after="0" w:line="440" w:lineRule="exact"/>
              <w:ind w:firstLine="1200" w:firstLineChars="500"/>
              <w:rPr>
                <w:rFonts w:hAnsi="宋体"/>
                <w:color w:val="auto"/>
                <w:szCs w:val="21"/>
              </w:rPr>
            </w:pPr>
            <w:r>
              <w:rPr>
                <w:rFonts w:hAnsi="宋体"/>
                <w:color w:val="auto"/>
                <w:szCs w:val="21"/>
              </w:rPr>
              <w:t>L</w:t>
            </w:r>
            <w:r>
              <w:rPr>
                <w:rFonts w:hAnsi="宋体"/>
                <w:color w:val="auto"/>
                <w:szCs w:val="21"/>
                <w:vertAlign w:val="subscript"/>
              </w:rPr>
              <w:t>P1ij</w:t>
            </w:r>
            <w:r>
              <w:rPr>
                <w:rFonts w:hAnsi="宋体"/>
                <w:color w:val="auto"/>
                <w:szCs w:val="21"/>
              </w:rPr>
              <w:t>—室内 j声源i倍频带的声压级，dB；</w:t>
            </w:r>
          </w:p>
          <w:p w14:paraId="262AB76E">
            <w:pPr>
              <w:pStyle w:val="15"/>
              <w:tabs>
                <w:tab w:val="left" w:pos="360"/>
              </w:tabs>
              <w:spacing w:after="0" w:line="440" w:lineRule="exact"/>
              <w:ind w:firstLine="1200" w:firstLineChars="500"/>
              <w:rPr>
                <w:rFonts w:hAnsi="宋体"/>
                <w:color w:val="auto"/>
                <w:szCs w:val="21"/>
              </w:rPr>
            </w:pPr>
            <w:r>
              <w:rPr>
                <w:rFonts w:hAnsi="宋体"/>
                <w:color w:val="auto"/>
                <w:szCs w:val="21"/>
              </w:rPr>
              <w:t>N—室内声源总数；</w:t>
            </w:r>
          </w:p>
          <w:p w14:paraId="6D053083">
            <w:pPr>
              <w:spacing w:line="440" w:lineRule="exact"/>
              <w:ind w:firstLine="480" w:firstLineChars="200"/>
              <w:rPr>
                <w:rFonts w:hAnsi="宋体"/>
                <w:color w:val="auto"/>
                <w:sz w:val="24"/>
                <w:szCs w:val="21"/>
              </w:rPr>
            </w:pPr>
            <w:r>
              <w:rPr>
                <w:rFonts w:hAnsi="宋体"/>
                <w:color w:val="auto"/>
                <w:sz w:val="24"/>
                <w:szCs w:val="21"/>
              </w:rPr>
              <w:t>按下式将室外声源的声压级和透过面积换算成等效的室外声源，计算出中心位置位于透声面积（S）处的等效声源的倍频带声功率级。</w:t>
            </w:r>
          </w:p>
          <w:p w14:paraId="00F803B3">
            <w:pPr>
              <w:pStyle w:val="3"/>
              <w:spacing w:line="440" w:lineRule="exact"/>
              <w:rPr>
                <w:color w:val="auto"/>
              </w:rPr>
            </w:pPr>
          </w:p>
          <w:p w14:paraId="0239FBB9">
            <w:pPr>
              <w:pStyle w:val="15"/>
              <w:tabs>
                <w:tab w:val="left" w:pos="360"/>
              </w:tabs>
              <w:adjustRightInd w:val="0"/>
              <w:spacing w:after="0" w:line="440" w:lineRule="exact"/>
              <w:ind w:firstLine="200"/>
              <w:jc w:val="center"/>
              <w:rPr>
                <w:rFonts w:eastAsia="仿宋_GB2312"/>
                <w:color w:val="auto"/>
              </w:rPr>
            </w:pPr>
            <w:r>
              <w:rPr>
                <w:rFonts w:eastAsia="仿宋_GB2312"/>
                <w:color w:val="auto"/>
              </w:rPr>
              <w:drawing>
                <wp:inline distT="0" distB="0" distL="114300" distR="114300">
                  <wp:extent cx="1295400" cy="295275"/>
                  <wp:effectExtent l="0" t="0" r="0" b="9525"/>
                  <wp:docPr id="14"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6"/>
                          <pic:cNvPicPr>
                            <a:picLocks noChangeAspect="1"/>
                          </pic:cNvPicPr>
                        </pic:nvPicPr>
                        <pic:blipFill>
                          <a:blip r:embed="rId19" cstate="print"/>
                          <a:stretch>
                            <a:fillRect/>
                          </a:stretch>
                        </pic:blipFill>
                        <pic:spPr>
                          <a:xfrm>
                            <a:off x="0" y="0"/>
                            <a:ext cx="1295400" cy="295275"/>
                          </a:xfrm>
                          <a:prstGeom prst="rect">
                            <a:avLst/>
                          </a:prstGeom>
                          <a:noFill/>
                          <a:ln>
                            <a:noFill/>
                          </a:ln>
                        </pic:spPr>
                      </pic:pic>
                    </a:graphicData>
                  </a:graphic>
                </wp:inline>
              </w:drawing>
            </w:r>
          </w:p>
          <w:p w14:paraId="6491DC4A">
            <w:pPr>
              <w:spacing w:line="440" w:lineRule="exact"/>
              <w:ind w:firstLine="480" w:firstLineChars="200"/>
              <w:rPr>
                <w:rFonts w:hAnsi="宋体"/>
                <w:color w:val="auto"/>
                <w:sz w:val="24"/>
                <w:szCs w:val="21"/>
              </w:rPr>
            </w:pPr>
            <w:r>
              <w:rPr>
                <w:rFonts w:hAnsi="宋体"/>
                <w:color w:val="auto"/>
                <w:sz w:val="24"/>
                <w:szCs w:val="21"/>
              </w:rPr>
              <w:t>按室外声源预测方法计算预测点处的A声级。</w:t>
            </w:r>
          </w:p>
          <w:p w14:paraId="2DA6CC96">
            <w:pPr>
              <w:spacing w:line="440" w:lineRule="exact"/>
              <w:ind w:firstLine="480" w:firstLineChars="200"/>
              <w:rPr>
                <w:rFonts w:hAnsi="宋体"/>
                <w:color w:val="auto"/>
                <w:sz w:val="24"/>
                <w:szCs w:val="21"/>
              </w:rPr>
            </w:pPr>
            <w:r>
              <w:rPr>
                <w:rFonts w:hAnsi="宋体"/>
                <w:color w:val="auto"/>
                <w:sz w:val="24"/>
                <w:szCs w:val="21"/>
              </w:rPr>
              <w:t>③噪声贡献值计算</w:t>
            </w:r>
          </w:p>
          <w:p w14:paraId="4F1F686A">
            <w:pPr>
              <w:spacing w:line="440" w:lineRule="exact"/>
              <w:ind w:firstLine="480" w:firstLineChars="200"/>
              <w:rPr>
                <w:rFonts w:hAnsi="宋体"/>
                <w:color w:val="auto"/>
                <w:sz w:val="24"/>
                <w:szCs w:val="21"/>
              </w:rPr>
            </w:pPr>
            <w:r>
              <w:rPr>
                <w:rFonts w:hAnsi="宋体"/>
                <w:color w:val="auto"/>
                <w:sz w:val="24"/>
                <w:szCs w:val="21"/>
              </w:rPr>
              <w:t>设第i个室外声源在预测点产生的A声级为L</w:t>
            </w:r>
            <w:r>
              <w:rPr>
                <w:rFonts w:hAnsi="宋体"/>
                <w:color w:val="auto"/>
                <w:sz w:val="24"/>
                <w:szCs w:val="21"/>
                <w:vertAlign w:val="subscript"/>
              </w:rPr>
              <w:t>Ai</w:t>
            </w:r>
            <w:r>
              <w:rPr>
                <w:rFonts w:hAnsi="宋体"/>
                <w:color w:val="auto"/>
                <w:sz w:val="24"/>
                <w:szCs w:val="21"/>
              </w:rPr>
              <w:t>，在T时间内该声源工作时间为ti；第 j 个等效室外声源在预测点产生的A声级为L</w:t>
            </w:r>
            <w:r>
              <w:rPr>
                <w:rFonts w:hAnsi="宋体"/>
                <w:color w:val="auto"/>
                <w:sz w:val="24"/>
                <w:szCs w:val="21"/>
                <w:vertAlign w:val="subscript"/>
              </w:rPr>
              <w:t>Aj</w:t>
            </w:r>
            <w:r>
              <w:rPr>
                <w:rFonts w:hAnsi="宋体"/>
                <w:color w:val="auto"/>
                <w:sz w:val="24"/>
                <w:szCs w:val="21"/>
              </w:rPr>
              <w:t>，在T时间内该声源工作时间为tj，则拟建工程声源对预测点产生的贡献值（L</w:t>
            </w:r>
            <w:r>
              <w:rPr>
                <w:rFonts w:hAnsi="宋体"/>
                <w:color w:val="auto"/>
                <w:sz w:val="24"/>
                <w:szCs w:val="21"/>
                <w:vertAlign w:val="subscript"/>
              </w:rPr>
              <w:t>eqg</w:t>
            </w:r>
            <w:r>
              <w:rPr>
                <w:rFonts w:hAnsi="宋体"/>
                <w:color w:val="auto"/>
                <w:sz w:val="24"/>
                <w:szCs w:val="21"/>
              </w:rPr>
              <w:t>）为：</w:t>
            </w:r>
          </w:p>
          <w:p w14:paraId="0D2D55BB">
            <w:pPr>
              <w:pStyle w:val="2"/>
              <w:spacing w:line="440" w:lineRule="exact"/>
              <w:ind w:firstLine="480"/>
              <w:rPr>
                <w:color w:val="auto"/>
              </w:rPr>
            </w:pPr>
            <w:r>
              <w:rPr>
                <w:rFonts w:eastAsia="仿宋_GB2312"/>
                <w:color w:val="auto"/>
                <w:sz w:val="24"/>
              </w:rPr>
              <w:drawing>
                <wp:anchor distT="0" distB="0" distL="114300" distR="114300" simplePos="0" relativeHeight="251665408" behindDoc="0" locked="0" layoutInCell="1" allowOverlap="1">
                  <wp:simplePos x="0" y="0"/>
                  <wp:positionH relativeFrom="column">
                    <wp:posOffset>1528445</wp:posOffset>
                  </wp:positionH>
                  <wp:positionV relativeFrom="paragraph">
                    <wp:posOffset>93980</wp:posOffset>
                  </wp:positionV>
                  <wp:extent cx="2314575" cy="466725"/>
                  <wp:effectExtent l="0" t="0" r="9525" b="9525"/>
                  <wp:wrapSquare wrapText="bothSides"/>
                  <wp:docPr id="3"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7"/>
                          <pic:cNvPicPr>
                            <a:picLocks noChangeAspect="1"/>
                          </pic:cNvPicPr>
                        </pic:nvPicPr>
                        <pic:blipFill>
                          <a:blip r:embed="rId20" cstate="print"/>
                          <a:stretch>
                            <a:fillRect/>
                          </a:stretch>
                        </pic:blipFill>
                        <pic:spPr>
                          <a:xfrm>
                            <a:off x="0" y="0"/>
                            <a:ext cx="2314575" cy="466725"/>
                          </a:xfrm>
                          <a:prstGeom prst="rect">
                            <a:avLst/>
                          </a:prstGeom>
                          <a:noFill/>
                          <a:ln>
                            <a:noFill/>
                          </a:ln>
                        </pic:spPr>
                      </pic:pic>
                    </a:graphicData>
                  </a:graphic>
                </wp:anchor>
              </w:drawing>
            </w:r>
          </w:p>
          <w:p w14:paraId="786E7372">
            <w:pPr>
              <w:adjustRightInd w:val="0"/>
              <w:snapToGrid w:val="0"/>
              <w:spacing w:line="440" w:lineRule="exact"/>
              <w:ind w:firstLine="480" w:firstLineChars="200"/>
              <w:jc w:val="center"/>
              <w:rPr>
                <w:rFonts w:eastAsia="仿宋_GB2312"/>
                <w:color w:val="auto"/>
                <w:sz w:val="24"/>
              </w:rPr>
            </w:pPr>
          </w:p>
          <w:p w14:paraId="4076E14D">
            <w:pPr>
              <w:ind w:firstLine="480" w:firstLineChars="200"/>
              <w:rPr>
                <w:rFonts w:hAnsi="宋体"/>
                <w:color w:val="auto"/>
                <w:sz w:val="24"/>
                <w:szCs w:val="21"/>
              </w:rPr>
            </w:pPr>
          </w:p>
          <w:p w14:paraId="2380C394">
            <w:pPr>
              <w:spacing w:line="440" w:lineRule="exact"/>
              <w:ind w:firstLine="480" w:firstLineChars="200"/>
              <w:rPr>
                <w:rFonts w:hAnsi="宋体"/>
                <w:color w:val="auto"/>
                <w:sz w:val="24"/>
                <w:szCs w:val="21"/>
              </w:rPr>
            </w:pPr>
            <w:r>
              <w:rPr>
                <w:rFonts w:hAnsi="宋体"/>
                <w:color w:val="auto"/>
                <w:sz w:val="24"/>
                <w:szCs w:val="21"/>
              </w:rPr>
              <w:t>式中：t</w:t>
            </w:r>
            <w:r>
              <w:rPr>
                <w:rFonts w:hAnsi="宋体"/>
                <w:color w:val="auto"/>
                <w:sz w:val="24"/>
                <w:szCs w:val="21"/>
                <w:vertAlign w:val="subscript"/>
              </w:rPr>
              <w:t>j</w:t>
            </w:r>
            <w:r>
              <w:rPr>
                <w:rFonts w:hAnsi="宋体"/>
                <w:color w:val="auto"/>
                <w:sz w:val="24"/>
                <w:szCs w:val="21"/>
              </w:rPr>
              <w:t>—在 T 时间内 j 声源工作时间，s；</w:t>
            </w:r>
          </w:p>
          <w:p w14:paraId="4F5DD501">
            <w:pPr>
              <w:spacing w:line="440" w:lineRule="exact"/>
              <w:ind w:firstLine="1200" w:firstLineChars="500"/>
              <w:rPr>
                <w:rFonts w:hAnsi="宋体"/>
                <w:color w:val="auto"/>
                <w:sz w:val="24"/>
                <w:szCs w:val="21"/>
              </w:rPr>
            </w:pPr>
            <w:r>
              <w:rPr>
                <w:rFonts w:hAnsi="宋体"/>
                <w:color w:val="auto"/>
                <w:sz w:val="24"/>
                <w:szCs w:val="21"/>
              </w:rPr>
              <w:t>t</w:t>
            </w:r>
            <w:r>
              <w:rPr>
                <w:rFonts w:hAnsi="宋体"/>
                <w:color w:val="auto"/>
                <w:sz w:val="24"/>
                <w:szCs w:val="21"/>
                <w:vertAlign w:val="subscript"/>
              </w:rPr>
              <w:t>i</w:t>
            </w:r>
            <w:r>
              <w:rPr>
                <w:rFonts w:hAnsi="宋体"/>
                <w:color w:val="auto"/>
                <w:sz w:val="24"/>
                <w:szCs w:val="21"/>
              </w:rPr>
              <w:t>—在 T 时间内i声源工作时间，s；</w:t>
            </w:r>
          </w:p>
          <w:p w14:paraId="0546F364">
            <w:pPr>
              <w:spacing w:line="440" w:lineRule="exact"/>
              <w:ind w:firstLine="1200" w:firstLineChars="500"/>
              <w:rPr>
                <w:rFonts w:hAnsi="宋体"/>
                <w:color w:val="auto"/>
                <w:sz w:val="24"/>
                <w:szCs w:val="21"/>
              </w:rPr>
            </w:pPr>
            <w:r>
              <w:rPr>
                <w:rFonts w:hAnsi="宋体"/>
                <w:color w:val="auto"/>
                <w:sz w:val="24"/>
                <w:szCs w:val="21"/>
              </w:rPr>
              <w:t>T—用于计算等效声级的时间，s；</w:t>
            </w:r>
          </w:p>
          <w:p w14:paraId="4DBBB035">
            <w:pPr>
              <w:spacing w:line="440" w:lineRule="exact"/>
              <w:ind w:firstLine="1200" w:firstLineChars="500"/>
              <w:rPr>
                <w:rFonts w:hAnsi="宋体"/>
                <w:color w:val="auto"/>
                <w:sz w:val="24"/>
                <w:szCs w:val="21"/>
              </w:rPr>
            </w:pPr>
            <w:r>
              <w:rPr>
                <w:rFonts w:hAnsi="宋体"/>
                <w:color w:val="auto"/>
                <w:sz w:val="24"/>
                <w:szCs w:val="21"/>
              </w:rPr>
              <w:t>N—室外声源个数；</w:t>
            </w:r>
          </w:p>
          <w:p w14:paraId="46FAA36B">
            <w:pPr>
              <w:spacing w:line="440" w:lineRule="exact"/>
              <w:ind w:firstLine="1200" w:firstLineChars="500"/>
              <w:rPr>
                <w:rFonts w:hAnsi="宋体"/>
                <w:color w:val="auto"/>
                <w:sz w:val="24"/>
                <w:szCs w:val="21"/>
              </w:rPr>
            </w:pPr>
            <w:r>
              <w:rPr>
                <w:rFonts w:hAnsi="宋体"/>
                <w:color w:val="auto"/>
                <w:sz w:val="24"/>
                <w:szCs w:val="21"/>
              </w:rPr>
              <w:t>M—等效室外声源个数。</w:t>
            </w:r>
          </w:p>
          <w:p w14:paraId="0FD06D0C">
            <w:pPr>
              <w:spacing w:line="440" w:lineRule="exact"/>
              <w:ind w:firstLine="480" w:firstLineChars="200"/>
              <w:rPr>
                <w:rFonts w:hAnsi="宋体"/>
                <w:color w:val="auto"/>
                <w:sz w:val="24"/>
                <w:szCs w:val="21"/>
              </w:rPr>
            </w:pPr>
            <w:r>
              <w:rPr>
                <w:rFonts w:hAnsi="宋体"/>
                <w:color w:val="auto"/>
                <w:sz w:val="24"/>
                <w:szCs w:val="21"/>
              </w:rPr>
              <w:t>④预测值计算</w:t>
            </w:r>
          </w:p>
          <w:p w14:paraId="52DF628D">
            <w:pPr>
              <w:spacing w:line="440" w:lineRule="exact"/>
              <w:ind w:firstLine="480" w:firstLineChars="200"/>
              <w:rPr>
                <w:rFonts w:eastAsia="仿宋_GB2312"/>
                <w:color w:val="auto"/>
                <w:sz w:val="24"/>
              </w:rPr>
            </w:pPr>
            <w:r>
              <w:rPr>
                <w:rFonts w:hAnsi="宋体"/>
                <w:color w:val="auto"/>
                <w:sz w:val="24"/>
                <w:szCs w:val="21"/>
              </w:rPr>
              <w:t>预测点的预测等效声级(Leq)计算公式</w:t>
            </w:r>
            <w:r>
              <w:rPr>
                <w:rFonts w:eastAsia="仿宋_GB2312"/>
                <w:color w:val="auto"/>
                <w:sz w:val="24"/>
              </w:rPr>
              <w:t>：</w:t>
            </w:r>
          </w:p>
          <w:p w14:paraId="2529EFCC">
            <w:pPr>
              <w:adjustRightInd w:val="0"/>
              <w:snapToGrid w:val="0"/>
              <w:spacing w:line="440" w:lineRule="exact"/>
              <w:ind w:firstLine="1200" w:firstLineChars="500"/>
              <w:jc w:val="center"/>
              <w:rPr>
                <w:rFonts w:eastAsia="仿宋_GB2312"/>
                <w:color w:val="auto"/>
                <w:sz w:val="24"/>
              </w:rPr>
            </w:pPr>
            <w:r>
              <w:rPr>
                <w:rFonts w:eastAsia="仿宋_GB2312"/>
                <w:color w:val="auto"/>
                <w:sz w:val="24"/>
              </w:rPr>
              <w:drawing>
                <wp:inline distT="0" distB="0" distL="114300" distR="114300">
                  <wp:extent cx="2085975" cy="304800"/>
                  <wp:effectExtent l="0" t="0" r="9525" b="0"/>
                  <wp:docPr id="13"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8"/>
                          <pic:cNvPicPr>
                            <a:picLocks noChangeAspect="1"/>
                          </pic:cNvPicPr>
                        </pic:nvPicPr>
                        <pic:blipFill>
                          <a:blip r:embed="rId21" cstate="print"/>
                          <a:stretch>
                            <a:fillRect/>
                          </a:stretch>
                        </pic:blipFill>
                        <pic:spPr>
                          <a:xfrm>
                            <a:off x="0" y="0"/>
                            <a:ext cx="2085975" cy="304800"/>
                          </a:xfrm>
                          <a:prstGeom prst="rect">
                            <a:avLst/>
                          </a:prstGeom>
                          <a:noFill/>
                          <a:ln>
                            <a:noFill/>
                          </a:ln>
                        </pic:spPr>
                      </pic:pic>
                    </a:graphicData>
                  </a:graphic>
                </wp:inline>
              </w:drawing>
            </w:r>
          </w:p>
          <w:p w14:paraId="2F484DFD">
            <w:pPr>
              <w:spacing w:line="440" w:lineRule="exact"/>
              <w:ind w:firstLine="480" w:firstLineChars="200"/>
              <w:rPr>
                <w:color w:val="auto"/>
                <w:sz w:val="24"/>
                <w:szCs w:val="21"/>
              </w:rPr>
            </w:pPr>
            <w:r>
              <w:rPr>
                <w:color w:val="auto"/>
                <w:sz w:val="24"/>
                <w:szCs w:val="21"/>
              </w:rPr>
              <w:t>式中：L</w:t>
            </w:r>
            <w:r>
              <w:rPr>
                <w:color w:val="auto"/>
                <w:sz w:val="24"/>
                <w:szCs w:val="21"/>
                <w:vertAlign w:val="subscript"/>
              </w:rPr>
              <w:t>eqg</w:t>
            </w:r>
            <w:r>
              <w:rPr>
                <w:color w:val="auto"/>
                <w:sz w:val="24"/>
                <w:szCs w:val="21"/>
              </w:rPr>
              <w:t>—建设项目声源在预测点的等效声级贡献值，dB(A)；</w:t>
            </w:r>
          </w:p>
          <w:p w14:paraId="52CDF87D">
            <w:pPr>
              <w:adjustRightInd w:val="0"/>
              <w:snapToGrid w:val="0"/>
              <w:spacing w:line="440" w:lineRule="exact"/>
              <w:ind w:firstLine="480" w:firstLineChars="200"/>
              <w:rPr>
                <w:color w:val="auto"/>
                <w:kern w:val="0"/>
                <w:sz w:val="24"/>
              </w:rPr>
            </w:pPr>
            <w:r>
              <w:rPr>
                <w:color w:val="auto"/>
                <w:sz w:val="24"/>
                <w:szCs w:val="21"/>
              </w:rPr>
              <w:t>L</w:t>
            </w:r>
            <w:r>
              <w:rPr>
                <w:color w:val="auto"/>
                <w:sz w:val="24"/>
                <w:szCs w:val="21"/>
                <w:vertAlign w:val="subscript"/>
              </w:rPr>
              <w:t>eqb</w:t>
            </w:r>
            <w:r>
              <w:rPr>
                <w:color w:val="auto"/>
                <w:sz w:val="24"/>
                <w:szCs w:val="21"/>
              </w:rPr>
              <w:t>—预测点的背景值，dB(A)。</w:t>
            </w:r>
          </w:p>
          <w:p w14:paraId="42A785A6">
            <w:pPr>
              <w:numPr>
                <w:ilvl w:val="0"/>
                <w:numId w:val="5"/>
              </w:numPr>
              <w:adjustRightInd w:val="0"/>
              <w:snapToGrid w:val="0"/>
              <w:spacing w:line="440" w:lineRule="exact"/>
              <w:ind w:firstLine="439" w:firstLineChars="183"/>
              <w:rPr>
                <w:color w:val="auto"/>
                <w:kern w:val="0"/>
                <w:sz w:val="24"/>
              </w:rPr>
            </w:pPr>
            <w:r>
              <w:rPr>
                <w:color w:val="auto"/>
                <w:kern w:val="0"/>
                <w:sz w:val="24"/>
              </w:rPr>
              <w:t>噪声预测结果</w:t>
            </w:r>
          </w:p>
          <w:p w14:paraId="77DD8B50">
            <w:pPr>
              <w:spacing w:line="440" w:lineRule="exact"/>
              <w:ind w:firstLine="480" w:firstLineChars="200"/>
              <w:rPr>
                <w:color w:val="auto"/>
                <w:sz w:val="24"/>
              </w:rPr>
            </w:pPr>
            <w:r>
              <w:rPr>
                <w:color w:val="auto"/>
                <w:sz w:val="24"/>
              </w:rPr>
              <w:t>本项目噪声预测结果见表</w:t>
            </w:r>
            <w:r>
              <w:rPr>
                <w:rFonts w:hint="eastAsia"/>
                <w:color w:val="auto"/>
                <w:sz w:val="24"/>
              </w:rPr>
              <w:t>4</w:t>
            </w:r>
            <w:r>
              <w:rPr>
                <w:color w:val="auto"/>
                <w:sz w:val="24"/>
              </w:rPr>
              <w:t>-</w:t>
            </w:r>
            <w:r>
              <w:rPr>
                <w:rFonts w:hint="eastAsia"/>
                <w:color w:val="auto"/>
                <w:sz w:val="24"/>
              </w:rPr>
              <w:t>2</w:t>
            </w:r>
            <w:r>
              <w:rPr>
                <w:rFonts w:hint="eastAsia"/>
                <w:color w:val="auto"/>
                <w:sz w:val="24"/>
                <w:lang w:val="en-US" w:eastAsia="zh-CN"/>
              </w:rPr>
              <w:t>3</w:t>
            </w:r>
            <w:r>
              <w:rPr>
                <w:color w:val="auto"/>
                <w:sz w:val="24"/>
              </w:rPr>
              <w:t>。</w:t>
            </w:r>
          </w:p>
          <w:p w14:paraId="72909CFD">
            <w:pPr>
              <w:spacing w:beforeLines="50"/>
              <w:ind w:firstLine="422" w:firstLineChars="200"/>
              <w:jc w:val="center"/>
              <w:rPr>
                <w:b/>
                <w:bCs/>
                <w:color w:val="auto"/>
                <w:kern w:val="0"/>
                <w:szCs w:val="21"/>
              </w:rPr>
            </w:pPr>
            <w:r>
              <w:rPr>
                <w:rFonts w:hint="eastAsia"/>
                <w:b/>
                <w:bCs/>
                <w:color w:val="auto"/>
                <w:kern w:val="0"/>
                <w:szCs w:val="21"/>
              </w:rPr>
              <w:t>表4-2</w:t>
            </w:r>
            <w:r>
              <w:rPr>
                <w:rFonts w:hint="eastAsia"/>
                <w:b/>
                <w:bCs/>
                <w:color w:val="auto"/>
                <w:kern w:val="0"/>
                <w:szCs w:val="21"/>
                <w:lang w:val="en-US" w:eastAsia="zh-CN"/>
              </w:rPr>
              <w:t>3</w:t>
            </w:r>
            <w:r>
              <w:rPr>
                <w:rFonts w:hint="eastAsia"/>
                <w:b/>
                <w:bCs/>
                <w:color w:val="auto"/>
                <w:kern w:val="0"/>
                <w:szCs w:val="21"/>
              </w:rPr>
              <w:t xml:space="preserve">  本项目噪声预测结果</w:t>
            </w:r>
          </w:p>
          <w:p w14:paraId="40F619FA">
            <w:pPr>
              <w:ind w:firstLine="539"/>
              <w:jc w:val="right"/>
              <w:rPr>
                <w:color w:val="auto"/>
                <w:szCs w:val="21"/>
              </w:rPr>
            </w:pPr>
            <w:r>
              <w:rPr>
                <w:rFonts w:hAnsi="宋体"/>
                <w:color w:val="auto"/>
                <w:szCs w:val="21"/>
              </w:rPr>
              <w:t>单位：</w:t>
            </w:r>
            <w:r>
              <w:rPr>
                <w:color w:val="auto"/>
                <w:szCs w:val="21"/>
              </w:rPr>
              <w:t>dB(A)</w:t>
            </w:r>
          </w:p>
          <w:tbl>
            <w:tblPr>
              <w:tblStyle w:val="37"/>
              <w:tblW w:w="8787" w:type="dxa"/>
              <w:jc w:val="center"/>
              <w:tblBorders>
                <w:top w:val="single" w:color="auto" w:sz="4"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01"/>
              <w:gridCol w:w="1536"/>
              <w:gridCol w:w="1605"/>
              <w:gridCol w:w="1409"/>
              <w:gridCol w:w="1336"/>
            </w:tblGrid>
            <w:tr w14:paraId="129FCE1B">
              <w:tblPrEx>
                <w:tblBorders>
                  <w:top w:val="single" w:color="auto" w:sz="4"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49" w:type="pct"/>
                  <w:vMerge w:val="restart"/>
                  <w:vAlign w:val="center"/>
                </w:tcPr>
                <w:p w14:paraId="048D61C7">
                  <w:pPr>
                    <w:pStyle w:val="195"/>
                    <w:snapToGrid w:val="0"/>
                    <w:jc w:val="center"/>
                    <w:rPr>
                      <w:rFonts w:ascii="Times New Roman" w:hAnsi="Times New Roman"/>
                      <w:b/>
                      <w:bCs/>
                      <w:color w:val="auto"/>
                      <w:kern w:val="0"/>
                      <w:szCs w:val="21"/>
                    </w:rPr>
                  </w:pPr>
                  <w:r>
                    <w:rPr>
                      <w:rFonts w:hint="eastAsia" w:ascii="Times New Roman" w:hAnsi="Times New Roman"/>
                      <w:b/>
                      <w:bCs/>
                      <w:color w:val="auto"/>
                      <w:kern w:val="0"/>
                      <w:szCs w:val="21"/>
                    </w:rPr>
                    <w:t>项目</w:t>
                  </w:r>
                </w:p>
              </w:tc>
              <w:tc>
                <w:tcPr>
                  <w:tcW w:w="3348" w:type="pct"/>
                  <w:gridSpan w:val="4"/>
                  <w:tcBorders>
                    <w:right w:val="single" w:color="auto" w:sz="4" w:space="0"/>
                  </w:tcBorders>
                  <w:vAlign w:val="center"/>
                </w:tcPr>
                <w:p w14:paraId="0CF8631F">
                  <w:pPr>
                    <w:pStyle w:val="195"/>
                    <w:snapToGrid w:val="0"/>
                    <w:jc w:val="center"/>
                    <w:rPr>
                      <w:rFonts w:ascii="Times New Roman" w:hAnsi="Times New Roman"/>
                      <w:b/>
                      <w:bCs/>
                      <w:color w:val="auto"/>
                      <w:kern w:val="0"/>
                      <w:szCs w:val="21"/>
                    </w:rPr>
                  </w:pPr>
                  <w:r>
                    <w:rPr>
                      <w:rFonts w:hint="eastAsia" w:ascii="Times New Roman" w:hAnsi="Times New Roman"/>
                      <w:b/>
                      <w:bCs/>
                      <w:color w:val="auto"/>
                      <w:kern w:val="0"/>
                      <w:szCs w:val="21"/>
                    </w:rPr>
                    <w:t>预测结果</w:t>
                  </w:r>
                </w:p>
              </w:tc>
            </w:tr>
            <w:tr w14:paraId="7D50E305">
              <w:tblPrEx>
                <w:tblBorders>
                  <w:top w:val="single" w:color="auto" w:sz="4"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49" w:type="pct"/>
                  <w:vMerge w:val="continue"/>
                  <w:vAlign w:val="center"/>
                </w:tcPr>
                <w:p w14:paraId="67E9F2D2">
                  <w:pPr>
                    <w:pStyle w:val="195"/>
                    <w:snapToGrid w:val="0"/>
                    <w:jc w:val="center"/>
                    <w:rPr>
                      <w:rFonts w:ascii="Times New Roman" w:hAnsi="Times New Roman"/>
                      <w:b/>
                      <w:bCs/>
                      <w:color w:val="auto"/>
                      <w:kern w:val="0"/>
                      <w:szCs w:val="21"/>
                    </w:rPr>
                  </w:pPr>
                </w:p>
              </w:tc>
              <w:tc>
                <w:tcPr>
                  <w:tcW w:w="3348" w:type="pct"/>
                  <w:gridSpan w:val="4"/>
                  <w:tcBorders>
                    <w:right w:val="single" w:color="auto" w:sz="4" w:space="0"/>
                  </w:tcBorders>
                  <w:vAlign w:val="center"/>
                </w:tcPr>
                <w:p w14:paraId="3409AD38">
                  <w:pPr>
                    <w:pStyle w:val="195"/>
                    <w:snapToGrid w:val="0"/>
                    <w:jc w:val="center"/>
                    <w:rPr>
                      <w:rFonts w:ascii="Times New Roman" w:hAnsi="Times New Roman"/>
                      <w:b/>
                      <w:bCs/>
                      <w:color w:val="auto"/>
                      <w:kern w:val="0"/>
                      <w:szCs w:val="21"/>
                    </w:rPr>
                  </w:pPr>
                  <w:r>
                    <w:rPr>
                      <w:rFonts w:hint="eastAsia" w:ascii="Times New Roman" w:hAnsi="Times New Roman"/>
                      <w:b/>
                      <w:bCs/>
                      <w:color w:val="auto"/>
                      <w:kern w:val="0"/>
                      <w:szCs w:val="21"/>
                    </w:rPr>
                    <w:t>厂界</w:t>
                  </w:r>
                </w:p>
              </w:tc>
            </w:tr>
            <w:tr w14:paraId="7AEC726A">
              <w:tblPrEx>
                <w:tblBorders>
                  <w:top w:val="single" w:color="auto" w:sz="4"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49" w:type="pct"/>
                  <w:vMerge w:val="continue"/>
                  <w:vAlign w:val="center"/>
                </w:tcPr>
                <w:p w14:paraId="138E8629">
                  <w:pPr>
                    <w:pStyle w:val="195"/>
                    <w:snapToGrid w:val="0"/>
                    <w:jc w:val="center"/>
                    <w:rPr>
                      <w:rFonts w:ascii="Times New Roman" w:hAnsi="Times New Roman"/>
                      <w:b/>
                      <w:bCs/>
                      <w:color w:val="auto"/>
                      <w:kern w:val="0"/>
                      <w:szCs w:val="21"/>
                    </w:rPr>
                  </w:pPr>
                </w:p>
              </w:tc>
              <w:tc>
                <w:tcPr>
                  <w:tcW w:w="874" w:type="pct"/>
                  <w:vAlign w:val="center"/>
                </w:tcPr>
                <w:p w14:paraId="70B5F053">
                  <w:pPr>
                    <w:pStyle w:val="195"/>
                    <w:snapToGrid w:val="0"/>
                    <w:jc w:val="center"/>
                    <w:rPr>
                      <w:rFonts w:ascii="Times New Roman" w:hAnsi="Times New Roman"/>
                      <w:b/>
                      <w:bCs/>
                      <w:color w:val="auto"/>
                      <w:kern w:val="0"/>
                      <w:szCs w:val="21"/>
                    </w:rPr>
                  </w:pPr>
                  <w:r>
                    <w:rPr>
                      <w:rFonts w:hint="eastAsia" w:ascii="Times New Roman" w:hAnsi="Times New Roman"/>
                      <w:b/>
                      <w:bCs/>
                      <w:color w:val="auto"/>
                      <w:kern w:val="0"/>
                      <w:szCs w:val="21"/>
                    </w:rPr>
                    <w:t>东</w:t>
                  </w:r>
                </w:p>
              </w:tc>
              <w:tc>
                <w:tcPr>
                  <w:tcW w:w="913" w:type="pct"/>
                  <w:vAlign w:val="center"/>
                </w:tcPr>
                <w:p w14:paraId="1201B3B6">
                  <w:pPr>
                    <w:pStyle w:val="195"/>
                    <w:snapToGrid w:val="0"/>
                    <w:jc w:val="center"/>
                    <w:rPr>
                      <w:rFonts w:ascii="Times New Roman" w:hAnsi="Times New Roman"/>
                      <w:b/>
                      <w:bCs/>
                      <w:color w:val="auto"/>
                      <w:kern w:val="0"/>
                      <w:szCs w:val="21"/>
                    </w:rPr>
                  </w:pPr>
                  <w:r>
                    <w:rPr>
                      <w:rFonts w:hint="eastAsia" w:ascii="Times New Roman" w:hAnsi="Times New Roman"/>
                      <w:b/>
                      <w:bCs/>
                      <w:color w:val="auto"/>
                      <w:kern w:val="0"/>
                      <w:szCs w:val="21"/>
                    </w:rPr>
                    <w:t>南</w:t>
                  </w:r>
                </w:p>
              </w:tc>
              <w:tc>
                <w:tcPr>
                  <w:tcW w:w="802" w:type="pct"/>
                  <w:vAlign w:val="center"/>
                </w:tcPr>
                <w:p w14:paraId="1C92CD7D">
                  <w:pPr>
                    <w:pStyle w:val="195"/>
                    <w:snapToGrid w:val="0"/>
                    <w:jc w:val="center"/>
                    <w:rPr>
                      <w:rFonts w:ascii="Times New Roman" w:hAnsi="Times New Roman"/>
                      <w:b/>
                      <w:bCs/>
                      <w:color w:val="auto"/>
                      <w:kern w:val="0"/>
                      <w:szCs w:val="21"/>
                    </w:rPr>
                  </w:pPr>
                  <w:r>
                    <w:rPr>
                      <w:rFonts w:hint="eastAsia" w:ascii="Times New Roman" w:hAnsi="Times New Roman"/>
                      <w:b/>
                      <w:bCs/>
                      <w:color w:val="auto"/>
                      <w:kern w:val="0"/>
                      <w:szCs w:val="21"/>
                    </w:rPr>
                    <w:t>西</w:t>
                  </w:r>
                </w:p>
              </w:tc>
              <w:tc>
                <w:tcPr>
                  <w:tcW w:w="760" w:type="pct"/>
                  <w:tcBorders>
                    <w:right w:val="single" w:color="auto" w:sz="4" w:space="0"/>
                  </w:tcBorders>
                  <w:vAlign w:val="center"/>
                </w:tcPr>
                <w:p w14:paraId="290DB74D">
                  <w:pPr>
                    <w:pStyle w:val="195"/>
                    <w:snapToGrid w:val="0"/>
                    <w:jc w:val="center"/>
                    <w:rPr>
                      <w:rFonts w:ascii="Times New Roman" w:hAnsi="Times New Roman"/>
                      <w:b/>
                      <w:bCs/>
                      <w:color w:val="auto"/>
                      <w:kern w:val="0"/>
                      <w:szCs w:val="21"/>
                    </w:rPr>
                  </w:pPr>
                  <w:r>
                    <w:rPr>
                      <w:rFonts w:hint="eastAsia" w:ascii="Times New Roman" w:hAnsi="Times New Roman"/>
                      <w:b/>
                      <w:bCs/>
                      <w:color w:val="auto"/>
                      <w:kern w:val="0"/>
                      <w:szCs w:val="21"/>
                    </w:rPr>
                    <w:t>北</w:t>
                  </w:r>
                </w:p>
              </w:tc>
            </w:tr>
            <w:tr w14:paraId="4A66FF11">
              <w:tblPrEx>
                <w:tblBorders>
                  <w:top w:val="single" w:color="auto" w:sz="4"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49" w:type="pct"/>
                  <w:vAlign w:val="center"/>
                </w:tcPr>
                <w:p w14:paraId="0749795B">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车间贡献值(昼间)</w:t>
                  </w:r>
                </w:p>
              </w:tc>
              <w:tc>
                <w:tcPr>
                  <w:tcW w:w="874" w:type="pct"/>
                  <w:vAlign w:val="center"/>
                </w:tcPr>
                <w:p w14:paraId="14050209">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5</w:t>
                  </w:r>
                  <w:r>
                    <w:rPr>
                      <w:rFonts w:hint="eastAsia" w:ascii="Times New Roman" w:hAnsi="Times New Roman"/>
                      <w:color w:val="auto"/>
                      <w:kern w:val="0"/>
                      <w:szCs w:val="21"/>
                      <w:lang w:val="en-US" w:eastAsia="zh-CN"/>
                    </w:rPr>
                    <w:t>9</w:t>
                  </w:r>
                  <w:r>
                    <w:rPr>
                      <w:rFonts w:hint="eastAsia" w:ascii="Times New Roman" w:hAnsi="Times New Roman"/>
                      <w:color w:val="auto"/>
                      <w:kern w:val="0"/>
                      <w:szCs w:val="21"/>
                    </w:rPr>
                    <w:t>.4</w:t>
                  </w:r>
                </w:p>
              </w:tc>
              <w:tc>
                <w:tcPr>
                  <w:tcW w:w="913" w:type="pct"/>
                  <w:vAlign w:val="center"/>
                </w:tcPr>
                <w:p w14:paraId="47C69DF4">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5</w:t>
                  </w:r>
                  <w:r>
                    <w:rPr>
                      <w:rFonts w:hint="eastAsia" w:ascii="Times New Roman" w:hAnsi="Times New Roman"/>
                      <w:color w:val="auto"/>
                      <w:kern w:val="0"/>
                      <w:szCs w:val="21"/>
                      <w:lang w:val="en-US" w:eastAsia="zh-CN"/>
                    </w:rPr>
                    <w:t>9</w:t>
                  </w:r>
                  <w:r>
                    <w:rPr>
                      <w:rFonts w:hint="eastAsia" w:ascii="Times New Roman" w:hAnsi="Times New Roman"/>
                      <w:color w:val="auto"/>
                      <w:kern w:val="0"/>
                      <w:szCs w:val="21"/>
                    </w:rPr>
                    <w:t>.2</w:t>
                  </w:r>
                </w:p>
              </w:tc>
              <w:tc>
                <w:tcPr>
                  <w:tcW w:w="802" w:type="pct"/>
                  <w:vAlign w:val="center"/>
                </w:tcPr>
                <w:p w14:paraId="2C0BE08A">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5</w:t>
                  </w:r>
                  <w:r>
                    <w:rPr>
                      <w:rFonts w:hint="eastAsia" w:ascii="Times New Roman" w:hAnsi="Times New Roman"/>
                      <w:color w:val="auto"/>
                      <w:kern w:val="0"/>
                      <w:szCs w:val="21"/>
                      <w:lang w:val="en-US" w:eastAsia="zh-CN"/>
                    </w:rPr>
                    <w:t>7</w:t>
                  </w:r>
                  <w:r>
                    <w:rPr>
                      <w:rFonts w:hint="eastAsia" w:ascii="Times New Roman" w:hAnsi="Times New Roman"/>
                      <w:color w:val="auto"/>
                      <w:kern w:val="0"/>
                      <w:szCs w:val="21"/>
                    </w:rPr>
                    <w:t>.8</w:t>
                  </w:r>
                </w:p>
              </w:tc>
              <w:tc>
                <w:tcPr>
                  <w:tcW w:w="760" w:type="pct"/>
                  <w:tcBorders>
                    <w:right w:val="single" w:color="auto" w:sz="4" w:space="0"/>
                  </w:tcBorders>
                  <w:vAlign w:val="center"/>
                </w:tcPr>
                <w:p w14:paraId="09B6EFA8">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5</w:t>
                  </w:r>
                  <w:r>
                    <w:rPr>
                      <w:rFonts w:hint="eastAsia" w:ascii="Times New Roman" w:hAnsi="Times New Roman"/>
                      <w:color w:val="auto"/>
                      <w:kern w:val="0"/>
                      <w:szCs w:val="21"/>
                      <w:lang w:val="en-US" w:eastAsia="zh-CN"/>
                    </w:rPr>
                    <w:t>8</w:t>
                  </w:r>
                  <w:r>
                    <w:rPr>
                      <w:rFonts w:hint="eastAsia" w:ascii="Times New Roman" w:hAnsi="Times New Roman"/>
                      <w:color w:val="auto"/>
                      <w:kern w:val="0"/>
                      <w:szCs w:val="21"/>
                    </w:rPr>
                    <w:t>.2</w:t>
                  </w:r>
                </w:p>
              </w:tc>
            </w:tr>
            <w:tr w14:paraId="3C52F18A">
              <w:tblPrEx>
                <w:tblBorders>
                  <w:top w:val="single" w:color="auto" w:sz="4"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49" w:type="pct"/>
                  <w:vAlign w:val="center"/>
                </w:tcPr>
                <w:p w14:paraId="1E212180">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预测值(昼间)</w:t>
                  </w:r>
                </w:p>
              </w:tc>
              <w:tc>
                <w:tcPr>
                  <w:tcW w:w="874" w:type="pct"/>
                  <w:vAlign w:val="center"/>
                </w:tcPr>
                <w:p w14:paraId="0E68889F">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w:t>
                  </w:r>
                </w:p>
              </w:tc>
              <w:tc>
                <w:tcPr>
                  <w:tcW w:w="913" w:type="pct"/>
                  <w:vAlign w:val="center"/>
                </w:tcPr>
                <w:p w14:paraId="482D8772">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w:t>
                  </w:r>
                </w:p>
              </w:tc>
              <w:tc>
                <w:tcPr>
                  <w:tcW w:w="802" w:type="pct"/>
                  <w:vAlign w:val="center"/>
                </w:tcPr>
                <w:p w14:paraId="6D808064">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w:t>
                  </w:r>
                </w:p>
              </w:tc>
              <w:tc>
                <w:tcPr>
                  <w:tcW w:w="760" w:type="pct"/>
                  <w:tcBorders>
                    <w:right w:val="single" w:color="auto" w:sz="4" w:space="0"/>
                  </w:tcBorders>
                  <w:vAlign w:val="center"/>
                </w:tcPr>
                <w:p w14:paraId="1DBA8BAE">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w:t>
                  </w:r>
                </w:p>
              </w:tc>
            </w:tr>
            <w:tr w14:paraId="2DFC1269">
              <w:tblPrEx>
                <w:tblBorders>
                  <w:top w:val="single" w:color="auto" w:sz="4"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49" w:type="pct"/>
                  <w:vAlign w:val="center"/>
                </w:tcPr>
                <w:p w14:paraId="27DFAD0D">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评价标准(昼间)</w:t>
                  </w:r>
                </w:p>
              </w:tc>
              <w:tc>
                <w:tcPr>
                  <w:tcW w:w="874" w:type="pct"/>
                  <w:vAlign w:val="center"/>
                </w:tcPr>
                <w:p w14:paraId="45BB57BF">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65</w:t>
                  </w:r>
                </w:p>
              </w:tc>
              <w:tc>
                <w:tcPr>
                  <w:tcW w:w="913" w:type="pct"/>
                  <w:vAlign w:val="center"/>
                </w:tcPr>
                <w:p w14:paraId="2EDFFC80">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65</w:t>
                  </w:r>
                </w:p>
              </w:tc>
              <w:tc>
                <w:tcPr>
                  <w:tcW w:w="802" w:type="pct"/>
                  <w:vAlign w:val="center"/>
                </w:tcPr>
                <w:p w14:paraId="3E188AAD">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65</w:t>
                  </w:r>
                </w:p>
              </w:tc>
              <w:tc>
                <w:tcPr>
                  <w:tcW w:w="760" w:type="pct"/>
                  <w:tcBorders>
                    <w:right w:val="single" w:color="auto" w:sz="4" w:space="0"/>
                  </w:tcBorders>
                  <w:vAlign w:val="center"/>
                </w:tcPr>
                <w:p w14:paraId="77A9CBF7">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65</w:t>
                  </w:r>
                </w:p>
              </w:tc>
            </w:tr>
            <w:tr w14:paraId="53E0F3F0">
              <w:tblPrEx>
                <w:tblBorders>
                  <w:top w:val="single" w:color="auto" w:sz="4"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49" w:type="pct"/>
                  <w:vAlign w:val="center"/>
                </w:tcPr>
                <w:p w14:paraId="1E844307">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超标值(昼间)</w:t>
                  </w:r>
                </w:p>
              </w:tc>
              <w:tc>
                <w:tcPr>
                  <w:tcW w:w="874" w:type="pct"/>
                  <w:vAlign w:val="center"/>
                </w:tcPr>
                <w:p w14:paraId="1E8E35F2">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0</w:t>
                  </w:r>
                </w:p>
              </w:tc>
              <w:tc>
                <w:tcPr>
                  <w:tcW w:w="913" w:type="pct"/>
                  <w:vAlign w:val="center"/>
                </w:tcPr>
                <w:p w14:paraId="314ACD90">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0</w:t>
                  </w:r>
                </w:p>
              </w:tc>
              <w:tc>
                <w:tcPr>
                  <w:tcW w:w="802" w:type="pct"/>
                  <w:vAlign w:val="center"/>
                </w:tcPr>
                <w:p w14:paraId="6E7D5319">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0</w:t>
                  </w:r>
                </w:p>
              </w:tc>
              <w:tc>
                <w:tcPr>
                  <w:tcW w:w="760" w:type="pct"/>
                  <w:tcBorders>
                    <w:right w:val="single" w:color="auto" w:sz="4" w:space="0"/>
                  </w:tcBorders>
                  <w:vAlign w:val="center"/>
                </w:tcPr>
                <w:p w14:paraId="31D86704">
                  <w:pPr>
                    <w:pStyle w:val="195"/>
                    <w:snapToGrid w:val="0"/>
                    <w:jc w:val="center"/>
                    <w:rPr>
                      <w:rFonts w:ascii="Times New Roman" w:hAnsi="Times New Roman"/>
                      <w:color w:val="auto"/>
                      <w:kern w:val="0"/>
                      <w:szCs w:val="21"/>
                    </w:rPr>
                  </w:pPr>
                  <w:r>
                    <w:rPr>
                      <w:rFonts w:hint="eastAsia" w:ascii="Times New Roman" w:hAnsi="Times New Roman"/>
                      <w:color w:val="auto"/>
                      <w:kern w:val="0"/>
                      <w:szCs w:val="21"/>
                    </w:rPr>
                    <w:t>0</w:t>
                  </w:r>
                </w:p>
              </w:tc>
            </w:tr>
          </w:tbl>
          <w:p w14:paraId="715969F5">
            <w:pPr>
              <w:adjustRightInd w:val="0"/>
              <w:snapToGrid w:val="0"/>
              <w:spacing w:line="480" w:lineRule="exact"/>
              <w:ind w:firstLine="480" w:firstLineChars="200"/>
              <w:rPr>
                <w:color w:val="auto"/>
                <w:sz w:val="24"/>
              </w:rPr>
            </w:pPr>
            <w:r>
              <w:rPr>
                <w:color w:val="auto"/>
                <w:sz w:val="24"/>
              </w:rPr>
              <w:t>（5）达标分析</w:t>
            </w:r>
          </w:p>
          <w:p w14:paraId="4C6A9F6C">
            <w:pPr>
              <w:adjustRightInd w:val="0"/>
              <w:snapToGrid w:val="0"/>
              <w:spacing w:line="480" w:lineRule="exact"/>
              <w:ind w:firstLine="480" w:firstLineChars="200"/>
              <w:rPr>
                <w:color w:val="auto"/>
                <w:sz w:val="24"/>
              </w:rPr>
            </w:pPr>
            <w:r>
              <w:rPr>
                <w:color w:val="auto"/>
                <w:sz w:val="24"/>
              </w:rPr>
              <w:t>从以上预测结果看，在加强设备管理，生产时关闭车间门窗的前提下，生产噪声经墙体隔声和距离衰减后，昼</w:t>
            </w:r>
            <w:r>
              <w:rPr>
                <w:rFonts w:hint="eastAsia"/>
                <w:color w:val="auto"/>
                <w:sz w:val="24"/>
                <w:lang w:eastAsia="zh-CN"/>
              </w:rPr>
              <w:t>、夜间</w:t>
            </w:r>
            <w:r>
              <w:rPr>
                <w:color w:val="auto"/>
                <w:sz w:val="24"/>
              </w:rPr>
              <w:t>厂界噪声贡献值均能满足《工业企业厂界环境噪声排放标准》（GB12348-2008）中的3类标准要求，对周围环境影响不大。</w:t>
            </w:r>
          </w:p>
          <w:p w14:paraId="10ADD31F">
            <w:pPr>
              <w:adjustRightInd w:val="0"/>
              <w:snapToGrid w:val="0"/>
              <w:spacing w:line="480" w:lineRule="exact"/>
              <w:ind w:firstLine="480" w:firstLineChars="200"/>
              <w:rPr>
                <w:color w:val="auto"/>
                <w:sz w:val="24"/>
              </w:rPr>
            </w:pPr>
            <w:r>
              <w:rPr>
                <w:color w:val="auto"/>
                <w:sz w:val="24"/>
              </w:rPr>
              <w:t>（6）监测计划</w:t>
            </w:r>
          </w:p>
          <w:p w14:paraId="370C8AAD">
            <w:pPr>
              <w:adjustRightInd w:val="0"/>
              <w:snapToGrid w:val="0"/>
              <w:spacing w:line="480" w:lineRule="exact"/>
              <w:ind w:firstLine="480" w:firstLineChars="200"/>
              <w:rPr>
                <w:color w:val="auto"/>
                <w:sz w:val="24"/>
              </w:rPr>
            </w:pPr>
            <w:r>
              <w:rPr>
                <w:color w:val="auto"/>
                <w:sz w:val="24"/>
              </w:rPr>
              <w:t>结合项目情况、</w:t>
            </w:r>
            <w:r>
              <w:rPr>
                <w:rFonts w:hint="eastAsia"/>
                <w:color w:val="auto"/>
                <w:sz w:val="24"/>
              </w:rPr>
              <w:t>《排污单位自行监测技术指南 总则</w:t>
            </w:r>
            <w:r>
              <w:rPr>
                <w:rFonts w:hint="eastAsia" w:ascii="Times New Roman" w:hAnsi="Times New Roman" w:eastAsia="宋体" w:cs="Times New Roman"/>
                <w:color w:val="auto"/>
                <w:sz w:val="24"/>
              </w:rPr>
              <w:t xml:space="preserve">》（HJ819-2017）、《排污许可证申请与核发技术规范 </w:t>
            </w:r>
            <w:r>
              <w:rPr>
                <w:rFonts w:hint="eastAsia" w:ascii="Times New Roman" w:hAnsi="Times New Roman" w:eastAsia="宋体" w:cs="Times New Roman"/>
                <w:color w:val="auto"/>
                <w:sz w:val="24"/>
                <w:lang w:eastAsia="zh-CN"/>
              </w:rPr>
              <w:t>橡胶与塑料制品</w:t>
            </w:r>
            <w:r>
              <w:rPr>
                <w:rFonts w:hint="eastAsia" w:ascii="Times New Roman" w:hAnsi="Times New Roman" w:eastAsia="宋体" w:cs="Times New Roman"/>
                <w:color w:val="auto"/>
                <w:sz w:val="24"/>
              </w:rPr>
              <w:t>》（HJ1027-20</w:t>
            </w:r>
            <w:r>
              <w:rPr>
                <w:rFonts w:hint="eastAsia" w:ascii="Times New Roman" w:hAnsi="Times New Roman" w:eastAsia="宋体" w:cs="Times New Roman"/>
                <w:color w:val="auto"/>
                <w:sz w:val="24"/>
                <w:lang w:val="en-US" w:eastAsia="zh-CN"/>
              </w:rPr>
              <w:t>21</w:t>
            </w:r>
            <w:r>
              <w:rPr>
                <w:rFonts w:hint="eastAsia" w:ascii="Times New Roman" w:hAnsi="Times New Roman" w:eastAsia="宋体" w:cs="Times New Roman"/>
                <w:color w:val="auto"/>
                <w:sz w:val="24"/>
              </w:rPr>
              <w:t>），本项目噪声监测计划见下表4-2</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w:t>
            </w:r>
          </w:p>
          <w:p w14:paraId="67A168C3">
            <w:pPr>
              <w:pStyle w:val="115"/>
              <w:tabs>
                <w:tab w:val="left" w:pos="605"/>
              </w:tabs>
              <w:spacing w:beforeLines="50" w:line="240" w:lineRule="auto"/>
              <w:ind w:firstLine="482"/>
              <w:rPr>
                <w:rFonts w:eastAsia="宋体"/>
                <w:color w:val="auto"/>
                <w:szCs w:val="21"/>
              </w:rPr>
            </w:pPr>
            <w:r>
              <w:rPr>
                <w:rFonts w:hAnsi="宋体" w:eastAsia="宋体"/>
                <w:color w:val="auto"/>
                <w:szCs w:val="21"/>
              </w:rPr>
              <w:t>表</w:t>
            </w:r>
            <w:r>
              <w:rPr>
                <w:rFonts w:eastAsia="宋体"/>
                <w:color w:val="auto"/>
                <w:szCs w:val="21"/>
              </w:rPr>
              <w:t>4-</w:t>
            </w:r>
            <w:r>
              <w:rPr>
                <w:rFonts w:hint="eastAsia" w:eastAsia="宋体"/>
                <w:color w:val="auto"/>
                <w:szCs w:val="21"/>
              </w:rPr>
              <w:t>2</w:t>
            </w:r>
            <w:r>
              <w:rPr>
                <w:rFonts w:hint="eastAsia" w:eastAsia="宋体"/>
                <w:color w:val="auto"/>
                <w:szCs w:val="21"/>
                <w:lang w:val="en-US" w:eastAsia="zh-CN"/>
              </w:rPr>
              <w:t>4</w:t>
            </w:r>
            <w:r>
              <w:rPr>
                <w:rFonts w:hint="eastAsia" w:eastAsia="宋体"/>
                <w:color w:val="auto"/>
                <w:szCs w:val="21"/>
              </w:rPr>
              <w:t xml:space="preserve">  </w:t>
            </w:r>
            <w:r>
              <w:rPr>
                <w:rFonts w:hAnsi="宋体" w:eastAsia="宋体"/>
                <w:color w:val="auto"/>
                <w:szCs w:val="21"/>
              </w:rPr>
              <w:t>噪声监测计划</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1640"/>
              <w:gridCol w:w="1176"/>
              <w:gridCol w:w="4007"/>
            </w:tblGrid>
            <w:tr w14:paraId="6D20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901" w:type="dxa"/>
                  <w:vAlign w:val="center"/>
                </w:tcPr>
                <w:p w14:paraId="12C0CEF0">
                  <w:pPr>
                    <w:suppressAutoHyphens/>
                    <w:jc w:val="center"/>
                    <w:rPr>
                      <w:b/>
                      <w:snapToGrid w:val="0"/>
                      <w:color w:val="auto"/>
                      <w:kern w:val="0"/>
                      <w:szCs w:val="21"/>
                    </w:rPr>
                  </w:pPr>
                  <w:r>
                    <w:rPr>
                      <w:b/>
                      <w:snapToGrid w:val="0"/>
                      <w:color w:val="auto"/>
                      <w:kern w:val="0"/>
                      <w:szCs w:val="21"/>
                    </w:rPr>
                    <w:t>监测点位</w:t>
                  </w:r>
                </w:p>
              </w:tc>
              <w:tc>
                <w:tcPr>
                  <w:tcW w:w="1587" w:type="dxa"/>
                  <w:vAlign w:val="center"/>
                </w:tcPr>
                <w:p w14:paraId="666426CC">
                  <w:pPr>
                    <w:suppressAutoHyphens/>
                    <w:jc w:val="center"/>
                    <w:rPr>
                      <w:b/>
                      <w:snapToGrid w:val="0"/>
                      <w:color w:val="auto"/>
                      <w:kern w:val="0"/>
                      <w:szCs w:val="21"/>
                    </w:rPr>
                  </w:pPr>
                  <w:r>
                    <w:rPr>
                      <w:b/>
                      <w:snapToGrid w:val="0"/>
                      <w:color w:val="auto"/>
                      <w:kern w:val="0"/>
                      <w:szCs w:val="21"/>
                    </w:rPr>
                    <w:t>监测指标</w:t>
                  </w:r>
                </w:p>
              </w:tc>
              <w:tc>
                <w:tcPr>
                  <w:tcW w:w="1138" w:type="dxa"/>
                  <w:vAlign w:val="center"/>
                </w:tcPr>
                <w:p w14:paraId="6ACD66A6">
                  <w:pPr>
                    <w:suppressAutoHyphens/>
                    <w:jc w:val="center"/>
                    <w:rPr>
                      <w:b/>
                      <w:snapToGrid w:val="0"/>
                      <w:color w:val="auto"/>
                      <w:kern w:val="0"/>
                      <w:szCs w:val="21"/>
                    </w:rPr>
                  </w:pPr>
                  <w:r>
                    <w:rPr>
                      <w:b/>
                      <w:snapToGrid w:val="0"/>
                      <w:color w:val="auto"/>
                      <w:kern w:val="0"/>
                      <w:szCs w:val="21"/>
                    </w:rPr>
                    <w:t>监测频次</w:t>
                  </w:r>
                </w:p>
              </w:tc>
              <w:tc>
                <w:tcPr>
                  <w:tcW w:w="3878" w:type="dxa"/>
                  <w:vAlign w:val="center"/>
                </w:tcPr>
                <w:p w14:paraId="556E2822">
                  <w:pPr>
                    <w:suppressAutoHyphens/>
                    <w:jc w:val="center"/>
                    <w:rPr>
                      <w:b/>
                      <w:snapToGrid w:val="0"/>
                      <w:color w:val="auto"/>
                      <w:kern w:val="0"/>
                      <w:szCs w:val="21"/>
                    </w:rPr>
                  </w:pPr>
                  <w:r>
                    <w:rPr>
                      <w:b/>
                      <w:snapToGrid w:val="0"/>
                      <w:color w:val="auto"/>
                      <w:kern w:val="0"/>
                      <w:szCs w:val="21"/>
                    </w:rPr>
                    <w:t>执行排放标准</w:t>
                  </w:r>
                </w:p>
              </w:tc>
            </w:tr>
            <w:tr w14:paraId="2C53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1" w:type="dxa"/>
                  <w:vAlign w:val="center"/>
                </w:tcPr>
                <w:p w14:paraId="07B8FC90">
                  <w:pPr>
                    <w:suppressAutoHyphens/>
                    <w:jc w:val="center"/>
                    <w:rPr>
                      <w:snapToGrid w:val="0"/>
                      <w:color w:val="auto"/>
                      <w:kern w:val="0"/>
                      <w:szCs w:val="21"/>
                    </w:rPr>
                  </w:pPr>
                  <w:r>
                    <w:rPr>
                      <w:rFonts w:hint="eastAsia"/>
                      <w:snapToGrid w:val="0"/>
                      <w:color w:val="auto"/>
                      <w:kern w:val="0"/>
                      <w:szCs w:val="21"/>
                    </w:rPr>
                    <w:t>厂界四周</w:t>
                  </w:r>
                </w:p>
              </w:tc>
              <w:tc>
                <w:tcPr>
                  <w:tcW w:w="1587" w:type="dxa"/>
                  <w:vAlign w:val="center"/>
                </w:tcPr>
                <w:p w14:paraId="121A1B4F">
                  <w:pPr>
                    <w:suppressAutoHyphens/>
                    <w:jc w:val="center"/>
                    <w:rPr>
                      <w:snapToGrid w:val="0"/>
                      <w:color w:val="auto"/>
                      <w:kern w:val="0"/>
                      <w:szCs w:val="21"/>
                    </w:rPr>
                  </w:pPr>
                  <w:r>
                    <w:rPr>
                      <w:rFonts w:hint="eastAsia"/>
                      <w:snapToGrid w:val="0"/>
                      <w:color w:val="auto"/>
                      <w:kern w:val="0"/>
                      <w:szCs w:val="21"/>
                    </w:rPr>
                    <w:t>昼间Leq(A)</w:t>
                  </w:r>
                </w:p>
              </w:tc>
              <w:tc>
                <w:tcPr>
                  <w:tcW w:w="1138" w:type="dxa"/>
                  <w:vAlign w:val="center"/>
                </w:tcPr>
                <w:p w14:paraId="39F7D23A">
                  <w:pPr>
                    <w:suppressAutoHyphens/>
                    <w:jc w:val="center"/>
                    <w:rPr>
                      <w:snapToGrid w:val="0"/>
                      <w:color w:val="auto"/>
                      <w:kern w:val="0"/>
                      <w:szCs w:val="21"/>
                    </w:rPr>
                  </w:pPr>
                  <w:r>
                    <w:rPr>
                      <w:snapToGrid w:val="0"/>
                      <w:color w:val="auto"/>
                      <w:kern w:val="0"/>
                      <w:szCs w:val="21"/>
                    </w:rPr>
                    <w:t>1次/</w:t>
                  </w:r>
                  <w:r>
                    <w:rPr>
                      <w:rFonts w:hint="eastAsia"/>
                      <w:snapToGrid w:val="0"/>
                      <w:color w:val="auto"/>
                      <w:kern w:val="0"/>
                      <w:szCs w:val="21"/>
                    </w:rPr>
                    <w:t>季度</w:t>
                  </w:r>
                </w:p>
              </w:tc>
              <w:tc>
                <w:tcPr>
                  <w:tcW w:w="3878" w:type="dxa"/>
                  <w:vAlign w:val="center"/>
                </w:tcPr>
                <w:p w14:paraId="19232D30">
                  <w:pPr>
                    <w:suppressAutoHyphens/>
                    <w:jc w:val="center"/>
                    <w:rPr>
                      <w:snapToGrid w:val="0"/>
                      <w:color w:val="auto"/>
                      <w:kern w:val="0"/>
                      <w:szCs w:val="21"/>
                    </w:rPr>
                  </w:pPr>
                  <w:r>
                    <w:rPr>
                      <w:snapToGrid w:val="0"/>
                      <w:color w:val="auto"/>
                      <w:kern w:val="0"/>
                      <w:szCs w:val="21"/>
                    </w:rPr>
                    <w:t>《</w:t>
                  </w:r>
                  <w:r>
                    <w:rPr>
                      <w:rFonts w:hint="eastAsia"/>
                      <w:snapToGrid w:val="0"/>
                      <w:color w:val="auto"/>
                      <w:kern w:val="0"/>
                      <w:szCs w:val="21"/>
                    </w:rPr>
                    <w:t>工业企业厂界环境噪声排放标准</w:t>
                  </w:r>
                  <w:r>
                    <w:rPr>
                      <w:snapToGrid w:val="0"/>
                      <w:color w:val="auto"/>
                      <w:kern w:val="0"/>
                      <w:szCs w:val="21"/>
                    </w:rPr>
                    <w:t>》（</w:t>
                  </w:r>
                  <w:r>
                    <w:rPr>
                      <w:rFonts w:hint="eastAsia"/>
                      <w:snapToGrid w:val="0"/>
                      <w:color w:val="auto"/>
                      <w:kern w:val="0"/>
                      <w:szCs w:val="21"/>
                    </w:rPr>
                    <w:t>GB12348-2008</w:t>
                  </w:r>
                  <w:r>
                    <w:rPr>
                      <w:snapToGrid w:val="0"/>
                      <w:color w:val="auto"/>
                      <w:kern w:val="0"/>
                      <w:szCs w:val="21"/>
                    </w:rPr>
                    <w:t>）中的</w:t>
                  </w:r>
                  <w:r>
                    <w:rPr>
                      <w:rFonts w:hint="eastAsia"/>
                      <w:snapToGrid w:val="0"/>
                      <w:color w:val="auto"/>
                      <w:kern w:val="0"/>
                      <w:szCs w:val="21"/>
                    </w:rPr>
                    <w:t>3类标准</w:t>
                  </w:r>
                </w:p>
              </w:tc>
            </w:tr>
          </w:tbl>
          <w:p w14:paraId="5E26109F">
            <w:pPr>
              <w:spacing w:line="440" w:lineRule="exact"/>
              <w:rPr>
                <w:b/>
                <w:bCs/>
                <w:color w:val="auto"/>
                <w:spacing w:val="-10"/>
                <w:sz w:val="24"/>
              </w:rPr>
            </w:pPr>
            <w:r>
              <w:rPr>
                <w:b/>
                <w:bCs/>
                <w:color w:val="auto"/>
                <w:spacing w:val="-10"/>
                <w:sz w:val="24"/>
              </w:rPr>
              <w:t xml:space="preserve">4.4 </w:t>
            </w:r>
            <w:r>
              <w:rPr>
                <w:rFonts w:hAnsi="宋体"/>
                <w:b/>
                <w:bCs/>
                <w:color w:val="auto"/>
                <w:spacing w:val="-10"/>
                <w:sz w:val="24"/>
              </w:rPr>
              <w:t>固体废物</w:t>
            </w:r>
          </w:p>
          <w:p w14:paraId="17145AD7">
            <w:pPr>
              <w:pStyle w:val="80"/>
              <w:spacing w:line="420" w:lineRule="exact"/>
              <w:ind w:firstLine="0" w:firstLineChars="0"/>
              <w:rPr>
                <w:rFonts w:eastAsia="宋体"/>
                <w:b/>
                <w:color w:val="auto"/>
              </w:rPr>
            </w:pPr>
            <w:r>
              <w:rPr>
                <w:rFonts w:hAnsi="宋体" w:eastAsia="宋体"/>
                <w:b/>
                <w:color w:val="auto"/>
              </w:rPr>
              <w:t>（</w:t>
            </w:r>
            <w:r>
              <w:rPr>
                <w:rFonts w:eastAsia="宋体"/>
                <w:b/>
                <w:color w:val="auto"/>
              </w:rPr>
              <w:t>1</w:t>
            </w:r>
            <w:r>
              <w:rPr>
                <w:rFonts w:hAnsi="宋体" w:eastAsia="宋体"/>
                <w:b/>
                <w:color w:val="auto"/>
              </w:rPr>
              <w:t>）产生情况及处置去向</w:t>
            </w:r>
          </w:p>
          <w:p w14:paraId="6B4F618F">
            <w:pPr>
              <w:pStyle w:val="116"/>
              <w:spacing w:line="420" w:lineRule="exact"/>
              <w:ind w:firstLine="480"/>
              <w:jc w:val="left"/>
              <w:rPr>
                <w:rFonts w:eastAsia="宋体"/>
                <w:color w:val="auto"/>
              </w:rPr>
            </w:pPr>
            <w:r>
              <w:rPr>
                <w:rFonts w:eastAsia="宋体"/>
                <w:color w:val="auto"/>
              </w:rPr>
              <w:t>a</w:t>
            </w:r>
            <w:r>
              <w:rPr>
                <w:rFonts w:hAnsi="宋体" w:eastAsia="宋体"/>
                <w:color w:val="auto"/>
              </w:rPr>
              <w:t>、生活垃圾</w:t>
            </w:r>
          </w:p>
          <w:p w14:paraId="1DF8E942">
            <w:pPr>
              <w:pStyle w:val="116"/>
              <w:spacing w:line="420" w:lineRule="exact"/>
              <w:ind w:firstLine="480"/>
              <w:jc w:val="left"/>
              <w:rPr>
                <w:rFonts w:eastAsia="宋体"/>
                <w:color w:val="auto"/>
                <w:szCs w:val="24"/>
              </w:rPr>
            </w:pPr>
            <w:r>
              <w:rPr>
                <w:rFonts w:hAnsi="宋体" w:eastAsia="宋体"/>
                <w:color w:val="auto"/>
              </w:rPr>
              <w:t>本项目职工定职</w:t>
            </w:r>
            <w:r>
              <w:rPr>
                <w:rFonts w:hint="eastAsia" w:eastAsia="宋体"/>
                <w:color w:val="auto"/>
                <w:lang w:val="en-US" w:eastAsia="zh-CN"/>
              </w:rPr>
              <w:t>2</w:t>
            </w:r>
            <w:r>
              <w:rPr>
                <w:rFonts w:hint="eastAsia" w:eastAsia="宋体"/>
                <w:color w:val="auto"/>
              </w:rPr>
              <w:t>0</w:t>
            </w:r>
            <w:r>
              <w:rPr>
                <w:rFonts w:hAnsi="宋体" w:eastAsia="宋体"/>
                <w:color w:val="auto"/>
              </w:rPr>
              <w:t>人，年工作天数为</w:t>
            </w:r>
            <w:r>
              <w:rPr>
                <w:rFonts w:eastAsia="宋体"/>
                <w:color w:val="auto"/>
              </w:rPr>
              <w:t>300d</w:t>
            </w:r>
            <w:r>
              <w:rPr>
                <w:rFonts w:hAnsi="宋体" w:eastAsia="宋体"/>
                <w:color w:val="auto"/>
              </w:rPr>
              <w:t>，按职工每天产生生活垃圾</w:t>
            </w:r>
            <w:r>
              <w:rPr>
                <w:rFonts w:hint="eastAsia" w:eastAsia="宋体"/>
                <w:color w:val="auto"/>
              </w:rPr>
              <w:t>0.5k</w:t>
            </w:r>
            <w:r>
              <w:rPr>
                <w:rFonts w:eastAsia="宋体"/>
                <w:color w:val="auto"/>
              </w:rPr>
              <w:t>g</w:t>
            </w:r>
            <w:r>
              <w:rPr>
                <w:rFonts w:hAnsi="宋体" w:eastAsia="宋体"/>
                <w:color w:val="auto"/>
              </w:rPr>
              <w:t>计算，本项目生活垃圾产生量约为</w:t>
            </w:r>
            <w:r>
              <w:rPr>
                <w:rFonts w:hint="eastAsia" w:eastAsia="宋体"/>
                <w:color w:val="auto"/>
                <w:lang w:val="en-US" w:eastAsia="zh-CN"/>
              </w:rPr>
              <w:t>3.0</w:t>
            </w:r>
            <w:r>
              <w:rPr>
                <w:rFonts w:eastAsia="宋体"/>
                <w:color w:val="auto"/>
              </w:rPr>
              <w:t>t/a</w:t>
            </w:r>
            <w:r>
              <w:rPr>
                <w:rFonts w:hAnsi="宋体" w:eastAsia="宋体"/>
                <w:color w:val="auto"/>
              </w:rPr>
              <w:t>，</w:t>
            </w:r>
            <w:r>
              <w:rPr>
                <w:rFonts w:hAnsi="宋体" w:eastAsia="宋体"/>
                <w:color w:val="auto"/>
                <w:szCs w:val="24"/>
              </w:rPr>
              <w:t>收集后由当地环卫部门清运处置。</w:t>
            </w:r>
          </w:p>
          <w:p w14:paraId="67E01F0E">
            <w:pPr>
              <w:pStyle w:val="116"/>
              <w:spacing w:line="420" w:lineRule="exact"/>
              <w:ind w:firstLine="480"/>
              <w:jc w:val="left"/>
              <w:rPr>
                <w:rFonts w:eastAsia="宋体"/>
                <w:color w:val="auto"/>
              </w:rPr>
            </w:pPr>
            <w:r>
              <w:rPr>
                <w:rFonts w:eastAsia="宋体"/>
                <w:color w:val="auto"/>
              </w:rPr>
              <w:t>b</w:t>
            </w:r>
            <w:r>
              <w:rPr>
                <w:rFonts w:hAnsi="宋体" w:eastAsia="宋体"/>
                <w:color w:val="auto"/>
              </w:rPr>
              <w:t>、生产固废</w:t>
            </w:r>
          </w:p>
          <w:p w14:paraId="3CDFA6F6">
            <w:pPr>
              <w:spacing w:line="420" w:lineRule="exact"/>
              <w:ind w:firstLine="480" w:firstLineChars="200"/>
              <w:rPr>
                <w:color w:val="auto"/>
                <w:sz w:val="24"/>
              </w:rPr>
            </w:pPr>
            <w:r>
              <w:rPr>
                <w:rFonts w:hint="eastAsia"/>
                <w:color w:val="auto"/>
                <w:sz w:val="24"/>
              </w:rPr>
              <w:t>一般废弃包装材料：本项目各类原辅材料的包装材料，主要为编织袋及塑料袋等，</w:t>
            </w:r>
            <w:r>
              <w:rPr>
                <w:color w:val="auto"/>
                <w:sz w:val="24"/>
              </w:rPr>
              <w:t>根据建设单位提供的资料，产生量约为</w:t>
            </w:r>
            <w:r>
              <w:rPr>
                <w:rFonts w:hint="eastAsia"/>
                <w:color w:val="auto"/>
                <w:sz w:val="24"/>
              </w:rPr>
              <w:t>0.3</w:t>
            </w:r>
            <w:r>
              <w:rPr>
                <w:color w:val="auto"/>
                <w:sz w:val="24"/>
              </w:rPr>
              <w:t>t/a</w:t>
            </w:r>
            <w:r>
              <w:rPr>
                <w:rFonts w:hint="eastAsia"/>
                <w:color w:val="auto"/>
                <w:sz w:val="24"/>
              </w:rPr>
              <w:t>，</w:t>
            </w:r>
            <w:r>
              <w:rPr>
                <w:color w:val="auto"/>
                <w:sz w:val="24"/>
              </w:rPr>
              <w:t>收集</w:t>
            </w:r>
            <w:r>
              <w:rPr>
                <w:rFonts w:hint="eastAsia"/>
                <w:color w:val="auto"/>
                <w:sz w:val="24"/>
              </w:rPr>
              <w:t>后出售给物资回收公司。</w:t>
            </w:r>
          </w:p>
          <w:p w14:paraId="40B794B2">
            <w:pPr>
              <w:spacing w:line="420" w:lineRule="exact"/>
              <w:ind w:firstLine="480" w:firstLineChars="200"/>
              <w:rPr>
                <w:rFonts w:hint="eastAsia"/>
                <w:color w:val="auto"/>
                <w:sz w:val="24"/>
                <w:lang w:val="en-US" w:eastAsia="zh-CN"/>
              </w:rPr>
            </w:pPr>
            <w:r>
              <w:rPr>
                <w:rFonts w:hint="eastAsia"/>
                <w:color w:val="auto"/>
                <w:sz w:val="24"/>
                <w:lang w:val="en-US" w:eastAsia="zh-CN"/>
              </w:rPr>
              <w:t>塑料边角料及次品：本项目注塑和修剪过程产生塑料边角料及次品，根据业主提供的资料，其产生量约为原料使用的 5</w:t>
            </w:r>
            <w:r>
              <w:rPr>
                <w:rFonts w:hint="default"/>
                <w:color w:val="auto"/>
                <w:sz w:val="24"/>
                <w:lang w:val="en-US" w:eastAsia="zh-CN"/>
              </w:rPr>
              <w:t>%</w:t>
            </w:r>
            <w:r>
              <w:rPr>
                <w:rFonts w:hint="eastAsia"/>
                <w:color w:val="auto"/>
                <w:sz w:val="24"/>
                <w:lang w:val="en-US" w:eastAsia="zh-CN"/>
              </w:rPr>
              <w:t>，则产生量约为 20.2</w:t>
            </w:r>
            <w:r>
              <w:rPr>
                <w:rFonts w:hint="default"/>
                <w:color w:val="auto"/>
                <w:sz w:val="24"/>
                <w:lang w:val="en-US" w:eastAsia="zh-CN"/>
              </w:rPr>
              <w:t>t/a</w:t>
            </w:r>
            <w:r>
              <w:rPr>
                <w:rFonts w:hint="eastAsia"/>
                <w:color w:val="auto"/>
                <w:sz w:val="24"/>
                <w:lang w:val="en-US" w:eastAsia="zh-CN"/>
              </w:rPr>
              <w:t>，集中收集后经碎料后回用于生产，不排放；</w:t>
            </w:r>
          </w:p>
          <w:p w14:paraId="08EEAA47">
            <w:pPr>
              <w:spacing w:line="440" w:lineRule="exact"/>
              <w:ind w:firstLine="480" w:firstLineChars="200"/>
              <w:rPr>
                <w:rFonts w:hint="eastAsia"/>
                <w:lang w:eastAsia="zh-CN"/>
              </w:rPr>
            </w:pPr>
            <w:r>
              <w:rPr>
                <w:rFonts w:hint="eastAsia"/>
                <w:color w:val="auto"/>
                <w:sz w:val="24"/>
                <w:lang w:val="en-US" w:eastAsia="zh-CN"/>
              </w:rPr>
              <w:t>金属</w:t>
            </w:r>
            <w:r>
              <w:rPr>
                <w:rFonts w:hint="eastAsia"/>
                <w:color w:val="auto"/>
                <w:sz w:val="24"/>
              </w:rPr>
              <w:t>次品及</w:t>
            </w:r>
            <w:r>
              <w:rPr>
                <w:rFonts w:hint="eastAsia"/>
                <w:color w:val="auto"/>
                <w:sz w:val="24"/>
                <w:lang w:val="en-US" w:eastAsia="zh-CN"/>
              </w:rPr>
              <w:t>集尘灰</w:t>
            </w:r>
            <w:r>
              <w:rPr>
                <w:rFonts w:hint="eastAsia"/>
                <w:color w:val="auto"/>
                <w:sz w:val="24"/>
              </w:rPr>
              <w:t>：</w:t>
            </w:r>
            <w:r>
              <w:rPr>
                <w:bCs/>
                <w:color w:val="auto"/>
                <w:sz w:val="24"/>
              </w:rPr>
              <w:t>企业生产过程中</w:t>
            </w:r>
            <w:r>
              <w:rPr>
                <w:rFonts w:hint="eastAsia"/>
                <w:bCs/>
                <w:color w:val="auto"/>
                <w:sz w:val="24"/>
              </w:rPr>
              <w:t>会</w:t>
            </w:r>
            <w:r>
              <w:rPr>
                <w:bCs/>
                <w:color w:val="auto"/>
                <w:sz w:val="24"/>
              </w:rPr>
              <w:t>产生各类</w:t>
            </w:r>
            <w:r>
              <w:rPr>
                <w:rFonts w:hint="eastAsia"/>
                <w:bCs/>
                <w:color w:val="auto"/>
                <w:sz w:val="24"/>
                <w:lang w:eastAsia="zh-CN"/>
              </w:rPr>
              <w:t>金属</w:t>
            </w:r>
            <w:r>
              <w:rPr>
                <w:bCs/>
                <w:color w:val="auto"/>
                <w:sz w:val="24"/>
              </w:rPr>
              <w:t>边角料</w:t>
            </w:r>
            <w:r>
              <w:rPr>
                <w:rFonts w:hint="eastAsia"/>
                <w:bCs/>
                <w:color w:val="auto"/>
                <w:sz w:val="24"/>
              </w:rPr>
              <w:t>和次品</w:t>
            </w:r>
            <w:r>
              <w:rPr>
                <w:rFonts w:hint="eastAsia"/>
                <w:color w:val="auto"/>
                <w:sz w:val="24"/>
              </w:rPr>
              <w:t>，</w:t>
            </w:r>
            <w:r>
              <w:rPr>
                <w:color w:val="auto"/>
                <w:sz w:val="24"/>
              </w:rPr>
              <w:t>项目</w:t>
            </w:r>
            <w:r>
              <w:rPr>
                <w:rFonts w:hint="eastAsia"/>
                <w:color w:val="auto"/>
                <w:sz w:val="24"/>
                <w:lang w:eastAsia="zh-CN"/>
              </w:rPr>
              <w:t>金属</w:t>
            </w:r>
            <w:r>
              <w:rPr>
                <w:color w:val="auto"/>
                <w:sz w:val="24"/>
              </w:rPr>
              <w:t>边角料</w:t>
            </w:r>
            <w:r>
              <w:rPr>
                <w:rFonts w:hint="eastAsia"/>
                <w:color w:val="auto"/>
                <w:sz w:val="24"/>
              </w:rPr>
              <w:t>和次品</w:t>
            </w:r>
            <w:r>
              <w:rPr>
                <w:color w:val="auto"/>
                <w:sz w:val="24"/>
              </w:rPr>
              <w:t>产生量约为原料使用量的3</w:t>
            </w:r>
            <w:r>
              <w:rPr>
                <w:rFonts w:hint="eastAsia"/>
                <w:color w:val="auto"/>
                <w:sz w:val="24"/>
              </w:rPr>
              <w:t>%，即</w:t>
            </w:r>
            <w:r>
              <w:rPr>
                <w:color w:val="auto"/>
                <w:sz w:val="24"/>
              </w:rPr>
              <w:t>产生量约为</w:t>
            </w:r>
            <w:r>
              <w:rPr>
                <w:rFonts w:hint="eastAsia"/>
                <w:color w:val="auto"/>
                <w:sz w:val="24"/>
                <w:lang w:val="en-US" w:eastAsia="zh-CN"/>
              </w:rPr>
              <w:t>15</w:t>
            </w:r>
            <w:r>
              <w:rPr>
                <w:color w:val="auto"/>
                <w:sz w:val="24"/>
              </w:rPr>
              <w:t>t/a</w:t>
            </w:r>
            <w:r>
              <w:rPr>
                <w:rFonts w:hint="eastAsia"/>
                <w:color w:val="auto"/>
                <w:sz w:val="24"/>
              </w:rPr>
              <w:t>，</w:t>
            </w:r>
            <w:r>
              <w:rPr>
                <w:rFonts w:hint="eastAsia"/>
                <w:color w:val="auto"/>
                <w:sz w:val="24"/>
                <w:lang w:val="en-US" w:eastAsia="zh-CN"/>
              </w:rPr>
              <w:t>另外，根据工程分析，金属集尘灰约为0.403t/a，金属</w:t>
            </w:r>
            <w:r>
              <w:rPr>
                <w:rFonts w:hint="eastAsia"/>
                <w:color w:val="auto"/>
                <w:sz w:val="24"/>
              </w:rPr>
              <w:t>次品及</w:t>
            </w:r>
            <w:r>
              <w:rPr>
                <w:rFonts w:hint="eastAsia"/>
                <w:color w:val="auto"/>
                <w:sz w:val="24"/>
                <w:lang w:val="en-US" w:eastAsia="zh-CN"/>
              </w:rPr>
              <w:t>集尘灰合计约为15.403t/a，</w:t>
            </w:r>
            <w:r>
              <w:rPr>
                <w:rFonts w:hint="eastAsia"/>
                <w:color w:val="auto"/>
                <w:sz w:val="24"/>
              </w:rPr>
              <w:t>该部分固废集中收集后</w:t>
            </w:r>
            <w:r>
              <w:rPr>
                <w:rFonts w:hint="eastAsia"/>
                <w:color w:val="auto"/>
                <w:sz w:val="24"/>
                <w:lang w:val="en-US" w:eastAsia="zh-CN"/>
              </w:rPr>
              <w:t>出售给物资回收公司</w:t>
            </w:r>
            <w:r>
              <w:rPr>
                <w:rFonts w:hint="eastAsia"/>
                <w:color w:val="auto"/>
                <w:sz w:val="24"/>
              </w:rPr>
              <w:t>，不排放</w:t>
            </w:r>
            <w:r>
              <w:rPr>
                <w:rFonts w:hint="eastAsia"/>
                <w:color w:val="auto"/>
                <w:sz w:val="24"/>
                <w:lang w:eastAsia="zh-CN"/>
              </w:rPr>
              <w:t>；</w:t>
            </w:r>
          </w:p>
          <w:p w14:paraId="0B571B83">
            <w:pPr>
              <w:spacing w:line="420" w:lineRule="exact"/>
              <w:ind w:firstLine="480" w:firstLineChars="200"/>
              <w:rPr>
                <w:rFonts w:ascii="宋体" w:hAnsi="宋体" w:cs="宋体"/>
                <w:color w:val="auto"/>
                <w:sz w:val="24"/>
              </w:rPr>
            </w:pPr>
            <w:r>
              <w:rPr>
                <w:color w:val="auto"/>
                <w:sz w:val="24"/>
              </w:rPr>
              <w:t>废润滑油：项目产生的废润滑油包主要产生于设备维护、保养过程，损耗约50%，则废润</w:t>
            </w:r>
            <w:r>
              <w:rPr>
                <w:rFonts w:hint="eastAsia" w:ascii="宋体" w:hAnsi="宋体" w:cs="宋体"/>
                <w:color w:val="auto"/>
                <w:sz w:val="24"/>
              </w:rPr>
              <w:t>滑油产生量约为</w:t>
            </w:r>
            <w:r>
              <w:rPr>
                <w:rFonts w:hint="eastAsia"/>
                <w:snapToGrid w:val="0"/>
                <w:color w:val="auto"/>
                <w:kern w:val="0"/>
                <w:sz w:val="24"/>
              </w:rPr>
              <w:t>0.1t/a</w:t>
            </w:r>
            <w:r>
              <w:rPr>
                <w:rFonts w:hint="eastAsia" w:ascii="宋体" w:hAnsi="宋体" w:cs="宋体"/>
                <w:color w:val="auto"/>
                <w:sz w:val="24"/>
              </w:rPr>
              <w:t>。对照《国家危险废物名录（</w:t>
            </w:r>
            <w:r>
              <w:rPr>
                <w:rFonts w:hint="eastAsia"/>
                <w:snapToGrid w:val="0"/>
                <w:color w:val="auto"/>
                <w:kern w:val="0"/>
                <w:sz w:val="24"/>
              </w:rPr>
              <w:t>2021年版）》，废润滑油为HW08废矿物油与含矿物油废物（废物代码为900-217-08），</w:t>
            </w:r>
            <w:r>
              <w:rPr>
                <w:rFonts w:hint="eastAsia" w:ascii="宋体" w:hAnsi="宋体" w:cs="宋体"/>
                <w:color w:val="auto"/>
                <w:sz w:val="24"/>
              </w:rPr>
              <w:t>要求集中收集桶装后堆放于危废仓库内，并定期委托有危废资质单位进行安全处置</w:t>
            </w:r>
            <w:r>
              <w:rPr>
                <w:rFonts w:hint="eastAsia"/>
                <w:color w:val="auto"/>
                <w:sz w:val="24"/>
              </w:rPr>
              <w:t>；</w:t>
            </w:r>
          </w:p>
          <w:p w14:paraId="4D372FDB">
            <w:pPr>
              <w:pStyle w:val="2"/>
              <w:spacing w:line="420" w:lineRule="exact"/>
              <w:ind w:firstLine="480"/>
              <w:rPr>
                <w:color w:val="auto"/>
                <w:sz w:val="24"/>
              </w:rPr>
            </w:pPr>
            <w:r>
              <w:rPr>
                <w:rFonts w:hint="eastAsia"/>
                <w:color w:val="auto"/>
                <w:sz w:val="24"/>
              </w:rPr>
              <w:t>废油桶：</w:t>
            </w:r>
            <w:r>
              <w:rPr>
                <w:rFonts w:hint="eastAsia"/>
                <w:snapToGrid w:val="0"/>
                <w:color w:val="auto"/>
                <w:kern w:val="0"/>
                <w:sz w:val="24"/>
              </w:rPr>
              <w:t>本项目润滑油桶规格为200kg/桶，废润滑油桶产生量约为1只/年，单只空桶重量约为20kg，废润滑油桶的产生量约为0.02t/a。对照《国家危险废物名录（2021年版）》，废润滑油桶属于危险废物，其类别为HW08，危废代码为900-249-08，要求集中收集后委托有资质的单位进行处置</w:t>
            </w:r>
            <w:r>
              <w:rPr>
                <w:rFonts w:hint="eastAsia"/>
                <w:color w:val="auto"/>
                <w:sz w:val="24"/>
              </w:rPr>
              <w:t>；</w:t>
            </w:r>
          </w:p>
          <w:p w14:paraId="401C02A5">
            <w:pPr>
              <w:pStyle w:val="2"/>
              <w:spacing w:line="420" w:lineRule="exact"/>
              <w:ind w:firstLine="480"/>
              <w:rPr>
                <w:color w:val="auto"/>
                <w:sz w:val="24"/>
              </w:rPr>
            </w:pPr>
            <w:r>
              <w:rPr>
                <w:rFonts w:hint="eastAsia"/>
                <w:color w:val="auto"/>
                <w:sz w:val="24"/>
              </w:rPr>
              <w:t>废含油抹布、劳保用品：</w:t>
            </w:r>
            <w:r>
              <w:rPr>
                <w:color w:val="auto"/>
                <w:sz w:val="24"/>
              </w:rPr>
              <w:t>项目产生的</w:t>
            </w:r>
            <w:r>
              <w:rPr>
                <w:rFonts w:hint="eastAsia"/>
                <w:color w:val="auto"/>
                <w:sz w:val="24"/>
              </w:rPr>
              <w:t>废含油抹布、劳保用品</w:t>
            </w:r>
            <w:r>
              <w:rPr>
                <w:color w:val="auto"/>
                <w:sz w:val="24"/>
              </w:rPr>
              <w:t>主要产生于设备维护、保养过程，</w:t>
            </w:r>
            <w:r>
              <w:rPr>
                <w:rFonts w:hint="eastAsia"/>
                <w:color w:val="auto"/>
                <w:sz w:val="24"/>
              </w:rPr>
              <w:t>其产生量约为0.01t/a。对照《国家危险废物名录（2021年版）》，废润滑油为HW49其他废物（废物代码为900-041-49），要求集中收集袋装后堆放于危废仓库内，并定期委托有危废资质单位进行安全处置；</w:t>
            </w:r>
          </w:p>
          <w:p w14:paraId="4397C157">
            <w:pPr>
              <w:pStyle w:val="2"/>
              <w:spacing w:line="420" w:lineRule="exact"/>
              <w:ind w:firstLine="480"/>
              <w:rPr>
                <w:color w:val="auto"/>
                <w:sz w:val="24"/>
              </w:rPr>
            </w:pPr>
            <w:r>
              <w:rPr>
                <w:color w:val="auto"/>
                <w:sz w:val="24"/>
              </w:rPr>
              <w:t>废活性炭</w:t>
            </w:r>
            <w:r>
              <w:rPr>
                <w:rFonts w:hint="eastAsia"/>
                <w:color w:val="auto"/>
                <w:sz w:val="24"/>
              </w:rPr>
              <w:t>：项目</w:t>
            </w:r>
            <w:r>
              <w:rPr>
                <w:color w:val="auto"/>
                <w:sz w:val="24"/>
              </w:rPr>
              <w:t>使用</w:t>
            </w:r>
            <w:r>
              <w:rPr>
                <w:rFonts w:hint="eastAsia"/>
                <w:color w:val="auto"/>
                <w:sz w:val="24"/>
              </w:rPr>
              <w:t>1套</w:t>
            </w:r>
            <w:r>
              <w:rPr>
                <w:color w:val="auto"/>
                <w:sz w:val="24"/>
              </w:rPr>
              <w:t>活性炭吸附处理装置，设施运行过程由于活性炭吸附饱和后需对活性炭进行更换，因此会产生废活性炭。</w:t>
            </w:r>
            <w:r>
              <w:rPr>
                <w:rFonts w:hint="eastAsia"/>
                <w:color w:val="auto"/>
                <w:sz w:val="24"/>
              </w:rPr>
              <w:t>根据《吸附法工业有机废气治理工程技术规范》，要求更换的活性炭碘值在800以上，采用颗粒状活性炭的风速应不大于0.6米/秒，装填吸附剂后吸附处理装置的停留时间不小于1秒。</w:t>
            </w:r>
          </w:p>
          <w:p w14:paraId="2E517DBE">
            <w:pPr>
              <w:spacing w:line="420" w:lineRule="exact"/>
              <w:ind w:firstLine="480" w:firstLineChars="200"/>
              <w:rPr>
                <w:bCs/>
                <w:color w:val="auto"/>
                <w:sz w:val="24"/>
              </w:rPr>
            </w:pPr>
            <w:r>
              <w:rPr>
                <w:rFonts w:hint="eastAsia"/>
                <w:bCs/>
                <w:color w:val="auto"/>
                <w:sz w:val="24"/>
              </w:rPr>
              <w:t>参考《浙江省分散吸附</w:t>
            </w:r>
            <w:r>
              <w:rPr>
                <w:bCs/>
                <w:color w:val="auto"/>
                <w:sz w:val="24"/>
              </w:rPr>
              <w:t>-</w:t>
            </w:r>
            <w:r>
              <w:rPr>
                <w:rFonts w:hint="eastAsia"/>
                <w:bCs/>
                <w:color w:val="auto"/>
                <w:sz w:val="24"/>
              </w:rPr>
              <w:t>集中再生活性炭法挥发性有机物治理体系建设技术指南（试行）》相关要求，具体见下表。</w:t>
            </w:r>
          </w:p>
          <w:p w14:paraId="4E843894">
            <w:pPr>
              <w:pStyle w:val="118"/>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Ansi="宋体" w:eastAsia="宋体"/>
                <w:b/>
                <w:color w:val="auto"/>
                <w:sz w:val="21"/>
                <w:szCs w:val="22"/>
              </w:rPr>
            </w:pPr>
            <w:r>
              <w:rPr>
                <w:rFonts w:hint="eastAsia" w:hAnsi="宋体" w:eastAsia="宋体"/>
                <w:b/>
                <w:color w:val="auto"/>
                <w:sz w:val="21"/>
                <w:szCs w:val="22"/>
              </w:rPr>
              <w:t>表4-2</w:t>
            </w:r>
            <w:r>
              <w:rPr>
                <w:rFonts w:hint="eastAsia" w:hAnsi="宋体" w:eastAsia="宋体"/>
                <w:b/>
                <w:color w:val="auto"/>
                <w:sz w:val="21"/>
                <w:szCs w:val="22"/>
                <w:lang w:val="en-US" w:eastAsia="zh-CN"/>
              </w:rPr>
              <w:t>5</w:t>
            </w:r>
            <w:r>
              <w:rPr>
                <w:rFonts w:hint="eastAsia" w:hAnsi="宋体" w:eastAsia="宋体"/>
                <w:b/>
                <w:color w:val="auto"/>
                <w:sz w:val="21"/>
                <w:szCs w:val="22"/>
              </w:rPr>
              <w:t xml:space="preserve">  废气风量与最少活性炭填装量原则性对照表</w:t>
            </w:r>
          </w:p>
          <w:tbl>
            <w:tblPr>
              <w:tblStyle w:val="38"/>
              <w:tblW w:w="8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850"/>
              <w:gridCol w:w="2485"/>
              <w:gridCol w:w="2626"/>
            </w:tblGrid>
            <w:tr w14:paraId="147E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721D81C2">
                  <w:pPr>
                    <w:pStyle w:val="118"/>
                    <w:spacing w:line="240" w:lineRule="auto"/>
                    <w:ind w:firstLine="0" w:firstLineChars="0"/>
                    <w:jc w:val="center"/>
                    <w:rPr>
                      <w:rFonts w:eastAsia="宋体"/>
                      <w:b/>
                      <w:color w:val="auto"/>
                      <w:sz w:val="21"/>
                      <w:szCs w:val="21"/>
                    </w:rPr>
                  </w:pPr>
                  <w:r>
                    <w:rPr>
                      <w:rFonts w:eastAsia="宋体"/>
                      <w:b/>
                      <w:color w:val="auto"/>
                      <w:sz w:val="21"/>
                      <w:szCs w:val="21"/>
                    </w:rPr>
                    <w:t>序号</w:t>
                  </w:r>
                </w:p>
              </w:tc>
              <w:tc>
                <w:tcPr>
                  <w:tcW w:w="2850" w:type="dxa"/>
                  <w:vAlign w:val="center"/>
                </w:tcPr>
                <w:p w14:paraId="3C877C95">
                  <w:pPr>
                    <w:pStyle w:val="118"/>
                    <w:spacing w:line="240" w:lineRule="auto"/>
                    <w:ind w:firstLine="0" w:firstLineChars="0"/>
                    <w:jc w:val="center"/>
                    <w:rPr>
                      <w:rFonts w:eastAsia="宋体"/>
                      <w:b/>
                      <w:color w:val="auto"/>
                      <w:sz w:val="21"/>
                      <w:szCs w:val="21"/>
                    </w:rPr>
                  </w:pPr>
                  <w:r>
                    <w:rPr>
                      <w:rFonts w:hint="eastAsia" w:eastAsia="宋体"/>
                      <w:b/>
                      <w:color w:val="auto"/>
                      <w:sz w:val="21"/>
                      <w:szCs w:val="21"/>
                    </w:rPr>
                    <w:t>风量（Q）范围</w:t>
                  </w:r>
                </w:p>
                <w:p w14:paraId="69D5BFE3">
                  <w:pPr>
                    <w:pStyle w:val="118"/>
                    <w:spacing w:line="240" w:lineRule="auto"/>
                    <w:ind w:firstLine="0" w:firstLineChars="0"/>
                    <w:jc w:val="center"/>
                    <w:rPr>
                      <w:rFonts w:eastAsia="宋体"/>
                      <w:b/>
                      <w:color w:val="auto"/>
                      <w:sz w:val="21"/>
                      <w:szCs w:val="21"/>
                    </w:rPr>
                  </w:pPr>
                  <w:r>
                    <w:rPr>
                      <w:rFonts w:hint="eastAsia" w:eastAsia="宋体"/>
                      <w:b/>
                      <w:color w:val="auto"/>
                      <w:sz w:val="21"/>
                      <w:szCs w:val="21"/>
                    </w:rPr>
                    <w:t>Nm</w:t>
                  </w:r>
                  <w:r>
                    <w:rPr>
                      <w:rFonts w:hint="eastAsia" w:eastAsia="宋体"/>
                      <w:b/>
                      <w:color w:val="auto"/>
                      <w:sz w:val="21"/>
                      <w:szCs w:val="21"/>
                      <w:vertAlign w:val="superscript"/>
                    </w:rPr>
                    <w:t>3</w:t>
                  </w:r>
                  <w:r>
                    <w:rPr>
                      <w:rFonts w:hint="eastAsia" w:eastAsia="宋体"/>
                      <w:b/>
                      <w:color w:val="auto"/>
                      <w:sz w:val="21"/>
                      <w:szCs w:val="21"/>
                    </w:rPr>
                    <w:t>/h</w:t>
                  </w:r>
                </w:p>
              </w:tc>
              <w:tc>
                <w:tcPr>
                  <w:tcW w:w="2485" w:type="dxa"/>
                  <w:vAlign w:val="center"/>
                </w:tcPr>
                <w:p w14:paraId="6E7A2BC0">
                  <w:pPr>
                    <w:pStyle w:val="118"/>
                    <w:spacing w:line="240" w:lineRule="auto"/>
                    <w:ind w:firstLine="0" w:firstLineChars="0"/>
                    <w:jc w:val="center"/>
                    <w:rPr>
                      <w:rFonts w:eastAsia="宋体"/>
                      <w:b/>
                      <w:color w:val="auto"/>
                      <w:sz w:val="21"/>
                      <w:szCs w:val="21"/>
                    </w:rPr>
                  </w:pPr>
                  <w:r>
                    <w:rPr>
                      <w:rFonts w:hint="eastAsia" w:eastAsia="宋体"/>
                      <w:b/>
                      <w:color w:val="auto"/>
                      <w:sz w:val="21"/>
                      <w:szCs w:val="21"/>
                    </w:rPr>
                    <w:t>TVOC初始浓度范围</w:t>
                  </w:r>
                </w:p>
                <w:p w14:paraId="6B2216C1">
                  <w:pPr>
                    <w:pStyle w:val="118"/>
                    <w:spacing w:line="240" w:lineRule="auto"/>
                    <w:ind w:firstLine="0" w:firstLineChars="0"/>
                    <w:jc w:val="center"/>
                    <w:rPr>
                      <w:rFonts w:eastAsia="宋体"/>
                      <w:b/>
                      <w:color w:val="auto"/>
                      <w:sz w:val="21"/>
                      <w:szCs w:val="21"/>
                    </w:rPr>
                  </w:pPr>
                  <w:r>
                    <w:rPr>
                      <w:rFonts w:hint="eastAsia" w:eastAsia="宋体"/>
                      <w:b/>
                      <w:color w:val="auto"/>
                      <w:sz w:val="21"/>
                      <w:szCs w:val="21"/>
                    </w:rPr>
                    <w:t>Nm</w:t>
                  </w:r>
                  <w:r>
                    <w:rPr>
                      <w:rFonts w:hint="eastAsia" w:eastAsia="宋体"/>
                      <w:b/>
                      <w:color w:val="auto"/>
                      <w:sz w:val="21"/>
                      <w:szCs w:val="21"/>
                      <w:vertAlign w:val="superscript"/>
                    </w:rPr>
                    <w:t>3</w:t>
                  </w:r>
                  <w:r>
                    <w:rPr>
                      <w:rFonts w:hint="eastAsia" w:eastAsia="宋体"/>
                      <w:b/>
                      <w:color w:val="auto"/>
                      <w:sz w:val="21"/>
                      <w:szCs w:val="21"/>
                    </w:rPr>
                    <w:t>/h</w:t>
                  </w:r>
                </w:p>
              </w:tc>
              <w:tc>
                <w:tcPr>
                  <w:tcW w:w="2626" w:type="dxa"/>
                  <w:vAlign w:val="center"/>
                </w:tcPr>
                <w:p w14:paraId="14D221F9">
                  <w:pPr>
                    <w:pStyle w:val="118"/>
                    <w:spacing w:line="240" w:lineRule="auto"/>
                    <w:ind w:firstLine="0" w:firstLineChars="0"/>
                    <w:jc w:val="center"/>
                    <w:rPr>
                      <w:rFonts w:eastAsia="宋体"/>
                      <w:b/>
                      <w:color w:val="auto"/>
                      <w:sz w:val="21"/>
                      <w:szCs w:val="21"/>
                    </w:rPr>
                  </w:pPr>
                  <w:r>
                    <w:rPr>
                      <w:rFonts w:hint="eastAsia" w:eastAsia="宋体"/>
                      <w:b/>
                      <w:color w:val="auto"/>
                      <w:sz w:val="21"/>
                      <w:szCs w:val="21"/>
                    </w:rPr>
                    <w:t>活性炭最少填装量（按500小时使用时间计）/t</w:t>
                  </w:r>
                </w:p>
              </w:tc>
            </w:tr>
            <w:tr w14:paraId="7EC6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26C53E16">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1</w:t>
                  </w:r>
                </w:p>
              </w:tc>
              <w:tc>
                <w:tcPr>
                  <w:tcW w:w="2850" w:type="dxa"/>
                  <w:vMerge w:val="restart"/>
                  <w:vAlign w:val="center"/>
                </w:tcPr>
                <w:p w14:paraId="5C147383">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Q＜5000</w:t>
                  </w:r>
                </w:p>
              </w:tc>
              <w:tc>
                <w:tcPr>
                  <w:tcW w:w="2485" w:type="dxa"/>
                  <w:vAlign w:val="center"/>
                </w:tcPr>
                <w:p w14:paraId="588A2148">
                  <w:pPr>
                    <w:widowControl/>
                    <w:jc w:val="center"/>
                    <w:rPr>
                      <w:bCs/>
                      <w:color w:val="auto"/>
                      <w:szCs w:val="21"/>
                    </w:rPr>
                  </w:pPr>
                  <w:r>
                    <w:rPr>
                      <w:rFonts w:hint="eastAsia"/>
                      <w:bCs/>
                      <w:color w:val="auto"/>
                      <w:szCs w:val="21"/>
                    </w:rPr>
                    <w:t>0</w:t>
                  </w:r>
                  <w:r>
                    <w:rPr>
                      <w:color w:val="auto"/>
                      <w:kern w:val="0"/>
                      <w:sz w:val="20"/>
                      <w:szCs w:val="20"/>
                    </w:rPr>
                    <w:t>~</w:t>
                  </w:r>
                  <w:r>
                    <w:rPr>
                      <w:rFonts w:hint="eastAsia"/>
                      <w:bCs/>
                      <w:color w:val="auto"/>
                      <w:szCs w:val="21"/>
                    </w:rPr>
                    <w:t>200</w:t>
                  </w:r>
                </w:p>
              </w:tc>
              <w:tc>
                <w:tcPr>
                  <w:tcW w:w="2626" w:type="dxa"/>
                  <w:vAlign w:val="center"/>
                </w:tcPr>
                <w:p w14:paraId="026D7778">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0.5</w:t>
                  </w:r>
                </w:p>
              </w:tc>
            </w:tr>
            <w:tr w14:paraId="360C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63E79EB3">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2</w:t>
                  </w:r>
                </w:p>
              </w:tc>
              <w:tc>
                <w:tcPr>
                  <w:tcW w:w="2850" w:type="dxa"/>
                  <w:vMerge w:val="continue"/>
                  <w:vAlign w:val="center"/>
                </w:tcPr>
                <w:p w14:paraId="0B1B53BE">
                  <w:pPr>
                    <w:pStyle w:val="118"/>
                    <w:spacing w:line="240" w:lineRule="auto"/>
                    <w:ind w:firstLine="0" w:firstLineChars="0"/>
                    <w:jc w:val="center"/>
                    <w:rPr>
                      <w:rFonts w:eastAsia="宋体"/>
                      <w:bCs/>
                      <w:color w:val="auto"/>
                      <w:sz w:val="21"/>
                      <w:szCs w:val="21"/>
                    </w:rPr>
                  </w:pPr>
                </w:p>
              </w:tc>
              <w:tc>
                <w:tcPr>
                  <w:tcW w:w="2485" w:type="dxa"/>
                  <w:vAlign w:val="center"/>
                </w:tcPr>
                <w:p w14:paraId="3E59F7B9">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200</w:t>
                  </w:r>
                  <w:r>
                    <w:rPr>
                      <w:rFonts w:eastAsia="宋体"/>
                      <w:color w:val="auto"/>
                      <w:sz w:val="20"/>
                    </w:rPr>
                    <w:t>~</w:t>
                  </w:r>
                  <w:r>
                    <w:rPr>
                      <w:rFonts w:hint="eastAsia" w:eastAsia="宋体"/>
                      <w:bCs/>
                      <w:color w:val="auto"/>
                      <w:sz w:val="21"/>
                      <w:szCs w:val="21"/>
                    </w:rPr>
                    <w:t>300</w:t>
                  </w:r>
                </w:p>
              </w:tc>
              <w:tc>
                <w:tcPr>
                  <w:tcW w:w="2626" w:type="dxa"/>
                  <w:vAlign w:val="center"/>
                </w:tcPr>
                <w:p w14:paraId="5261D9D9">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2</w:t>
                  </w:r>
                </w:p>
              </w:tc>
            </w:tr>
            <w:tr w14:paraId="2E45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38638290">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3</w:t>
                  </w:r>
                </w:p>
              </w:tc>
              <w:tc>
                <w:tcPr>
                  <w:tcW w:w="2850" w:type="dxa"/>
                  <w:vMerge w:val="continue"/>
                  <w:vAlign w:val="center"/>
                </w:tcPr>
                <w:p w14:paraId="2D8E58BA">
                  <w:pPr>
                    <w:pStyle w:val="118"/>
                    <w:spacing w:line="240" w:lineRule="auto"/>
                    <w:ind w:firstLine="0" w:firstLineChars="0"/>
                    <w:jc w:val="center"/>
                    <w:rPr>
                      <w:rFonts w:eastAsia="宋体"/>
                      <w:bCs/>
                      <w:color w:val="auto"/>
                      <w:sz w:val="21"/>
                      <w:szCs w:val="21"/>
                    </w:rPr>
                  </w:pPr>
                </w:p>
              </w:tc>
              <w:tc>
                <w:tcPr>
                  <w:tcW w:w="2485" w:type="dxa"/>
                  <w:vAlign w:val="center"/>
                </w:tcPr>
                <w:p w14:paraId="074CD4A1">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300</w:t>
                  </w:r>
                  <w:r>
                    <w:rPr>
                      <w:rFonts w:eastAsia="宋体"/>
                      <w:color w:val="auto"/>
                      <w:sz w:val="20"/>
                    </w:rPr>
                    <w:t>~</w:t>
                  </w:r>
                  <w:r>
                    <w:rPr>
                      <w:rFonts w:hint="eastAsia" w:eastAsia="宋体"/>
                      <w:bCs/>
                      <w:color w:val="auto"/>
                      <w:sz w:val="21"/>
                      <w:szCs w:val="21"/>
                    </w:rPr>
                    <w:t>400</w:t>
                  </w:r>
                </w:p>
              </w:tc>
              <w:tc>
                <w:tcPr>
                  <w:tcW w:w="2626" w:type="dxa"/>
                  <w:vAlign w:val="center"/>
                </w:tcPr>
                <w:p w14:paraId="3A4CB759">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3</w:t>
                  </w:r>
                </w:p>
              </w:tc>
            </w:tr>
            <w:tr w14:paraId="7EBB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31BD35C6">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4</w:t>
                  </w:r>
                </w:p>
              </w:tc>
              <w:tc>
                <w:tcPr>
                  <w:tcW w:w="2850" w:type="dxa"/>
                  <w:vMerge w:val="continue"/>
                  <w:vAlign w:val="center"/>
                </w:tcPr>
                <w:p w14:paraId="7E0B6776">
                  <w:pPr>
                    <w:pStyle w:val="118"/>
                    <w:spacing w:line="240" w:lineRule="auto"/>
                    <w:ind w:firstLine="0" w:firstLineChars="0"/>
                    <w:jc w:val="center"/>
                    <w:rPr>
                      <w:rFonts w:eastAsia="宋体"/>
                      <w:bCs/>
                      <w:color w:val="auto"/>
                      <w:sz w:val="21"/>
                      <w:szCs w:val="21"/>
                    </w:rPr>
                  </w:pPr>
                </w:p>
              </w:tc>
              <w:tc>
                <w:tcPr>
                  <w:tcW w:w="2485" w:type="dxa"/>
                  <w:vAlign w:val="center"/>
                </w:tcPr>
                <w:p w14:paraId="1ACB6211">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400</w:t>
                  </w:r>
                  <w:r>
                    <w:rPr>
                      <w:rFonts w:eastAsia="宋体"/>
                      <w:color w:val="auto"/>
                      <w:sz w:val="20"/>
                    </w:rPr>
                    <w:t>~</w:t>
                  </w:r>
                  <w:r>
                    <w:rPr>
                      <w:rFonts w:hint="eastAsia" w:eastAsia="宋体"/>
                      <w:bCs/>
                      <w:color w:val="auto"/>
                      <w:sz w:val="21"/>
                      <w:szCs w:val="21"/>
                    </w:rPr>
                    <w:t>500</w:t>
                  </w:r>
                </w:p>
              </w:tc>
              <w:tc>
                <w:tcPr>
                  <w:tcW w:w="2626" w:type="dxa"/>
                  <w:vAlign w:val="center"/>
                </w:tcPr>
                <w:p w14:paraId="7C137642">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4</w:t>
                  </w:r>
                </w:p>
              </w:tc>
            </w:tr>
            <w:tr w14:paraId="49B7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7A3FF360">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5</w:t>
                  </w:r>
                </w:p>
              </w:tc>
              <w:tc>
                <w:tcPr>
                  <w:tcW w:w="2850" w:type="dxa"/>
                  <w:vMerge w:val="restart"/>
                  <w:vAlign w:val="center"/>
                </w:tcPr>
                <w:p w14:paraId="1B0A8E36">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5000≤Q＜10000</w:t>
                  </w:r>
                </w:p>
              </w:tc>
              <w:tc>
                <w:tcPr>
                  <w:tcW w:w="2485" w:type="dxa"/>
                  <w:vAlign w:val="center"/>
                </w:tcPr>
                <w:p w14:paraId="5D9F2FFF">
                  <w:pPr>
                    <w:widowControl/>
                    <w:jc w:val="center"/>
                    <w:rPr>
                      <w:bCs/>
                      <w:color w:val="auto"/>
                      <w:szCs w:val="21"/>
                    </w:rPr>
                  </w:pPr>
                  <w:r>
                    <w:rPr>
                      <w:rFonts w:hint="eastAsia"/>
                      <w:bCs/>
                      <w:color w:val="auto"/>
                      <w:szCs w:val="21"/>
                    </w:rPr>
                    <w:t>0</w:t>
                  </w:r>
                  <w:r>
                    <w:rPr>
                      <w:color w:val="auto"/>
                      <w:kern w:val="0"/>
                      <w:sz w:val="20"/>
                      <w:szCs w:val="20"/>
                    </w:rPr>
                    <w:t>~</w:t>
                  </w:r>
                  <w:r>
                    <w:rPr>
                      <w:rFonts w:hint="eastAsia"/>
                      <w:bCs/>
                      <w:color w:val="auto"/>
                      <w:szCs w:val="21"/>
                    </w:rPr>
                    <w:t>200</w:t>
                  </w:r>
                </w:p>
              </w:tc>
              <w:tc>
                <w:tcPr>
                  <w:tcW w:w="2626" w:type="dxa"/>
                  <w:vAlign w:val="center"/>
                </w:tcPr>
                <w:p w14:paraId="6E3C6EA5">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1</w:t>
                  </w:r>
                </w:p>
              </w:tc>
            </w:tr>
            <w:tr w14:paraId="08C5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035033B7">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6</w:t>
                  </w:r>
                </w:p>
              </w:tc>
              <w:tc>
                <w:tcPr>
                  <w:tcW w:w="2850" w:type="dxa"/>
                  <w:vMerge w:val="continue"/>
                  <w:vAlign w:val="center"/>
                </w:tcPr>
                <w:p w14:paraId="3EEB121E">
                  <w:pPr>
                    <w:pStyle w:val="118"/>
                    <w:spacing w:line="240" w:lineRule="auto"/>
                    <w:ind w:firstLine="0" w:firstLineChars="0"/>
                    <w:jc w:val="center"/>
                    <w:rPr>
                      <w:rFonts w:eastAsia="宋体"/>
                      <w:bCs/>
                      <w:color w:val="auto"/>
                      <w:sz w:val="21"/>
                      <w:szCs w:val="21"/>
                    </w:rPr>
                  </w:pPr>
                </w:p>
              </w:tc>
              <w:tc>
                <w:tcPr>
                  <w:tcW w:w="2485" w:type="dxa"/>
                  <w:vAlign w:val="center"/>
                </w:tcPr>
                <w:p w14:paraId="7F728DB3">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200</w:t>
                  </w:r>
                  <w:r>
                    <w:rPr>
                      <w:rFonts w:eastAsia="宋体"/>
                      <w:color w:val="auto"/>
                      <w:sz w:val="20"/>
                    </w:rPr>
                    <w:t>~</w:t>
                  </w:r>
                  <w:r>
                    <w:rPr>
                      <w:rFonts w:hint="eastAsia" w:eastAsia="宋体"/>
                      <w:bCs/>
                      <w:color w:val="auto"/>
                      <w:sz w:val="21"/>
                      <w:szCs w:val="21"/>
                    </w:rPr>
                    <w:t>300</w:t>
                  </w:r>
                </w:p>
              </w:tc>
              <w:tc>
                <w:tcPr>
                  <w:tcW w:w="2626" w:type="dxa"/>
                  <w:vAlign w:val="center"/>
                </w:tcPr>
                <w:p w14:paraId="77BFE712">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3</w:t>
                  </w:r>
                </w:p>
              </w:tc>
            </w:tr>
            <w:tr w14:paraId="56EB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1EA9358C">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7</w:t>
                  </w:r>
                </w:p>
              </w:tc>
              <w:tc>
                <w:tcPr>
                  <w:tcW w:w="2850" w:type="dxa"/>
                  <w:vMerge w:val="continue"/>
                  <w:vAlign w:val="center"/>
                </w:tcPr>
                <w:p w14:paraId="5158BE6A">
                  <w:pPr>
                    <w:pStyle w:val="118"/>
                    <w:spacing w:line="240" w:lineRule="auto"/>
                    <w:ind w:firstLine="0" w:firstLineChars="0"/>
                    <w:jc w:val="center"/>
                    <w:rPr>
                      <w:rFonts w:eastAsia="宋体"/>
                      <w:bCs/>
                      <w:color w:val="auto"/>
                      <w:sz w:val="21"/>
                      <w:szCs w:val="21"/>
                    </w:rPr>
                  </w:pPr>
                </w:p>
              </w:tc>
              <w:tc>
                <w:tcPr>
                  <w:tcW w:w="2485" w:type="dxa"/>
                  <w:vAlign w:val="center"/>
                </w:tcPr>
                <w:p w14:paraId="209E6346">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300</w:t>
                  </w:r>
                  <w:r>
                    <w:rPr>
                      <w:rFonts w:eastAsia="宋体"/>
                      <w:color w:val="auto"/>
                      <w:sz w:val="20"/>
                    </w:rPr>
                    <w:t>~</w:t>
                  </w:r>
                  <w:r>
                    <w:rPr>
                      <w:rFonts w:hint="eastAsia" w:eastAsia="宋体"/>
                      <w:bCs/>
                      <w:color w:val="auto"/>
                      <w:sz w:val="21"/>
                      <w:szCs w:val="21"/>
                    </w:rPr>
                    <w:t>400</w:t>
                  </w:r>
                </w:p>
              </w:tc>
              <w:tc>
                <w:tcPr>
                  <w:tcW w:w="2626" w:type="dxa"/>
                  <w:vAlign w:val="center"/>
                </w:tcPr>
                <w:p w14:paraId="391BCA47">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5</w:t>
                  </w:r>
                </w:p>
              </w:tc>
            </w:tr>
            <w:tr w14:paraId="166D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7602830C">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8</w:t>
                  </w:r>
                </w:p>
              </w:tc>
              <w:tc>
                <w:tcPr>
                  <w:tcW w:w="2850" w:type="dxa"/>
                  <w:vMerge w:val="continue"/>
                  <w:vAlign w:val="center"/>
                </w:tcPr>
                <w:p w14:paraId="5458A897">
                  <w:pPr>
                    <w:pStyle w:val="118"/>
                    <w:spacing w:line="240" w:lineRule="auto"/>
                    <w:ind w:firstLine="0" w:firstLineChars="0"/>
                    <w:jc w:val="center"/>
                    <w:rPr>
                      <w:rFonts w:eastAsia="宋体"/>
                      <w:bCs/>
                      <w:color w:val="auto"/>
                      <w:sz w:val="21"/>
                      <w:szCs w:val="21"/>
                    </w:rPr>
                  </w:pPr>
                </w:p>
              </w:tc>
              <w:tc>
                <w:tcPr>
                  <w:tcW w:w="2485" w:type="dxa"/>
                  <w:vAlign w:val="center"/>
                </w:tcPr>
                <w:p w14:paraId="1BCA96FE">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400</w:t>
                  </w:r>
                  <w:r>
                    <w:rPr>
                      <w:rFonts w:eastAsia="宋体"/>
                      <w:color w:val="auto"/>
                      <w:sz w:val="20"/>
                    </w:rPr>
                    <w:t>~</w:t>
                  </w:r>
                  <w:r>
                    <w:rPr>
                      <w:rFonts w:hint="eastAsia" w:eastAsia="宋体"/>
                      <w:bCs/>
                      <w:color w:val="auto"/>
                      <w:sz w:val="21"/>
                      <w:szCs w:val="21"/>
                    </w:rPr>
                    <w:t>500</w:t>
                  </w:r>
                </w:p>
              </w:tc>
              <w:tc>
                <w:tcPr>
                  <w:tcW w:w="2626" w:type="dxa"/>
                  <w:vAlign w:val="center"/>
                </w:tcPr>
                <w:p w14:paraId="25F7F236">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7</w:t>
                  </w:r>
                </w:p>
              </w:tc>
            </w:tr>
            <w:tr w14:paraId="2F40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4592872B">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9</w:t>
                  </w:r>
                </w:p>
              </w:tc>
              <w:tc>
                <w:tcPr>
                  <w:tcW w:w="2850" w:type="dxa"/>
                  <w:vMerge w:val="restart"/>
                  <w:vAlign w:val="center"/>
                </w:tcPr>
                <w:p w14:paraId="73883212">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10000≤Q＜20000</w:t>
                  </w:r>
                </w:p>
              </w:tc>
              <w:tc>
                <w:tcPr>
                  <w:tcW w:w="2485" w:type="dxa"/>
                  <w:vAlign w:val="center"/>
                </w:tcPr>
                <w:p w14:paraId="21CCF2AA">
                  <w:pPr>
                    <w:widowControl/>
                    <w:jc w:val="center"/>
                    <w:rPr>
                      <w:bCs/>
                      <w:color w:val="auto"/>
                      <w:szCs w:val="21"/>
                    </w:rPr>
                  </w:pPr>
                  <w:r>
                    <w:rPr>
                      <w:rFonts w:hint="eastAsia"/>
                      <w:bCs/>
                      <w:color w:val="auto"/>
                      <w:szCs w:val="21"/>
                    </w:rPr>
                    <w:t>0</w:t>
                  </w:r>
                  <w:r>
                    <w:rPr>
                      <w:color w:val="auto"/>
                      <w:kern w:val="0"/>
                      <w:sz w:val="20"/>
                      <w:szCs w:val="20"/>
                    </w:rPr>
                    <w:t>~</w:t>
                  </w:r>
                  <w:r>
                    <w:rPr>
                      <w:rFonts w:hint="eastAsia"/>
                      <w:bCs/>
                      <w:color w:val="auto"/>
                      <w:szCs w:val="21"/>
                    </w:rPr>
                    <w:t>200</w:t>
                  </w:r>
                </w:p>
              </w:tc>
              <w:tc>
                <w:tcPr>
                  <w:tcW w:w="2626" w:type="dxa"/>
                  <w:vAlign w:val="center"/>
                </w:tcPr>
                <w:p w14:paraId="3C2ED0A3">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1.5</w:t>
                  </w:r>
                </w:p>
              </w:tc>
            </w:tr>
            <w:tr w14:paraId="2115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40AD32A4">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10</w:t>
                  </w:r>
                </w:p>
              </w:tc>
              <w:tc>
                <w:tcPr>
                  <w:tcW w:w="2850" w:type="dxa"/>
                  <w:vMerge w:val="continue"/>
                  <w:vAlign w:val="center"/>
                </w:tcPr>
                <w:p w14:paraId="4577323C">
                  <w:pPr>
                    <w:pStyle w:val="118"/>
                    <w:spacing w:line="240" w:lineRule="auto"/>
                    <w:ind w:firstLine="0" w:firstLineChars="0"/>
                    <w:jc w:val="center"/>
                    <w:rPr>
                      <w:rFonts w:eastAsia="宋体"/>
                      <w:bCs/>
                      <w:color w:val="auto"/>
                      <w:sz w:val="21"/>
                      <w:szCs w:val="21"/>
                    </w:rPr>
                  </w:pPr>
                </w:p>
              </w:tc>
              <w:tc>
                <w:tcPr>
                  <w:tcW w:w="2485" w:type="dxa"/>
                  <w:vAlign w:val="center"/>
                </w:tcPr>
                <w:p w14:paraId="35955905">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200</w:t>
                  </w:r>
                  <w:r>
                    <w:rPr>
                      <w:rFonts w:eastAsia="宋体"/>
                      <w:color w:val="auto"/>
                      <w:sz w:val="20"/>
                    </w:rPr>
                    <w:t>~</w:t>
                  </w:r>
                  <w:r>
                    <w:rPr>
                      <w:rFonts w:hint="eastAsia" w:eastAsia="宋体"/>
                      <w:bCs/>
                      <w:color w:val="auto"/>
                      <w:sz w:val="21"/>
                      <w:szCs w:val="21"/>
                    </w:rPr>
                    <w:t>300</w:t>
                  </w:r>
                </w:p>
              </w:tc>
              <w:tc>
                <w:tcPr>
                  <w:tcW w:w="2626" w:type="dxa"/>
                  <w:vAlign w:val="center"/>
                </w:tcPr>
                <w:p w14:paraId="01694153">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4</w:t>
                  </w:r>
                </w:p>
              </w:tc>
            </w:tr>
            <w:tr w14:paraId="3AC9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25975090">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11</w:t>
                  </w:r>
                </w:p>
              </w:tc>
              <w:tc>
                <w:tcPr>
                  <w:tcW w:w="2850" w:type="dxa"/>
                  <w:vMerge w:val="continue"/>
                  <w:vAlign w:val="center"/>
                </w:tcPr>
                <w:p w14:paraId="5C64E3D0">
                  <w:pPr>
                    <w:pStyle w:val="118"/>
                    <w:spacing w:line="240" w:lineRule="auto"/>
                    <w:ind w:firstLine="0" w:firstLineChars="0"/>
                    <w:jc w:val="center"/>
                    <w:rPr>
                      <w:rFonts w:eastAsia="宋体"/>
                      <w:bCs/>
                      <w:color w:val="auto"/>
                      <w:sz w:val="21"/>
                      <w:szCs w:val="21"/>
                    </w:rPr>
                  </w:pPr>
                </w:p>
              </w:tc>
              <w:tc>
                <w:tcPr>
                  <w:tcW w:w="2485" w:type="dxa"/>
                  <w:vAlign w:val="center"/>
                </w:tcPr>
                <w:p w14:paraId="1FA510A6">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300</w:t>
                  </w:r>
                  <w:r>
                    <w:rPr>
                      <w:rFonts w:eastAsia="宋体"/>
                      <w:color w:val="auto"/>
                      <w:sz w:val="20"/>
                    </w:rPr>
                    <w:t>~</w:t>
                  </w:r>
                  <w:r>
                    <w:rPr>
                      <w:rFonts w:hint="eastAsia" w:eastAsia="宋体"/>
                      <w:bCs/>
                      <w:color w:val="auto"/>
                      <w:sz w:val="21"/>
                      <w:szCs w:val="21"/>
                    </w:rPr>
                    <w:t>400</w:t>
                  </w:r>
                </w:p>
              </w:tc>
              <w:tc>
                <w:tcPr>
                  <w:tcW w:w="2626" w:type="dxa"/>
                  <w:vAlign w:val="center"/>
                </w:tcPr>
                <w:p w14:paraId="6A05D1FD">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5</w:t>
                  </w:r>
                </w:p>
              </w:tc>
            </w:tr>
            <w:tr w14:paraId="1146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63" w:type="dxa"/>
                  <w:vAlign w:val="center"/>
                </w:tcPr>
                <w:p w14:paraId="07880EAE">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12</w:t>
                  </w:r>
                </w:p>
              </w:tc>
              <w:tc>
                <w:tcPr>
                  <w:tcW w:w="2850" w:type="dxa"/>
                  <w:vMerge w:val="continue"/>
                  <w:vAlign w:val="center"/>
                </w:tcPr>
                <w:p w14:paraId="606AFB5B">
                  <w:pPr>
                    <w:pStyle w:val="118"/>
                    <w:spacing w:line="240" w:lineRule="auto"/>
                    <w:ind w:firstLine="0" w:firstLineChars="0"/>
                    <w:jc w:val="center"/>
                    <w:rPr>
                      <w:rFonts w:eastAsia="宋体"/>
                      <w:bCs/>
                      <w:color w:val="auto"/>
                      <w:sz w:val="21"/>
                      <w:szCs w:val="21"/>
                    </w:rPr>
                  </w:pPr>
                </w:p>
              </w:tc>
              <w:tc>
                <w:tcPr>
                  <w:tcW w:w="2485" w:type="dxa"/>
                  <w:vAlign w:val="center"/>
                </w:tcPr>
                <w:p w14:paraId="175E5B1C">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400</w:t>
                  </w:r>
                  <w:r>
                    <w:rPr>
                      <w:rFonts w:eastAsia="宋体"/>
                      <w:color w:val="auto"/>
                      <w:sz w:val="20"/>
                    </w:rPr>
                    <w:t>~</w:t>
                  </w:r>
                  <w:r>
                    <w:rPr>
                      <w:rFonts w:hint="eastAsia" w:eastAsia="宋体"/>
                      <w:bCs/>
                      <w:color w:val="auto"/>
                      <w:sz w:val="21"/>
                      <w:szCs w:val="21"/>
                    </w:rPr>
                    <w:t>500</w:t>
                  </w:r>
                </w:p>
              </w:tc>
              <w:tc>
                <w:tcPr>
                  <w:tcW w:w="2626" w:type="dxa"/>
                  <w:vAlign w:val="center"/>
                </w:tcPr>
                <w:p w14:paraId="45BD92AE">
                  <w:pPr>
                    <w:pStyle w:val="118"/>
                    <w:spacing w:line="240" w:lineRule="auto"/>
                    <w:ind w:firstLine="0" w:firstLineChars="0"/>
                    <w:jc w:val="center"/>
                    <w:rPr>
                      <w:rFonts w:eastAsia="宋体"/>
                      <w:bCs/>
                      <w:color w:val="auto"/>
                      <w:sz w:val="21"/>
                      <w:szCs w:val="21"/>
                    </w:rPr>
                  </w:pPr>
                  <w:r>
                    <w:rPr>
                      <w:rFonts w:hint="eastAsia" w:eastAsia="宋体"/>
                      <w:bCs/>
                      <w:color w:val="auto"/>
                      <w:sz w:val="21"/>
                      <w:szCs w:val="21"/>
                    </w:rPr>
                    <w:t>10</w:t>
                  </w:r>
                </w:p>
              </w:tc>
            </w:tr>
          </w:tbl>
          <w:p w14:paraId="175D5FC4">
            <w:pPr>
              <w:pStyle w:val="118"/>
              <w:spacing w:line="240" w:lineRule="auto"/>
              <w:ind w:firstLine="420"/>
              <w:jc w:val="left"/>
              <w:rPr>
                <w:rFonts w:hAnsi="宋体" w:eastAsia="宋体"/>
                <w:bCs/>
                <w:color w:val="auto"/>
                <w:sz w:val="21"/>
                <w:szCs w:val="22"/>
              </w:rPr>
            </w:pPr>
            <w:r>
              <w:rPr>
                <w:rFonts w:hint="eastAsia" w:hAnsi="宋体" w:eastAsia="宋体"/>
                <w:bCs/>
                <w:color w:val="auto"/>
                <w:sz w:val="21"/>
                <w:szCs w:val="22"/>
              </w:rPr>
              <w:t>注：风量大于20000Nm</w:t>
            </w:r>
            <w:r>
              <w:rPr>
                <w:rFonts w:hint="eastAsia" w:hAnsi="宋体" w:eastAsia="宋体"/>
                <w:bCs/>
                <w:color w:val="auto"/>
                <w:sz w:val="21"/>
                <w:szCs w:val="22"/>
                <w:vertAlign w:val="superscript"/>
              </w:rPr>
              <w:t>3</w:t>
            </w:r>
            <w:r>
              <w:rPr>
                <w:rFonts w:hint="eastAsia" w:hAnsi="宋体" w:eastAsia="宋体"/>
                <w:bCs/>
                <w:color w:val="auto"/>
                <w:sz w:val="21"/>
                <w:szCs w:val="22"/>
              </w:rPr>
              <w:t>/h的活性炭填装量可依据上表进行相应推算。</w:t>
            </w:r>
          </w:p>
          <w:p w14:paraId="4AC176CD">
            <w:pPr>
              <w:pStyle w:val="118"/>
              <w:ind w:firstLine="0" w:firstLineChars="0"/>
              <w:jc w:val="center"/>
              <w:rPr>
                <w:rFonts w:eastAsia="宋体"/>
                <w:b/>
                <w:color w:val="auto"/>
                <w:sz w:val="21"/>
                <w:szCs w:val="22"/>
              </w:rPr>
            </w:pPr>
            <w:r>
              <w:rPr>
                <w:rFonts w:hint="eastAsia" w:hAnsi="宋体" w:eastAsia="宋体"/>
                <w:b/>
                <w:color w:val="auto"/>
                <w:sz w:val="21"/>
                <w:szCs w:val="22"/>
              </w:rPr>
              <w:t>表4-2</w:t>
            </w:r>
            <w:r>
              <w:rPr>
                <w:rFonts w:hint="eastAsia" w:hAnsi="宋体" w:eastAsia="宋体"/>
                <w:b/>
                <w:color w:val="auto"/>
                <w:sz w:val="21"/>
                <w:szCs w:val="22"/>
                <w:lang w:val="en-US" w:eastAsia="zh-CN"/>
              </w:rPr>
              <w:t>6</w:t>
            </w:r>
            <w:r>
              <w:rPr>
                <w:rFonts w:hint="eastAsia" w:hAnsi="宋体" w:eastAsia="宋体"/>
                <w:b/>
                <w:color w:val="auto"/>
                <w:sz w:val="21"/>
                <w:szCs w:val="22"/>
              </w:rPr>
              <w:t xml:space="preserve">  本项目活性炭设备</w:t>
            </w:r>
            <w:r>
              <w:rPr>
                <w:rFonts w:hAnsi="宋体" w:eastAsia="宋体"/>
                <w:b/>
                <w:color w:val="auto"/>
                <w:sz w:val="21"/>
                <w:szCs w:val="22"/>
              </w:rPr>
              <w:t>一览表</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54"/>
              <w:gridCol w:w="1924"/>
              <w:gridCol w:w="1136"/>
              <w:gridCol w:w="814"/>
              <w:gridCol w:w="847"/>
              <w:gridCol w:w="675"/>
              <w:gridCol w:w="1071"/>
              <w:gridCol w:w="814"/>
              <w:gridCol w:w="852"/>
            </w:tblGrid>
            <w:tr w14:paraId="69E8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54" w:type="dxa"/>
                  <w:vAlign w:val="center"/>
                </w:tcPr>
                <w:p w14:paraId="61738086">
                  <w:pPr>
                    <w:pStyle w:val="122"/>
                    <w:snapToGrid w:val="0"/>
                    <w:spacing w:line="240" w:lineRule="auto"/>
                    <w:rPr>
                      <w:rFonts w:eastAsia="宋体"/>
                      <w:b/>
                      <w:color w:val="auto"/>
                    </w:rPr>
                  </w:pPr>
                  <w:r>
                    <w:rPr>
                      <w:rFonts w:hint="eastAsia" w:hAnsi="宋体" w:eastAsia="宋体"/>
                      <w:b/>
                      <w:color w:val="auto"/>
                    </w:rPr>
                    <w:t>序号</w:t>
                  </w:r>
                </w:p>
              </w:tc>
              <w:tc>
                <w:tcPr>
                  <w:tcW w:w="1924" w:type="dxa"/>
                  <w:vAlign w:val="center"/>
                </w:tcPr>
                <w:p w14:paraId="12A30582">
                  <w:pPr>
                    <w:pStyle w:val="122"/>
                    <w:snapToGrid w:val="0"/>
                    <w:spacing w:line="240" w:lineRule="auto"/>
                    <w:rPr>
                      <w:rFonts w:eastAsia="宋体"/>
                      <w:b/>
                      <w:color w:val="auto"/>
                    </w:rPr>
                  </w:pPr>
                  <w:r>
                    <w:rPr>
                      <w:rFonts w:hint="eastAsia" w:eastAsia="宋体"/>
                      <w:b/>
                      <w:color w:val="auto"/>
                    </w:rPr>
                    <w:t>处理</w:t>
                  </w:r>
                </w:p>
                <w:p w14:paraId="234B3B44">
                  <w:pPr>
                    <w:pStyle w:val="122"/>
                    <w:snapToGrid w:val="0"/>
                    <w:spacing w:line="240" w:lineRule="auto"/>
                    <w:rPr>
                      <w:rFonts w:eastAsia="宋体"/>
                      <w:b/>
                      <w:color w:val="auto"/>
                    </w:rPr>
                  </w:pPr>
                  <w:r>
                    <w:rPr>
                      <w:rFonts w:hint="eastAsia" w:eastAsia="宋体"/>
                      <w:b/>
                      <w:color w:val="auto"/>
                    </w:rPr>
                    <w:t>废气类型</w:t>
                  </w:r>
                </w:p>
              </w:tc>
              <w:tc>
                <w:tcPr>
                  <w:tcW w:w="1136" w:type="dxa"/>
                  <w:vAlign w:val="center"/>
                </w:tcPr>
                <w:p w14:paraId="69BC4710">
                  <w:pPr>
                    <w:pStyle w:val="122"/>
                    <w:snapToGrid w:val="0"/>
                    <w:spacing w:line="240" w:lineRule="auto"/>
                    <w:rPr>
                      <w:rFonts w:hAnsi="宋体" w:eastAsia="宋体"/>
                      <w:b/>
                      <w:color w:val="auto"/>
                    </w:rPr>
                  </w:pPr>
                  <w:r>
                    <w:rPr>
                      <w:rFonts w:hint="eastAsia" w:hAnsi="宋体" w:eastAsia="宋体"/>
                      <w:b/>
                      <w:color w:val="auto"/>
                    </w:rPr>
                    <w:t>活性炭</w:t>
                  </w:r>
                </w:p>
                <w:p w14:paraId="5CE6556B">
                  <w:pPr>
                    <w:pStyle w:val="122"/>
                    <w:snapToGrid w:val="0"/>
                    <w:spacing w:line="240" w:lineRule="auto"/>
                    <w:rPr>
                      <w:rFonts w:eastAsia="宋体"/>
                      <w:b/>
                      <w:color w:val="auto"/>
                    </w:rPr>
                  </w:pPr>
                  <w:r>
                    <w:rPr>
                      <w:rFonts w:hint="eastAsia" w:hAnsi="宋体" w:eastAsia="宋体"/>
                      <w:b/>
                      <w:color w:val="auto"/>
                    </w:rPr>
                    <w:t>设备风量</w:t>
                  </w:r>
                </w:p>
              </w:tc>
              <w:tc>
                <w:tcPr>
                  <w:tcW w:w="814" w:type="dxa"/>
                  <w:vAlign w:val="center"/>
                </w:tcPr>
                <w:p w14:paraId="6AA11097">
                  <w:pPr>
                    <w:pStyle w:val="122"/>
                    <w:snapToGrid w:val="0"/>
                    <w:spacing w:line="240" w:lineRule="auto"/>
                    <w:rPr>
                      <w:rFonts w:hAnsi="宋体" w:eastAsia="宋体"/>
                      <w:b/>
                      <w:color w:val="auto"/>
                    </w:rPr>
                  </w:pPr>
                  <w:r>
                    <w:rPr>
                      <w:rFonts w:hint="eastAsia" w:hAnsi="宋体" w:eastAsia="宋体"/>
                      <w:b/>
                      <w:color w:val="auto"/>
                    </w:rPr>
                    <w:t>活性炭</w:t>
                  </w:r>
                </w:p>
                <w:p w14:paraId="03E6155F">
                  <w:pPr>
                    <w:pStyle w:val="122"/>
                    <w:snapToGrid w:val="0"/>
                    <w:spacing w:line="240" w:lineRule="auto"/>
                    <w:rPr>
                      <w:rFonts w:eastAsia="宋体"/>
                      <w:b/>
                      <w:color w:val="auto"/>
                    </w:rPr>
                  </w:pPr>
                  <w:r>
                    <w:rPr>
                      <w:rFonts w:hint="eastAsia" w:hAnsi="宋体" w:eastAsia="宋体"/>
                      <w:b/>
                      <w:color w:val="auto"/>
                    </w:rPr>
                    <w:t>填装量</w:t>
                  </w:r>
                </w:p>
              </w:tc>
              <w:tc>
                <w:tcPr>
                  <w:tcW w:w="847" w:type="dxa"/>
                  <w:vAlign w:val="center"/>
                </w:tcPr>
                <w:p w14:paraId="3F5513EE">
                  <w:pPr>
                    <w:pStyle w:val="122"/>
                    <w:snapToGrid w:val="0"/>
                    <w:spacing w:line="240" w:lineRule="auto"/>
                    <w:rPr>
                      <w:rFonts w:hAnsi="宋体" w:eastAsia="宋体"/>
                      <w:b/>
                      <w:color w:val="auto"/>
                    </w:rPr>
                  </w:pPr>
                  <w:r>
                    <w:rPr>
                      <w:rFonts w:hint="eastAsia" w:hAnsi="宋体" w:eastAsia="宋体"/>
                      <w:b/>
                      <w:color w:val="auto"/>
                    </w:rPr>
                    <w:t>工作</w:t>
                  </w:r>
                </w:p>
                <w:p w14:paraId="208F9226">
                  <w:pPr>
                    <w:pStyle w:val="122"/>
                    <w:snapToGrid w:val="0"/>
                    <w:spacing w:line="240" w:lineRule="auto"/>
                    <w:rPr>
                      <w:rFonts w:eastAsia="宋体"/>
                      <w:b/>
                      <w:color w:val="auto"/>
                    </w:rPr>
                  </w:pPr>
                  <w:r>
                    <w:rPr>
                      <w:rFonts w:hint="eastAsia" w:hAnsi="宋体" w:eastAsia="宋体"/>
                      <w:b/>
                      <w:color w:val="auto"/>
                    </w:rPr>
                    <w:t>时间</w:t>
                  </w:r>
                </w:p>
              </w:tc>
              <w:tc>
                <w:tcPr>
                  <w:tcW w:w="675" w:type="dxa"/>
                  <w:vAlign w:val="center"/>
                </w:tcPr>
                <w:p w14:paraId="373F0C3A">
                  <w:pPr>
                    <w:pStyle w:val="122"/>
                    <w:snapToGrid w:val="0"/>
                    <w:spacing w:line="240" w:lineRule="auto"/>
                    <w:rPr>
                      <w:rFonts w:eastAsia="宋体"/>
                      <w:b/>
                      <w:color w:val="auto"/>
                    </w:rPr>
                  </w:pPr>
                  <w:r>
                    <w:rPr>
                      <w:rFonts w:hint="eastAsia" w:eastAsia="宋体"/>
                      <w:b/>
                      <w:color w:val="auto"/>
                    </w:rPr>
                    <w:t>更换</w:t>
                  </w:r>
                </w:p>
                <w:p w14:paraId="6E3D2B8F">
                  <w:pPr>
                    <w:pStyle w:val="122"/>
                    <w:snapToGrid w:val="0"/>
                    <w:spacing w:line="240" w:lineRule="auto"/>
                    <w:rPr>
                      <w:rFonts w:eastAsia="宋体"/>
                      <w:b/>
                      <w:color w:val="auto"/>
                    </w:rPr>
                  </w:pPr>
                  <w:r>
                    <w:rPr>
                      <w:rFonts w:hint="eastAsia" w:eastAsia="宋体"/>
                      <w:b/>
                      <w:color w:val="auto"/>
                    </w:rPr>
                    <w:t>次数</w:t>
                  </w:r>
                </w:p>
              </w:tc>
              <w:tc>
                <w:tcPr>
                  <w:tcW w:w="1071" w:type="dxa"/>
                  <w:vAlign w:val="center"/>
                </w:tcPr>
                <w:p w14:paraId="76698C39">
                  <w:pPr>
                    <w:pStyle w:val="122"/>
                    <w:snapToGrid w:val="0"/>
                    <w:spacing w:line="240" w:lineRule="auto"/>
                    <w:rPr>
                      <w:rFonts w:eastAsia="宋体"/>
                      <w:b/>
                      <w:color w:val="auto"/>
                    </w:rPr>
                  </w:pPr>
                  <w:r>
                    <w:rPr>
                      <w:rFonts w:hint="eastAsia" w:eastAsia="宋体"/>
                      <w:b/>
                      <w:color w:val="auto"/>
                    </w:rPr>
                    <w:t>更换</w:t>
                  </w:r>
                </w:p>
                <w:p w14:paraId="70488A95">
                  <w:pPr>
                    <w:pStyle w:val="122"/>
                    <w:snapToGrid w:val="0"/>
                    <w:spacing w:line="240" w:lineRule="auto"/>
                    <w:rPr>
                      <w:rFonts w:eastAsia="宋体"/>
                      <w:b/>
                      <w:color w:val="auto"/>
                    </w:rPr>
                  </w:pPr>
                  <w:r>
                    <w:rPr>
                      <w:rFonts w:hint="eastAsia" w:eastAsia="宋体"/>
                      <w:b/>
                      <w:color w:val="auto"/>
                    </w:rPr>
                    <w:t>活性炭量</w:t>
                  </w:r>
                </w:p>
              </w:tc>
              <w:tc>
                <w:tcPr>
                  <w:tcW w:w="814" w:type="dxa"/>
                  <w:vAlign w:val="center"/>
                </w:tcPr>
                <w:p w14:paraId="41815858">
                  <w:pPr>
                    <w:pStyle w:val="122"/>
                    <w:snapToGrid w:val="0"/>
                    <w:spacing w:line="240" w:lineRule="auto"/>
                    <w:rPr>
                      <w:rFonts w:eastAsia="宋体"/>
                      <w:b/>
                      <w:color w:val="auto"/>
                    </w:rPr>
                  </w:pPr>
                  <w:r>
                    <w:rPr>
                      <w:rFonts w:hint="eastAsia" w:eastAsia="宋体"/>
                      <w:b/>
                      <w:color w:val="auto"/>
                    </w:rPr>
                    <w:t>吸附</w:t>
                  </w:r>
                </w:p>
                <w:p w14:paraId="5EB5AC42">
                  <w:pPr>
                    <w:pStyle w:val="122"/>
                    <w:snapToGrid w:val="0"/>
                    <w:spacing w:line="240" w:lineRule="auto"/>
                    <w:rPr>
                      <w:rFonts w:eastAsia="宋体"/>
                      <w:b/>
                      <w:color w:val="auto"/>
                    </w:rPr>
                  </w:pPr>
                  <w:r>
                    <w:rPr>
                      <w:rFonts w:hint="eastAsia" w:eastAsia="宋体"/>
                      <w:b/>
                      <w:color w:val="auto"/>
                    </w:rPr>
                    <w:t>废气量</w:t>
                  </w:r>
                </w:p>
              </w:tc>
              <w:tc>
                <w:tcPr>
                  <w:tcW w:w="852" w:type="dxa"/>
                  <w:vAlign w:val="center"/>
                </w:tcPr>
                <w:p w14:paraId="01D78C9D">
                  <w:pPr>
                    <w:pStyle w:val="122"/>
                    <w:snapToGrid w:val="0"/>
                    <w:spacing w:line="240" w:lineRule="auto"/>
                    <w:rPr>
                      <w:rFonts w:eastAsia="宋体"/>
                      <w:b/>
                      <w:color w:val="auto"/>
                    </w:rPr>
                  </w:pPr>
                  <w:r>
                    <w:rPr>
                      <w:rFonts w:hint="eastAsia" w:eastAsia="宋体"/>
                      <w:b/>
                      <w:color w:val="auto"/>
                    </w:rPr>
                    <w:t>理论需活性炭</w:t>
                  </w:r>
                </w:p>
              </w:tc>
            </w:tr>
            <w:tr w14:paraId="213C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54" w:type="dxa"/>
                  <w:vAlign w:val="center"/>
                </w:tcPr>
                <w:p w14:paraId="707DB813">
                  <w:pPr>
                    <w:pStyle w:val="122"/>
                    <w:snapToGrid w:val="0"/>
                    <w:spacing w:line="240" w:lineRule="auto"/>
                    <w:rPr>
                      <w:rFonts w:hAnsi="宋体" w:eastAsia="宋体"/>
                      <w:color w:val="auto"/>
                    </w:rPr>
                  </w:pPr>
                  <w:r>
                    <w:rPr>
                      <w:rFonts w:hint="eastAsia" w:hAnsi="宋体" w:eastAsia="宋体"/>
                      <w:color w:val="auto"/>
                    </w:rPr>
                    <w:t>1</w:t>
                  </w:r>
                </w:p>
              </w:tc>
              <w:tc>
                <w:tcPr>
                  <w:tcW w:w="1924" w:type="dxa"/>
                  <w:vAlign w:val="center"/>
                </w:tcPr>
                <w:p w14:paraId="1FA7808A">
                  <w:pPr>
                    <w:pStyle w:val="122"/>
                    <w:snapToGrid w:val="0"/>
                    <w:spacing w:line="240" w:lineRule="auto"/>
                    <w:rPr>
                      <w:rFonts w:eastAsia="宋体"/>
                      <w:color w:val="auto"/>
                    </w:rPr>
                  </w:pPr>
                  <w:r>
                    <w:rPr>
                      <w:rFonts w:hint="eastAsia" w:eastAsia="宋体"/>
                      <w:color w:val="auto"/>
                    </w:rPr>
                    <w:t>喷胶废气处理装置</w:t>
                  </w:r>
                </w:p>
              </w:tc>
              <w:tc>
                <w:tcPr>
                  <w:tcW w:w="1136" w:type="dxa"/>
                  <w:vAlign w:val="center"/>
                </w:tcPr>
                <w:p w14:paraId="23CE4867">
                  <w:pPr>
                    <w:pStyle w:val="122"/>
                    <w:snapToGrid w:val="0"/>
                    <w:spacing w:line="240" w:lineRule="auto"/>
                    <w:rPr>
                      <w:rFonts w:hAnsi="宋体" w:eastAsia="宋体"/>
                      <w:color w:val="auto"/>
                    </w:rPr>
                  </w:pPr>
                  <w:r>
                    <w:rPr>
                      <w:rFonts w:hint="eastAsia" w:hAnsi="宋体" w:eastAsia="宋体"/>
                      <w:color w:val="auto"/>
                      <w:lang w:val="en-US" w:eastAsia="zh-CN"/>
                    </w:rPr>
                    <w:t>290</w:t>
                  </w:r>
                  <w:r>
                    <w:rPr>
                      <w:rFonts w:hint="eastAsia" w:hAnsi="宋体" w:eastAsia="宋体"/>
                      <w:color w:val="auto"/>
                    </w:rPr>
                    <w:t>00m</w:t>
                  </w:r>
                  <w:r>
                    <w:rPr>
                      <w:rFonts w:hint="eastAsia" w:hAnsi="宋体" w:eastAsia="宋体"/>
                      <w:color w:val="auto"/>
                      <w:vertAlign w:val="superscript"/>
                    </w:rPr>
                    <w:t>3</w:t>
                  </w:r>
                  <w:r>
                    <w:rPr>
                      <w:rFonts w:hint="eastAsia" w:hAnsi="宋体" w:eastAsia="宋体"/>
                      <w:color w:val="auto"/>
                    </w:rPr>
                    <w:t>/h</w:t>
                  </w:r>
                </w:p>
              </w:tc>
              <w:tc>
                <w:tcPr>
                  <w:tcW w:w="814" w:type="dxa"/>
                  <w:vAlign w:val="center"/>
                </w:tcPr>
                <w:p w14:paraId="753365EA">
                  <w:pPr>
                    <w:pStyle w:val="122"/>
                    <w:snapToGrid w:val="0"/>
                    <w:spacing w:line="240" w:lineRule="auto"/>
                    <w:rPr>
                      <w:rFonts w:hAnsi="宋体" w:eastAsia="宋体"/>
                      <w:color w:val="auto"/>
                    </w:rPr>
                  </w:pPr>
                  <w:r>
                    <w:rPr>
                      <w:rFonts w:hint="eastAsia" w:hAnsi="宋体" w:eastAsia="宋体"/>
                      <w:color w:val="auto"/>
                      <w:lang w:val="en-US" w:eastAsia="zh-CN"/>
                    </w:rPr>
                    <w:t>2.0</w:t>
                  </w:r>
                  <w:r>
                    <w:rPr>
                      <w:rFonts w:hint="eastAsia" w:hAnsi="宋体" w:eastAsia="宋体"/>
                      <w:color w:val="auto"/>
                    </w:rPr>
                    <w:t>t</w:t>
                  </w:r>
                </w:p>
              </w:tc>
              <w:tc>
                <w:tcPr>
                  <w:tcW w:w="847" w:type="dxa"/>
                  <w:vAlign w:val="center"/>
                </w:tcPr>
                <w:p w14:paraId="2B920DC0">
                  <w:pPr>
                    <w:pStyle w:val="122"/>
                    <w:snapToGrid w:val="0"/>
                    <w:spacing w:line="240" w:lineRule="auto"/>
                    <w:rPr>
                      <w:rFonts w:hAnsi="宋体" w:eastAsia="宋体"/>
                      <w:color w:val="auto"/>
                    </w:rPr>
                  </w:pPr>
                  <w:r>
                    <w:rPr>
                      <w:rFonts w:hint="eastAsia" w:hAnsi="宋体" w:eastAsia="宋体"/>
                      <w:color w:val="auto"/>
                      <w:lang w:val="en-US" w:eastAsia="zh-CN"/>
                    </w:rPr>
                    <w:t>36</w:t>
                  </w:r>
                  <w:r>
                    <w:rPr>
                      <w:rFonts w:hint="eastAsia" w:hAnsi="宋体" w:eastAsia="宋体"/>
                      <w:color w:val="auto"/>
                    </w:rPr>
                    <w:t>00h</w:t>
                  </w:r>
                </w:p>
              </w:tc>
              <w:tc>
                <w:tcPr>
                  <w:tcW w:w="675" w:type="dxa"/>
                  <w:vAlign w:val="center"/>
                </w:tcPr>
                <w:p w14:paraId="4D3930D7">
                  <w:pPr>
                    <w:pStyle w:val="122"/>
                    <w:snapToGrid w:val="0"/>
                    <w:spacing w:line="240" w:lineRule="auto"/>
                    <w:rPr>
                      <w:rFonts w:hAnsi="宋体" w:eastAsia="宋体"/>
                      <w:color w:val="auto"/>
                    </w:rPr>
                  </w:pPr>
                  <w:r>
                    <w:rPr>
                      <w:rFonts w:hint="eastAsia" w:hAnsi="宋体" w:eastAsia="宋体"/>
                      <w:color w:val="auto"/>
                      <w:lang w:val="en-US" w:eastAsia="zh-CN"/>
                    </w:rPr>
                    <w:t>8</w:t>
                  </w:r>
                  <w:r>
                    <w:rPr>
                      <w:rFonts w:hint="eastAsia" w:hAnsi="宋体" w:eastAsia="宋体"/>
                      <w:color w:val="auto"/>
                    </w:rPr>
                    <w:t>次</w:t>
                  </w:r>
                </w:p>
              </w:tc>
              <w:tc>
                <w:tcPr>
                  <w:tcW w:w="1071" w:type="dxa"/>
                  <w:vAlign w:val="center"/>
                </w:tcPr>
                <w:p w14:paraId="2BDC1503">
                  <w:pPr>
                    <w:pStyle w:val="122"/>
                    <w:snapToGrid w:val="0"/>
                    <w:spacing w:line="240" w:lineRule="auto"/>
                    <w:rPr>
                      <w:rFonts w:hAnsi="宋体" w:eastAsia="宋体"/>
                      <w:color w:val="auto"/>
                    </w:rPr>
                  </w:pPr>
                  <w:r>
                    <w:rPr>
                      <w:rFonts w:hint="eastAsia" w:hAnsi="宋体" w:eastAsia="宋体"/>
                      <w:color w:val="auto"/>
                      <w:lang w:val="en-US" w:eastAsia="zh-CN"/>
                    </w:rPr>
                    <w:t>16</w:t>
                  </w:r>
                  <w:r>
                    <w:rPr>
                      <w:rFonts w:hint="eastAsia" w:hAnsi="宋体" w:eastAsia="宋体"/>
                      <w:color w:val="auto"/>
                    </w:rPr>
                    <w:t>t</w:t>
                  </w:r>
                </w:p>
              </w:tc>
              <w:tc>
                <w:tcPr>
                  <w:tcW w:w="814" w:type="dxa"/>
                  <w:vAlign w:val="center"/>
                </w:tcPr>
                <w:p w14:paraId="6A974B20">
                  <w:pPr>
                    <w:pStyle w:val="122"/>
                    <w:snapToGrid w:val="0"/>
                    <w:spacing w:line="240" w:lineRule="auto"/>
                    <w:rPr>
                      <w:rFonts w:hAnsi="宋体" w:eastAsia="宋体"/>
                      <w:color w:val="auto"/>
                    </w:rPr>
                  </w:pPr>
                  <w:r>
                    <w:rPr>
                      <w:rFonts w:hint="eastAsia" w:hAnsi="宋体" w:eastAsia="宋体"/>
                      <w:color w:val="auto"/>
                    </w:rPr>
                    <w:t>0.</w:t>
                  </w:r>
                  <w:r>
                    <w:rPr>
                      <w:rFonts w:hint="eastAsia" w:hAnsi="宋体" w:eastAsia="宋体"/>
                      <w:color w:val="auto"/>
                      <w:lang w:val="en-US" w:eastAsia="zh-CN"/>
                    </w:rPr>
                    <w:t>173</w:t>
                  </w:r>
                  <w:r>
                    <w:rPr>
                      <w:rFonts w:hint="eastAsia" w:hAnsi="宋体" w:eastAsia="宋体"/>
                      <w:color w:val="auto"/>
                    </w:rPr>
                    <w:t>t</w:t>
                  </w:r>
                </w:p>
              </w:tc>
              <w:tc>
                <w:tcPr>
                  <w:tcW w:w="852" w:type="dxa"/>
                  <w:vAlign w:val="center"/>
                </w:tcPr>
                <w:p w14:paraId="45B83989">
                  <w:pPr>
                    <w:pStyle w:val="122"/>
                    <w:snapToGrid w:val="0"/>
                    <w:spacing w:line="240" w:lineRule="auto"/>
                    <w:rPr>
                      <w:rFonts w:hAnsi="宋体" w:eastAsia="宋体"/>
                      <w:color w:val="auto"/>
                    </w:rPr>
                  </w:pPr>
                  <w:r>
                    <w:rPr>
                      <w:rFonts w:hint="eastAsia" w:hAnsi="宋体" w:eastAsia="宋体"/>
                      <w:color w:val="auto"/>
                      <w:lang w:val="en-US" w:eastAsia="zh-CN"/>
                    </w:rPr>
                    <w:t>1.15</w:t>
                  </w:r>
                  <w:r>
                    <w:rPr>
                      <w:rFonts w:hint="eastAsia" w:hAnsi="宋体" w:eastAsia="宋体"/>
                      <w:color w:val="auto"/>
                    </w:rPr>
                    <w:t>t</w:t>
                  </w:r>
                </w:p>
              </w:tc>
            </w:tr>
          </w:tbl>
          <w:p w14:paraId="42B31A6A">
            <w:pPr>
              <w:widowControl/>
              <w:jc w:val="left"/>
              <w:rPr>
                <w:color w:val="auto"/>
                <w:szCs w:val="21"/>
              </w:rPr>
            </w:pPr>
            <w:r>
              <w:rPr>
                <w:rFonts w:hint="eastAsia"/>
                <w:color w:val="auto"/>
                <w:szCs w:val="21"/>
              </w:rPr>
              <w:t>注：</w:t>
            </w:r>
            <w:r>
              <w:rPr>
                <w:rFonts w:hint="eastAsia"/>
                <w:color w:val="auto"/>
                <w:szCs w:val="21"/>
              </w:rPr>
              <w:fldChar w:fldCharType="begin"/>
            </w:r>
            <w:r>
              <w:rPr>
                <w:rFonts w:hint="eastAsia"/>
                <w:color w:val="auto"/>
                <w:szCs w:val="21"/>
              </w:rPr>
              <w:instrText xml:space="preserve"> = 1 \* GB3 \* MERGEFORMAT </w:instrText>
            </w:r>
            <w:r>
              <w:rPr>
                <w:rFonts w:hint="eastAsia"/>
                <w:color w:val="auto"/>
                <w:szCs w:val="21"/>
              </w:rPr>
              <w:fldChar w:fldCharType="separate"/>
            </w:r>
            <w:r>
              <w:rPr>
                <w:color w:val="auto"/>
              </w:rPr>
              <w:t>①</w:t>
            </w:r>
            <w:r>
              <w:rPr>
                <w:rFonts w:hint="eastAsia"/>
                <w:color w:val="auto"/>
                <w:szCs w:val="21"/>
              </w:rPr>
              <w:fldChar w:fldCharType="end"/>
            </w:r>
            <w:r>
              <w:rPr>
                <w:rFonts w:hint="eastAsia"/>
                <w:color w:val="auto"/>
                <w:szCs w:val="21"/>
              </w:rPr>
              <w:t>参考《浙江省分散吸附-集中再生活性炭法挥发性有机物治理体系建设技术指南》</w:t>
            </w:r>
            <w:r>
              <w:rPr>
                <w:rFonts w:hint="eastAsia"/>
                <w:bCs/>
                <w:color w:val="auto"/>
                <w:szCs w:val="21"/>
              </w:rPr>
              <w:t>，活性炭更换周期一般不应超过累计运行500小时；</w:t>
            </w:r>
            <w:r>
              <w:rPr>
                <w:rFonts w:hint="eastAsia"/>
                <w:bCs/>
                <w:color w:val="auto"/>
                <w:szCs w:val="21"/>
              </w:rPr>
              <w:fldChar w:fldCharType="begin"/>
            </w:r>
            <w:r>
              <w:rPr>
                <w:rFonts w:hint="eastAsia"/>
                <w:bCs/>
                <w:color w:val="auto"/>
                <w:szCs w:val="21"/>
              </w:rPr>
              <w:instrText xml:space="preserve"> = 2 \* GB3 \* MERGEFORMAT </w:instrText>
            </w:r>
            <w:r>
              <w:rPr>
                <w:rFonts w:hint="eastAsia"/>
                <w:bCs/>
                <w:color w:val="auto"/>
                <w:szCs w:val="21"/>
              </w:rPr>
              <w:fldChar w:fldCharType="separate"/>
            </w:r>
            <w:r>
              <w:rPr>
                <w:color w:val="auto"/>
              </w:rPr>
              <w:t>②</w:t>
            </w:r>
            <w:r>
              <w:rPr>
                <w:rFonts w:hint="eastAsia"/>
                <w:bCs/>
                <w:color w:val="auto"/>
                <w:szCs w:val="21"/>
              </w:rPr>
              <w:fldChar w:fldCharType="end"/>
            </w:r>
            <w:r>
              <w:rPr>
                <w:rFonts w:hint="eastAsia"/>
                <w:color w:val="auto"/>
                <w:szCs w:val="21"/>
              </w:rPr>
              <w:t>理论需活性炭量按照</w:t>
            </w:r>
            <w:r>
              <w:rPr>
                <w:color w:val="auto"/>
                <w:szCs w:val="21"/>
              </w:rPr>
              <w:t>1t</w:t>
            </w:r>
            <w:r>
              <w:rPr>
                <w:rFonts w:hint="eastAsia"/>
                <w:color w:val="auto"/>
                <w:szCs w:val="21"/>
              </w:rPr>
              <w:t>活性炭吸附</w:t>
            </w:r>
            <w:r>
              <w:rPr>
                <w:color w:val="auto"/>
                <w:szCs w:val="21"/>
              </w:rPr>
              <w:t>0.15t</w:t>
            </w:r>
            <w:r>
              <w:rPr>
                <w:rFonts w:hint="eastAsia"/>
                <w:color w:val="auto"/>
                <w:szCs w:val="21"/>
              </w:rPr>
              <w:t>有机废气进行核算，本项目更换活性炭量大于理论需活性炭量，因此符合理论吸附要求。</w:t>
            </w:r>
          </w:p>
          <w:p w14:paraId="69CEE0BC">
            <w:pPr>
              <w:spacing w:line="420" w:lineRule="atLeast"/>
              <w:ind w:firstLine="480" w:firstLineChars="200"/>
              <w:rPr>
                <w:rFonts w:eastAsia="宋体"/>
                <w:color w:val="auto"/>
                <w:szCs w:val="21"/>
              </w:rPr>
            </w:pPr>
            <w:r>
              <w:rPr>
                <w:rFonts w:hint="eastAsia"/>
                <w:color w:val="auto"/>
                <w:sz w:val="24"/>
              </w:rPr>
              <w:t>由上表统计，本项目废活性炭产生量约为</w:t>
            </w:r>
            <w:r>
              <w:rPr>
                <w:rFonts w:hint="eastAsia"/>
                <w:color w:val="auto"/>
                <w:sz w:val="24"/>
                <w:lang w:val="en-US" w:eastAsia="zh-CN"/>
              </w:rPr>
              <w:t>16.173</w:t>
            </w:r>
            <w:r>
              <w:rPr>
                <w:bCs/>
                <w:color w:val="auto"/>
                <w:sz w:val="24"/>
              </w:rPr>
              <w:t>t/a</w:t>
            </w:r>
            <w:r>
              <w:rPr>
                <w:rFonts w:hint="eastAsia"/>
                <w:bCs/>
                <w:color w:val="auto"/>
                <w:sz w:val="24"/>
              </w:rPr>
              <w:t>（含吸附废气量）</w:t>
            </w:r>
            <w:r>
              <w:rPr>
                <w:color w:val="auto"/>
                <w:sz w:val="24"/>
              </w:rPr>
              <w:t>。对照《国家危险废物名录</w:t>
            </w:r>
            <w:r>
              <w:rPr>
                <w:rFonts w:hint="eastAsia"/>
                <w:color w:val="auto"/>
                <w:sz w:val="24"/>
              </w:rPr>
              <w:t>（2021年版）</w:t>
            </w:r>
            <w:r>
              <w:rPr>
                <w:color w:val="auto"/>
                <w:sz w:val="24"/>
              </w:rPr>
              <w:t>》，该固废属于危废，危废类别为HW49，危废代码为900-039-49，</w:t>
            </w:r>
            <w:r>
              <w:rPr>
                <w:rFonts w:hint="eastAsia" w:hAnsi="宋体"/>
                <w:color w:val="auto"/>
                <w:sz w:val="24"/>
              </w:rPr>
              <w:t>要求集中收集袋装后堆放于危废车间内，并定期委托有危废资质单位进行清运处置。</w:t>
            </w:r>
          </w:p>
          <w:p w14:paraId="1EFA0E77">
            <w:pPr>
              <w:pStyle w:val="80"/>
              <w:spacing w:line="420" w:lineRule="exact"/>
              <w:ind w:firstLine="480"/>
              <w:rPr>
                <w:rFonts w:eastAsia="宋体"/>
                <w:color w:val="auto"/>
              </w:rPr>
            </w:pPr>
            <w:r>
              <w:rPr>
                <w:rFonts w:hAnsi="宋体" w:eastAsia="宋体"/>
                <w:color w:val="auto"/>
              </w:rPr>
              <w:t>综上，本项目副产物产生情况汇总见表</w:t>
            </w:r>
            <w:r>
              <w:rPr>
                <w:rFonts w:eastAsia="宋体"/>
                <w:color w:val="auto"/>
              </w:rPr>
              <w:t>4-</w:t>
            </w:r>
            <w:r>
              <w:rPr>
                <w:rFonts w:hint="eastAsia" w:eastAsia="宋体"/>
                <w:color w:val="auto"/>
              </w:rPr>
              <w:t>2</w:t>
            </w:r>
            <w:r>
              <w:rPr>
                <w:rFonts w:hint="eastAsia" w:eastAsia="宋体"/>
                <w:color w:val="auto"/>
                <w:lang w:val="en-US" w:eastAsia="zh-CN"/>
              </w:rPr>
              <w:t>7</w:t>
            </w:r>
            <w:r>
              <w:rPr>
                <w:rFonts w:hAnsi="宋体" w:eastAsia="宋体"/>
                <w:color w:val="auto"/>
              </w:rPr>
              <w:t>。</w:t>
            </w:r>
          </w:p>
          <w:p w14:paraId="5AD9D1FF">
            <w:pPr>
              <w:pStyle w:val="115"/>
              <w:ind w:firstLine="420"/>
              <w:rPr>
                <w:rFonts w:hAnsi="宋体" w:eastAsia="宋体"/>
                <w:color w:val="auto"/>
              </w:rPr>
            </w:pPr>
            <w:r>
              <w:rPr>
                <w:rFonts w:hAnsi="宋体" w:eastAsia="宋体"/>
                <w:color w:val="auto"/>
              </w:rPr>
              <w:t>表</w:t>
            </w:r>
            <w:r>
              <w:rPr>
                <w:rFonts w:eastAsia="宋体"/>
                <w:color w:val="auto"/>
              </w:rPr>
              <w:t>4-</w:t>
            </w:r>
            <w:r>
              <w:rPr>
                <w:rFonts w:hint="eastAsia" w:eastAsia="宋体"/>
                <w:color w:val="auto"/>
              </w:rPr>
              <w:t>2</w:t>
            </w:r>
            <w:r>
              <w:rPr>
                <w:rFonts w:hint="eastAsia" w:eastAsia="宋体"/>
                <w:color w:val="auto"/>
                <w:lang w:val="en-US" w:eastAsia="zh-CN"/>
              </w:rPr>
              <w:t>7</w:t>
            </w:r>
            <w:r>
              <w:rPr>
                <w:rFonts w:eastAsia="宋体"/>
                <w:color w:val="auto"/>
              </w:rPr>
              <w:t xml:space="preserve">  </w:t>
            </w:r>
            <w:r>
              <w:rPr>
                <w:rFonts w:hAnsi="宋体" w:eastAsia="宋体"/>
                <w:color w:val="auto"/>
              </w:rPr>
              <w:t>副产物产生情况汇总表</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330"/>
              <w:gridCol w:w="1795"/>
              <w:gridCol w:w="975"/>
              <w:gridCol w:w="1850"/>
              <w:gridCol w:w="1080"/>
            </w:tblGrid>
            <w:tr w14:paraId="156D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7" w:type="dxa"/>
                  <w:vAlign w:val="center"/>
                </w:tcPr>
                <w:p w14:paraId="0168919D">
                  <w:pPr>
                    <w:tabs>
                      <w:tab w:val="left" w:pos="677"/>
                    </w:tabs>
                    <w:jc w:val="center"/>
                    <w:rPr>
                      <w:b/>
                      <w:color w:val="auto"/>
                      <w:szCs w:val="21"/>
                    </w:rPr>
                  </w:pPr>
                  <w:r>
                    <w:rPr>
                      <w:rFonts w:hAnsi="宋体"/>
                      <w:b/>
                      <w:color w:val="auto"/>
                      <w:szCs w:val="21"/>
                    </w:rPr>
                    <w:t>序号</w:t>
                  </w:r>
                </w:p>
              </w:tc>
              <w:tc>
                <w:tcPr>
                  <w:tcW w:w="2330" w:type="dxa"/>
                  <w:vAlign w:val="center"/>
                </w:tcPr>
                <w:p w14:paraId="524861A5">
                  <w:pPr>
                    <w:tabs>
                      <w:tab w:val="left" w:pos="677"/>
                    </w:tabs>
                    <w:jc w:val="center"/>
                    <w:rPr>
                      <w:b/>
                      <w:color w:val="auto"/>
                      <w:szCs w:val="21"/>
                    </w:rPr>
                  </w:pPr>
                  <w:r>
                    <w:rPr>
                      <w:rFonts w:hAnsi="宋体"/>
                      <w:b/>
                      <w:color w:val="auto"/>
                      <w:szCs w:val="21"/>
                    </w:rPr>
                    <w:t>副产物名称</w:t>
                  </w:r>
                </w:p>
              </w:tc>
              <w:tc>
                <w:tcPr>
                  <w:tcW w:w="1795" w:type="dxa"/>
                  <w:vAlign w:val="center"/>
                </w:tcPr>
                <w:p w14:paraId="315E86C5">
                  <w:pPr>
                    <w:tabs>
                      <w:tab w:val="left" w:pos="677"/>
                    </w:tabs>
                    <w:jc w:val="center"/>
                    <w:rPr>
                      <w:b/>
                      <w:color w:val="auto"/>
                      <w:szCs w:val="21"/>
                    </w:rPr>
                  </w:pPr>
                  <w:r>
                    <w:rPr>
                      <w:rFonts w:hAnsi="宋体"/>
                      <w:b/>
                      <w:color w:val="auto"/>
                      <w:szCs w:val="21"/>
                    </w:rPr>
                    <w:t>产生工序</w:t>
                  </w:r>
                </w:p>
              </w:tc>
              <w:tc>
                <w:tcPr>
                  <w:tcW w:w="975" w:type="dxa"/>
                  <w:vAlign w:val="center"/>
                </w:tcPr>
                <w:p w14:paraId="27589BBB">
                  <w:pPr>
                    <w:tabs>
                      <w:tab w:val="left" w:pos="677"/>
                    </w:tabs>
                    <w:jc w:val="center"/>
                    <w:rPr>
                      <w:b/>
                      <w:color w:val="auto"/>
                      <w:szCs w:val="21"/>
                    </w:rPr>
                  </w:pPr>
                  <w:r>
                    <w:rPr>
                      <w:rFonts w:hAnsi="宋体"/>
                      <w:b/>
                      <w:color w:val="auto"/>
                      <w:szCs w:val="21"/>
                    </w:rPr>
                    <w:t>形态</w:t>
                  </w:r>
                </w:p>
              </w:tc>
              <w:tc>
                <w:tcPr>
                  <w:tcW w:w="1850" w:type="dxa"/>
                  <w:vAlign w:val="center"/>
                </w:tcPr>
                <w:p w14:paraId="1FFF0F35">
                  <w:pPr>
                    <w:tabs>
                      <w:tab w:val="left" w:pos="677"/>
                    </w:tabs>
                    <w:jc w:val="center"/>
                    <w:rPr>
                      <w:b/>
                      <w:color w:val="auto"/>
                      <w:szCs w:val="21"/>
                    </w:rPr>
                  </w:pPr>
                  <w:r>
                    <w:rPr>
                      <w:rFonts w:hAnsi="宋体"/>
                      <w:b/>
                      <w:color w:val="auto"/>
                      <w:szCs w:val="21"/>
                    </w:rPr>
                    <w:t>产生成分</w:t>
                  </w:r>
                </w:p>
              </w:tc>
              <w:tc>
                <w:tcPr>
                  <w:tcW w:w="1080" w:type="dxa"/>
                  <w:vAlign w:val="center"/>
                </w:tcPr>
                <w:p w14:paraId="2AE75D54">
                  <w:pPr>
                    <w:tabs>
                      <w:tab w:val="left" w:pos="677"/>
                    </w:tabs>
                    <w:jc w:val="center"/>
                    <w:rPr>
                      <w:b/>
                      <w:color w:val="auto"/>
                      <w:szCs w:val="21"/>
                    </w:rPr>
                  </w:pPr>
                  <w:r>
                    <w:rPr>
                      <w:rFonts w:hAnsi="宋体"/>
                      <w:b/>
                      <w:color w:val="auto"/>
                      <w:szCs w:val="21"/>
                    </w:rPr>
                    <w:t>产生量</w:t>
                  </w:r>
                </w:p>
              </w:tc>
            </w:tr>
            <w:tr w14:paraId="0A42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7" w:type="dxa"/>
                  <w:vAlign w:val="center"/>
                </w:tcPr>
                <w:p w14:paraId="59438FA7">
                  <w:pPr>
                    <w:tabs>
                      <w:tab w:val="left" w:pos="677"/>
                    </w:tabs>
                    <w:jc w:val="center"/>
                    <w:rPr>
                      <w:color w:val="auto"/>
                      <w:szCs w:val="21"/>
                    </w:rPr>
                  </w:pPr>
                  <w:r>
                    <w:rPr>
                      <w:rFonts w:hint="eastAsia"/>
                      <w:color w:val="auto"/>
                      <w:szCs w:val="21"/>
                    </w:rPr>
                    <w:t>1</w:t>
                  </w:r>
                </w:p>
              </w:tc>
              <w:tc>
                <w:tcPr>
                  <w:tcW w:w="2330" w:type="dxa"/>
                  <w:vAlign w:val="center"/>
                </w:tcPr>
                <w:p w14:paraId="6DB736F8">
                  <w:pPr>
                    <w:jc w:val="center"/>
                    <w:rPr>
                      <w:color w:val="auto"/>
                      <w:szCs w:val="21"/>
                    </w:rPr>
                  </w:pPr>
                  <w:r>
                    <w:rPr>
                      <w:rFonts w:hint="eastAsia" w:hAnsi="宋体"/>
                      <w:color w:val="auto"/>
                      <w:szCs w:val="21"/>
                    </w:rPr>
                    <w:t>一般废弃包装材料</w:t>
                  </w:r>
                </w:p>
              </w:tc>
              <w:tc>
                <w:tcPr>
                  <w:tcW w:w="1795" w:type="dxa"/>
                  <w:vAlign w:val="center"/>
                </w:tcPr>
                <w:p w14:paraId="6138B98C">
                  <w:pPr>
                    <w:snapToGrid w:val="0"/>
                    <w:jc w:val="center"/>
                    <w:rPr>
                      <w:rFonts w:hAnsi="宋体"/>
                      <w:color w:val="auto"/>
                      <w:szCs w:val="21"/>
                    </w:rPr>
                  </w:pPr>
                  <w:r>
                    <w:rPr>
                      <w:rFonts w:hint="eastAsia"/>
                      <w:bCs/>
                      <w:color w:val="auto"/>
                      <w:szCs w:val="21"/>
                    </w:rPr>
                    <w:t>原料包装</w:t>
                  </w:r>
                </w:p>
              </w:tc>
              <w:tc>
                <w:tcPr>
                  <w:tcW w:w="975" w:type="dxa"/>
                  <w:vAlign w:val="center"/>
                </w:tcPr>
                <w:p w14:paraId="1BE02774">
                  <w:pPr>
                    <w:snapToGrid w:val="0"/>
                    <w:jc w:val="center"/>
                    <w:rPr>
                      <w:rFonts w:hAnsi="宋体"/>
                      <w:color w:val="auto"/>
                      <w:szCs w:val="21"/>
                    </w:rPr>
                  </w:pPr>
                  <w:r>
                    <w:rPr>
                      <w:rFonts w:hint="eastAsia"/>
                      <w:bCs/>
                      <w:color w:val="auto"/>
                      <w:szCs w:val="21"/>
                    </w:rPr>
                    <w:t>固态</w:t>
                  </w:r>
                </w:p>
              </w:tc>
              <w:tc>
                <w:tcPr>
                  <w:tcW w:w="1850" w:type="dxa"/>
                  <w:vAlign w:val="center"/>
                </w:tcPr>
                <w:p w14:paraId="3849A490">
                  <w:pPr>
                    <w:tabs>
                      <w:tab w:val="left" w:pos="677"/>
                    </w:tabs>
                    <w:jc w:val="center"/>
                    <w:rPr>
                      <w:color w:val="auto"/>
                      <w:szCs w:val="21"/>
                    </w:rPr>
                  </w:pPr>
                  <w:r>
                    <w:rPr>
                      <w:rFonts w:hint="eastAsia"/>
                      <w:color w:val="auto"/>
                      <w:szCs w:val="21"/>
                    </w:rPr>
                    <w:t>塑料袋、纸袋</w:t>
                  </w:r>
                </w:p>
              </w:tc>
              <w:tc>
                <w:tcPr>
                  <w:tcW w:w="1080" w:type="dxa"/>
                  <w:vAlign w:val="center"/>
                </w:tcPr>
                <w:p w14:paraId="3DD85EB2">
                  <w:pPr>
                    <w:tabs>
                      <w:tab w:val="left" w:pos="677"/>
                    </w:tabs>
                    <w:jc w:val="center"/>
                    <w:rPr>
                      <w:color w:val="auto"/>
                      <w:szCs w:val="21"/>
                    </w:rPr>
                  </w:pPr>
                  <w:r>
                    <w:rPr>
                      <w:rFonts w:hint="eastAsia"/>
                      <w:color w:val="auto"/>
                      <w:szCs w:val="21"/>
                    </w:rPr>
                    <w:t>0.3t/a</w:t>
                  </w:r>
                </w:p>
              </w:tc>
            </w:tr>
            <w:tr w14:paraId="29F1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7" w:type="dxa"/>
                  <w:vAlign w:val="center"/>
                </w:tcPr>
                <w:p w14:paraId="5D31BCFC">
                  <w:pPr>
                    <w:snapToGrid w:val="0"/>
                    <w:jc w:val="center"/>
                    <w:rPr>
                      <w:bCs/>
                      <w:color w:val="auto"/>
                      <w:szCs w:val="21"/>
                    </w:rPr>
                  </w:pPr>
                  <w:r>
                    <w:rPr>
                      <w:rFonts w:hint="eastAsia"/>
                      <w:bCs/>
                      <w:color w:val="auto"/>
                      <w:szCs w:val="21"/>
                    </w:rPr>
                    <w:t>2</w:t>
                  </w:r>
                </w:p>
              </w:tc>
              <w:tc>
                <w:tcPr>
                  <w:tcW w:w="2330" w:type="dxa"/>
                  <w:vAlign w:val="center"/>
                </w:tcPr>
                <w:p w14:paraId="739EAB01">
                  <w:pPr>
                    <w:jc w:val="center"/>
                    <w:rPr>
                      <w:color w:val="auto"/>
                      <w:szCs w:val="21"/>
                    </w:rPr>
                  </w:pPr>
                  <w:r>
                    <w:rPr>
                      <w:rFonts w:hint="eastAsia"/>
                      <w:color w:val="auto"/>
                      <w:szCs w:val="21"/>
                      <w:lang w:eastAsia="zh-CN"/>
                    </w:rPr>
                    <w:t>金属次品及</w:t>
                  </w:r>
                  <w:r>
                    <w:rPr>
                      <w:rFonts w:hint="eastAsia"/>
                      <w:color w:val="auto"/>
                      <w:szCs w:val="21"/>
                    </w:rPr>
                    <w:t>集尘灰</w:t>
                  </w:r>
                </w:p>
              </w:tc>
              <w:tc>
                <w:tcPr>
                  <w:tcW w:w="1795" w:type="dxa"/>
                  <w:vAlign w:val="center"/>
                </w:tcPr>
                <w:p w14:paraId="6DE61A2A">
                  <w:pPr>
                    <w:jc w:val="center"/>
                    <w:rPr>
                      <w:color w:val="auto"/>
                      <w:szCs w:val="21"/>
                    </w:rPr>
                  </w:pPr>
                  <w:r>
                    <w:rPr>
                      <w:rFonts w:hint="eastAsia" w:hAnsi="宋体"/>
                      <w:color w:val="auto"/>
                      <w:szCs w:val="21"/>
                      <w:lang w:val="en-US" w:eastAsia="zh-CN"/>
                    </w:rPr>
                    <w:t>下料、机加工等</w:t>
                  </w:r>
                </w:p>
              </w:tc>
              <w:tc>
                <w:tcPr>
                  <w:tcW w:w="975" w:type="dxa"/>
                  <w:vAlign w:val="center"/>
                </w:tcPr>
                <w:p w14:paraId="4163E9C7">
                  <w:pPr>
                    <w:suppressAutoHyphens/>
                    <w:jc w:val="center"/>
                    <w:rPr>
                      <w:bCs/>
                      <w:color w:val="auto"/>
                      <w:szCs w:val="21"/>
                    </w:rPr>
                  </w:pPr>
                  <w:r>
                    <w:rPr>
                      <w:rFonts w:hint="eastAsia"/>
                      <w:bCs/>
                      <w:color w:val="auto"/>
                      <w:szCs w:val="21"/>
                    </w:rPr>
                    <w:t>固态</w:t>
                  </w:r>
                </w:p>
              </w:tc>
              <w:tc>
                <w:tcPr>
                  <w:tcW w:w="1850" w:type="dxa"/>
                  <w:vAlign w:val="center"/>
                </w:tcPr>
                <w:p w14:paraId="19CB7E3C">
                  <w:pPr>
                    <w:widowControl/>
                    <w:jc w:val="center"/>
                    <w:rPr>
                      <w:color w:val="auto"/>
                      <w:szCs w:val="21"/>
                    </w:rPr>
                  </w:pPr>
                  <w:r>
                    <w:rPr>
                      <w:rFonts w:hint="eastAsia"/>
                      <w:color w:val="auto"/>
                      <w:szCs w:val="21"/>
                      <w:lang w:eastAsia="zh-CN"/>
                    </w:rPr>
                    <w:t>钢材</w:t>
                  </w:r>
                </w:p>
              </w:tc>
              <w:tc>
                <w:tcPr>
                  <w:tcW w:w="1080" w:type="dxa"/>
                  <w:vAlign w:val="center"/>
                </w:tcPr>
                <w:p w14:paraId="003E5A89">
                  <w:pPr>
                    <w:tabs>
                      <w:tab w:val="left" w:pos="677"/>
                    </w:tabs>
                    <w:jc w:val="center"/>
                    <w:rPr>
                      <w:color w:val="auto"/>
                      <w:szCs w:val="21"/>
                    </w:rPr>
                  </w:pPr>
                  <w:r>
                    <w:rPr>
                      <w:rFonts w:hint="eastAsia"/>
                      <w:color w:val="auto"/>
                      <w:szCs w:val="21"/>
                      <w:lang w:val="en-US" w:eastAsia="zh-CN"/>
                    </w:rPr>
                    <w:t>15.403</w:t>
                  </w:r>
                  <w:r>
                    <w:rPr>
                      <w:rFonts w:hint="eastAsia"/>
                      <w:color w:val="auto"/>
                      <w:szCs w:val="21"/>
                    </w:rPr>
                    <w:t>t/a</w:t>
                  </w:r>
                </w:p>
              </w:tc>
            </w:tr>
            <w:tr w14:paraId="1F50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7" w:type="dxa"/>
                  <w:vAlign w:val="center"/>
                </w:tcPr>
                <w:p w14:paraId="7A862AA1">
                  <w:pPr>
                    <w:snapToGrid w:val="0"/>
                    <w:jc w:val="center"/>
                    <w:rPr>
                      <w:bCs/>
                      <w:color w:val="auto"/>
                      <w:szCs w:val="21"/>
                    </w:rPr>
                  </w:pPr>
                  <w:r>
                    <w:rPr>
                      <w:rFonts w:hint="eastAsia"/>
                      <w:bCs/>
                      <w:color w:val="auto"/>
                      <w:szCs w:val="21"/>
                    </w:rPr>
                    <w:t>3</w:t>
                  </w:r>
                </w:p>
              </w:tc>
              <w:tc>
                <w:tcPr>
                  <w:tcW w:w="2330" w:type="dxa"/>
                  <w:vAlign w:val="center"/>
                </w:tcPr>
                <w:p w14:paraId="1C3C2BBB">
                  <w:pPr>
                    <w:jc w:val="center"/>
                    <w:rPr>
                      <w:rFonts w:hint="eastAsia" w:eastAsia="宋体"/>
                      <w:color w:val="auto"/>
                      <w:szCs w:val="21"/>
                      <w:lang w:eastAsia="zh-CN"/>
                    </w:rPr>
                  </w:pPr>
                  <w:r>
                    <w:rPr>
                      <w:rFonts w:hint="eastAsia"/>
                      <w:color w:val="auto"/>
                      <w:szCs w:val="21"/>
                      <w:lang w:eastAsia="zh-CN"/>
                    </w:rPr>
                    <w:t>塑料边角料及次品</w:t>
                  </w:r>
                </w:p>
              </w:tc>
              <w:tc>
                <w:tcPr>
                  <w:tcW w:w="1795" w:type="dxa"/>
                  <w:vAlign w:val="center"/>
                </w:tcPr>
                <w:p w14:paraId="07251C18">
                  <w:pPr>
                    <w:jc w:val="center"/>
                    <w:rPr>
                      <w:color w:val="auto"/>
                      <w:szCs w:val="21"/>
                    </w:rPr>
                  </w:pPr>
                  <w:r>
                    <w:rPr>
                      <w:rFonts w:hint="eastAsia"/>
                      <w:color w:val="auto"/>
                      <w:szCs w:val="21"/>
                      <w:lang w:eastAsia="zh-CN"/>
                    </w:rPr>
                    <w:t>注塑、修剪</w:t>
                  </w:r>
                  <w:r>
                    <w:rPr>
                      <w:rFonts w:hint="eastAsia"/>
                      <w:color w:val="auto"/>
                      <w:szCs w:val="21"/>
                    </w:rPr>
                    <w:t>工序</w:t>
                  </w:r>
                </w:p>
              </w:tc>
              <w:tc>
                <w:tcPr>
                  <w:tcW w:w="975" w:type="dxa"/>
                  <w:vAlign w:val="center"/>
                </w:tcPr>
                <w:p w14:paraId="42C5461A">
                  <w:pPr>
                    <w:suppressAutoHyphens/>
                    <w:jc w:val="center"/>
                    <w:rPr>
                      <w:bCs/>
                      <w:color w:val="auto"/>
                      <w:szCs w:val="21"/>
                    </w:rPr>
                  </w:pPr>
                  <w:r>
                    <w:rPr>
                      <w:rFonts w:hint="eastAsia"/>
                      <w:bCs/>
                      <w:color w:val="auto"/>
                      <w:szCs w:val="21"/>
                    </w:rPr>
                    <w:t>固态</w:t>
                  </w:r>
                </w:p>
              </w:tc>
              <w:tc>
                <w:tcPr>
                  <w:tcW w:w="1850" w:type="dxa"/>
                  <w:vAlign w:val="center"/>
                </w:tcPr>
                <w:p w14:paraId="2549EB1C">
                  <w:pPr>
                    <w:widowControl/>
                    <w:jc w:val="center"/>
                    <w:rPr>
                      <w:rFonts w:hint="eastAsia" w:eastAsia="宋体"/>
                      <w:color w:val="auto"/>
                      <w:szCs w:val="21"/>
                      <w:lang w:eastAsia="zh-CN"/>
                    </w:rPr>
                  </w:pPr>
                  <w:r>
                    <w:rPr>
                      <w:rFonts w:hint="eastAsia"/>
                      <w:bCs/>
                      <w:color w:val="auto"/>
                      <w:szCs w:val="21"/>
                      <w:lang w:eastAsia="zh-CN"/>
                    </w:rPr>
                    <w:t>塑料</w:t>
                  </w:r>
                </w:p>
              </w:tc>
              <w:tc>
                <w:tcPr>
                  <w:tcW w:w="1080" w:type="dxa"/>
                  <w:vAlign w:val="center"/>
                </w:tcPr>
                <w:p w14:paraId="553AE84A">
                  <w:pPr>
                    <w:tabs>
                      <w:tab w:val="left" w:pos="677"/>
                    </w:tabs>
                    <w:jc w:val="center"/>
                    <w:rPr>
                      <w:color w:val="auto"/>
                      <w:szCs w:val="21"/>
                    </w:rPr>
                  </w:pPr>
                  <w:r>
                    <w:rPr>
                      <w:rFonts w:hint="eastAsia"/>
                      <w:color w:val="auto"/>
                      <w:szCs w:val="21"/>
                      <w:lang w:val="en-US" w:eastAsia="zh-CN"/>
                    </w:rPr>
                    <w:t>20.2</w:t>
                  </w:r>
                  <w:r>
                    <w:rPr>
                      <w:rFonts w:hint="eastAsia"/>
                      <w:color w:val="auto"/>
                      <w:szCs w:val="21"/>
                    </w:rPr>
                    <w:t>t/a</w:t>
                  </w:r>
                </w:p>
              </w:tc>
            </w:tr>
            <w:tr w14:paraId="0513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7" w:type="dxa"/>
                  <w:vAlign w:val="center"/>
                </w:tcPr>
                <w:p w14:paraId="57736211">
                  <w:pPr>
                    <w:snapToGrid w:val="0"/>
                    <w:jc w:val="center"/>
                    <w:rPr>
                      <w:color w:val="auto"/>
                      <w:szCs w:val="21"/>
                    </w:rPr>
                  </w:pPr>
                  <w:r>
                    <w:rPr>
                      <w:rFonts w:hint="eastAsia"/>
                      <w:bCs/>
                      <w:color w:val="auto"/>
                      <w:szCs w:val="21"/>
                    </w:rPr>
                    <w:t>4</w:t>
                  </w:r>
                </w:p>
              </w:tc>
              <w:tc>
                <w:tcPr>
                  <w:tcW w:w="2330" w:type="dxa"/>
                  <w:vAlign w:val="center"/>
                </w:tcPr>
                <w:p w14:paraId="3BF36E84">
                  <w:pPr>
                    <w:snapToGrid w:val="0"/>
                    <w:jc w:val="center"/>
                    <w:rPr>
                      <w:color w:val="auto"/>
                      <w:szCs w:val="21"/>
                    </w:rPr>
                  </w:pPr>
                  <w:r>
                    <w:rPr>
                      <w:color w:val="auto"/>
                      <w:szCs w:val="21"/>
                    </w:rPr>
                    <w:t>废润滑油</w:t>
                  </w:r>
                </w:p>
              </w:tc>
              <w:tc>
                <w:tcPr>
                  <w:tcW w:w="1795" w:type="dxa"/>
                  <w:vAlign w:val="center"/>
                </w:tcPr>
                <w:p w14:paraId="0145D6F4">
                  <w:pPr>
                    <w:jc w:val="center"/>
                    <w:rPr>
                      <w:rFonts w:hAnsi="宋体"/>
                      <w:color w:val="auto"/>
                      <w:szCs w:val="21"/>
                    </w:rPr>
                  </w:pPr>
                  <w:r>
                    <w:rPr>
                      <w:rFonts w:hint="eastAsia"/>
                      <w:color w:val="auto"/>
                      <w:szCs w:val="21"/>
                    </w:rPr>
                    <w:t>设备使用</w:t>
                  </w:r>
                </w:p>
              </w:tc>
              <w:tc>
                <w:tcPr>
                  <w:tcW w:w="975" w:type="dxa"/>
                  <w:vAlign w:val="center"/>
                </w:tcPr>
                <w:p w14:paraId="3C103A55">
                  <w:pPr>
                    <w:suppressAutoHyphens/>
                    <w:jc w:val="center"/>
                    <w:rPr>
                      <w:rFonts w:hAnsi="宋体"/>
                      <w:color w:val="auto"/>
                      <w:szCs w:val="21"/>
                    </w:rPr>
                  </w:pPr>
                  <w:r>
                    <w:rPr>
                      <w:rFonts w:hint="eastAsia"/>
                      <w:color w:val="auto"/>
                      <w:szCs w:val="21"/>
                    </w:rPr>
                    <w:t>液体</w:t>
                  </w:r>
                </w:p>
              </w:tc>
              <w:tc>
                <w:tcPr>
                  <w:tcW w:w="1850" w:type="dxa"/>
                  <w:vAlign w:val="center"/>
                </w:tcPr>
                <w:p w14:paraId="0F39DF4B">
                  <w:pPr>
                    <w:snapToGrid w:val="0"/>
                    <w:jc w:val="center"/>
                    <w:rPr>
                      <w:color w:val="auto"/>
                      <w:szCs w:val="21"/>
                    </w:rPr>
                  </w:pPr>
                  <w:r>
                    <w:rPr>
                      <w:rFonts w:hint="eastAsia"/>
                      <w:color w:val="auto"/>
                      <w:szCs w:val="21"/>
                    </w:rPr>
                    <w:t>废矿物油</w:t>
                  </w:r>
                </w:p>
              </w:tc>
              <w:tc>
                <w:tcPr>
                  <w:tcW w:w="1080" w:type="dxa"/>
                  <w:vAlign w:val="center"/>
                </w:tcPr>
                <w:p w14:paraId="1BDC25A8">
                  <w:pPr>
                    <w:tabs>
                      <w:tab w:val="left" w:pos="677"/>
                    </w:tabs>
                    <w:jc w:val="center"/>
                    <w:rPr>
                      <w:color w:val="auto"/>
                      <w:szCs w:val="21"/>
                    </w:rPr>
                  </w:pPr>
                  <w:r>
                    <w:rPr>
                      <w:rFonts w:hint="eastAsia"/>
                      <w:color w:val="auto"/>
                      <w:szCs w:val="21"/>
                    </w:rPr>
                    <w:t>0.1t/a</w:t>
                  </w:r>
                </w:p>
              </w:tc>
            </w:tr>
            <w:tr w14:paraId="402E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7" w:type="dxa"/>
                  <w:vAlign w:val="center"/>
                </w:tcPr>
                <w:p w14:paraId="7A548852">
                  <w:pPr>
                    <w:snapToGrid w:val="0"/>
                    <w:jc w:val="center"/>
                    <w:rPr>
                      <w:rFonts w:hint="eastAsia" w:eastAsia="宋体"/>
                      <w:color w:val="auto"/>
                      <w:szCs w:val="21"/>
                      <w:lang w:eastAsia="zh-CN"/>
                    </w:rPr>
                  </w:pPr>
                  <w:r>
                    <w:rPr>
                      <w:rFonts w:hint="eastAsia"/>
                      <w:color w:val="auto"/>
                      <w:szCs w:val="21"/>
                      <w:lang w:val="en-US" w:eastAsia="zh-CN"/>
                    </w:rPr>
                    <w:t>5</w:t>
                  </w:r>
                </w:p>
              </w:tc>
              <w:tc>
                <w:tcPr>
                  <w:tcW w:w="2330" w:type="dxa"/>
                  <w:vAlign w:val="center"/>
                </w:tcPr>
                <w:p w14:paraId="45894C01">
                  <w:pPr>
                    <w:snapToGrid w:val="0"/>
                    <w:jc w:val="center"/>
                    <w:rPr>
                      <w:color w:val="auto"/>
                      <w:szCs w:val="21"/>
                    </w:rPr>
                  </w:pPr>
                  <w:r>
                    <w:rPr>
                      <w:rFonts w:hint="eastAsia"/>
                      <w:color w:val="auto"/>
                      <w:szCs w:val="21"/>
                    </w:rPr>
                    <w:t>废油桶</w:t>
                  </w:r>
                </w:p>
              </w:tc>
              <w:tc>
                <w:tcPr>
                  <w:tcW w:w="1795" w:type="dxa"/>
                  <w:vAlign w:val="center"/>
                </w:tcPr>
                <w:p w14:paraId="7E6DA5F8">
                  <w:pPr>
                    <w:jc w:val="center"/>
                    <w:rPr>
                      <w:color w:val="auto"/>
                      <w:szCs w:val="21"/>
                    </w:rPr>
                  </w:pPr>
                  <w:r>
                    <w:rPr>
                      <w:rFonts w:hint="eastAsia"/>
                      <w:color w:val="auto"/>
                      <w:szCs w:val="21"/>
                    </w:rPr>
                    <w:t>原料包装</w:t>
                  </w:r>
                </w:p>
              </w:tc>
              <w:tc>
                <w:tcPr>
                  <w:tcW w:w="975" w:type="dxa"/>
                  <w:vAlign w:val="center"/>
                </w:tcPr>
                <w:p w14:paraId="14161760">
                  <w:pPr>
                    <w:suppressAutoHyphens/>
                    <w:jc w:val="center"/>
                    <w:rPr>
                      <w:color w:val="auto"/>
                      <w:szCs w:val="21"/>
                    </w:rPr>
                  </w:pPr>
                  <w:r>
                    <w:rPr>
                      <w:rFonts w:hint="eastAsia"/>
                      <w:color w:val="auto"/>
                      <w:szCs w:val="21"/>
                    </w:rPr>
                    <w:t>固态</w:t>
                  </w:r>
                </w:p>
              </w:tc>
              <w:tc>
                <w:tcPr>
                  <w:tcW w:w="1850" w:type="dxa"/>
                  <w:vAlign w:val="center"/>
                </w:tcPr>
                <w:p w14:paraId="3DE3C891">
                  <w:pPr>
                    <w:snapToGrid w:val="0"/>
                    <w:jc w:val="center"/>
                    <w:rPr>
                      <w:color w:val="auto"/>
                      <w:szCs w:val="21"/>
                    </w:rPr>
                  </w:pPr>
                  <w:r>
                    <w:rPr>
                      <w:rFonts w:hint="eastAsia"/>
                      <w:color w:val="auto"/>
                      <w:szCs w:val="21"/>
                    </w:rPr>
                    <w:t>铁桶</w:t>
                  </w:r>
                </w:p>
              </w:tc>
              <w:tc>
                <w:tcPr>
                  <w:tcW w:w="1080" w:type="dxa"/>
                  <w:vAlign w:val="center"/>
                </w:tcPr>
                <w:p w14:paraId="7FE9B358">
                  <w:pPr>
                    <w:tabs>
                      <w:tab w:val="left" w:pos="677"/>
                    </w:tabs>
                    <w:jc w:val="center"/>
                    <w:rPr>
                      <w:color w:val="auto"/>
                      <w:szCs w:val="21"/>
                    </w:rPr>
                  </w:pPr>
                  <w:r>
                    <w:rPr>
                      <w:rFonts w:hint="eastAsia"/>
                      <w:color w:val="auto"/>
                      <w:szCs w:val="21"/>
                    </w:rPr>
                    <w:t>0.02t/a</w:t>
                  </w:r>
                </w:p>
              </w:tc>
            </w:tr>
            <w:tr w14:paraId="1F83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7" w:type="dxa"/>
                  <w:vAlign w:val="center"/>
                </w:tcPr>
                <w:p w14:paraId="105A61C6">
                  <w:pPr>
                    <w:snapToGrid w:val="0"/>
                    <w:jc w:val="center"/>
                    <w:rPr>
                      <w:color w:val="auto"/>
                      <w:szCs w:val="21"/>
                    </w:rPr>
                  </w:pPr>
                  <w:r>
                    <w:rPr>
                      <w:rFonts w:hint="eastAsia"/>
                      <w:color w:val="auto"/>
                      <w:szCs w:val="21"/>
                    </w:rPr>
                    <w:t>6</w:t>
                  </w:r>
                </w:p>
              </w:tc>
              <w:tc>
                <w:tcPr>
                  <w:tcW w:w="2330" w:type="dxa"/>
                  <w:vAlign w:val="center"/>
                </w:tcPr>
                <w:p w14:paraId="5BC016DC">
                  <w:pPr>
                    <w:snapToGrid w:val="0"/>
                    <w:jc w:val="center"/>
                    <w:rPr>
                      <w:color w:val="auto"/>
                      <w:szCs w:val="21"/>
                    </w:rPr>
                  </w:pPr>
                  <w:r>
                    <w:rPr>
                      <w:rFonts w:hint="eastAsia"/>
                      <w:color w:val="auto"/>
                      <w:szCs w:val="21"/>
                    </w:rPr>
                    <w:t>废含油抹布、劳保用品</w:t>
                  </w:r>
                </w:p>
              </w:tc>
              <w:tc>
                <w:tcPr>
                  <w:tcW w:w="1795" w:type="dxa"/>
                  <w:vAlign w:val="center"/>
                </w:tcPr>
                <w:p w14:paraId="407ECDA7">
                  <w:pPr>
                    <w:snapToGrid w:val="0"/>
                    <w:jc w:val="center"/>
                    <w:rPr>
                      <w:color w:val="auto"/>
                      <w:szCs w:val="21"/>
                    </w:rPr>
                  </w:pPr>
                  <w:r>
                    <w:rPr>
                      <w:rFonts w:hint="eastAsia"/>
                      <w:color w:val="auto"/>
                      <w:szCs w:val="21"/>
                    </w:rPr>
                    <w:t>设备使用</w:t>
                  </w:r>
                </w:p>
              </w:tc>
              <w:tc>
                <w:tcPr>
                  <w:tcW w:w="975" w:type="dxa"/>
                  <w:vAlign w:val="center"/>
                </w:tcPr>
                <w:p w14:paraId="4ABA6BD1">
                  <w:pPr>
                    <w:snapToGrid w:val="0"/>
                    <w:jc w:val="center"/>
                    <w:rPr>
                      <w:color w:val="auto"/>
                      <w:szCs w:val="21"/>
                    </w:rPr>
                  </w:pPr>
                  <w:r>
                    <w:rPr>
                      <w:rFonts w:hint="eastAsia"/>
                      <w:color w:val="auto"/>
                      <w:szCs w:val="21"/>
                    </w:rPr>
                    <w:t>固态</w:t>
                  </w:r>
                </w:p>
              </w:tc>
              <w:tc>
                <w:tcPr>
                  <w:tcW w:w="1850" w:type="dxa"/>
                  <w:vAlign w:val="center"/>
                </w:tcPr>
                <w:p w14:paraId="78F793FB">
                  <w:pPr>
                    <w:snapToGrid w:val="0"/>
                    <w:jc w:val="center"/>
                    <w:rPr>
                      <w:color w:val="auto"/>
                      <w:szCs w:val="21"/>
                    </w:rPr>
                  </w:pPr>
                  <w:r>
                    <w:rPr>
                      <w:rFonts w:hint="eastAsia"/>
                      <w:color w:val="auto"/>
                      <w:szCs w:val="21"/>
                    </w:rPr>
                    <w:t>含油化纤</w:t>
                  </w:r>
                </w:p>
              </w:tc>
              <w:tc>
                <w:tcPr>
                  <w:tcW w:w="1080" w:type="dxa"/>
                  <w:vAlign w:val="center"/>
                </w:tcPr>
                <w:p w14:paraId="61D334D4">
                  <w:pPr>
                    <w:snapToGrid w:val="0"/>
                    <w:jc w:val="center"/>
                    <w:rPr>
                      <w:color w:val="auto"/>
                      <w:szCs w:val="21"/>
                    </w:rPr>
                  </w:pPr>
                  <w:r>
                    <w:rPr>
                      <w:rFonts w:hint="eastAsia"/>
                      <w:color w:val="auto"/>
                      <w:szCs w:val="21"/>
                    </w:rPr>
                    <w:t>0.01t/a</w:t>
                  </w:r>
                </w:p>
              </w:tc>
            </w:tr>
            <w:tr w14:paraId="7468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7" w:type="dxa"/>
                  <w:vAlign w:val="center"/>
                </w:tcPr>
                <w:p w14:paraId="52D8B225">
                  <w:pPr>
                    <w:snapToGrid w:val="0"/>
                    <w:jc w:val="center"/>
                    <w:rPr>
                      <w:color w:val="auto"/>
                      <w:szCs w:val="21"/>
                    </w:rPr>
                  </w:pPr>
                  <w:r>
                    <w:rPr>
                      <w:rFonts w:hint="eastAsia"/>
                      <w:color w:val="auto"/>
                      <w:szCs w:val="21"/>
                    </w:rPr>
                    <w:t>7</w:t>
                  </w:r>
                </w:p>
              </w:tc>
              <w:tc>
                <w:tcPr>
                  <w:tcW w:w="2330" w:type="dxa"/>
                  <w:vAlign w:val="center"/>
                </w:tcPr>
                <w:p w14:paraId="0111BF9E">
                  <w:pPr>
                    <w:snapToGrid w:val="0"/>
                    <w:jc w:val="center"/>
                    <w:rPr>
                      <w:color w:val="auto"/>
                      <w:szCs w:val="21"/>
                    </w:rPr>
                  </w:pPr>
                  <w:r>
                    <w:rPr>
                      <w:rFonts w:hint="eastAsia"/>
                      <w:color w:val="auto"/>
                      <w:szCs w:val="21"/>
                    </w:rPr>
                    <w:t>废活性炭</w:t>
                  </w:r>
                </w:p>
              </w:tc>
              <w:tc>
                <w:tcPr>
                  <w:tcW w:w="1795" w:type="dxa"/>
                  <w:vAlign w:val="center"/>
                </w:tcPr>
                <w:p w14:paraId="00CF664D">
                  <w:pPr>
                    <w:jc w:val="center"/>
                    <w:rPr>
                      <w:color w:val="auto"/>
                      <w:szCs w:val="21"/>
                    </w:rPr>
                  </w:pPr>
                  <w:r>
                    <w:rPr>
                      <w:rFonts w:hint="eastAsia"/>
                      <w:color w:val="auto"/>
                      <w:szCs w:val="21"/>
                    </w:rPr>
                    <w:t>废气处理</w:t>
                  </w:r>
                </w:p>
              </w:tc>
              <w:tc>
                <w:tcPr>
                  <w:tcW w:w="975" w:type="dxa"/>
                  <w:vAlign w:val="center"/>
                </w:tcPr>
                <w:p w14:paraId="3103A76C">
                  <w:pPr>
                    <w:suppressAutoHyphens/>
                    <w:jc w:val="center"/>
                    <w:rPr>
                      <w:color w:val="auto"/>
                      <w:szCs w:val="21"/>
                    </w:rPr>
                  </w:pPr>
                  <w:r>
                    <w:rPr>
                      <w:rFonts w:hint="eastAsia"/>
                      <w:color w:val="auto"/>
                      <w:szCs w:val="21"/>
                    </w:rPr>
                    <w:t>固态</w:t>
                  </w:r>
                </w:p>
              </w:tc>
              <w:tc>
                <w:tcPr>
                  <w:tcW w:w="1850" w:type="dxa"/>
                  <w:vAlign w:val="center"/>
                </w:tcPr>
                <w:p w14:paraId="09C8D67A">
                  <w:pPr>
                    <w:snapToGrid w:val="0"/>
                    <w:jc w:val="center"/>
                    <w:rPr>
                      <w:color w:val="auto"/>
                      <w:szCs w:val="21"/>
                    </w:rPr>
                  </w:pPr>
                  <w:r>
                    <w:rPr>
                      <w:rFonts w:hint="eastAsia"/>
                      <w:color w:val="auto"/>
                      <w:szCs w:val="21"/>
                    </w:rPr>
                    <w:t>废活性炭</w:t>
                  </w:r>
                </w:p>
              </w:tc>
              <w:tc>
                <w:tcPr>
                  <w:tcW w:w="1080" w:type="dxa"/>
                  <w:vAlign w:val="center"/>
                </w:tcPr>
                <w:p w14:paraId="7DB1F25C">
                  <w:pPr>
                    <w:tabs>
                      <w:tab w:val="left" w:pos="677"/>
                    </w:tabs>
                    <w:jc w:val="center"/>
                    <w:rPr>
                      <w:color w:val="auto"/>
                      <w:szCs w:val="21"/>
                    </w:rPr>
                  </w:pPr>
                  <w:r>
                    <w:rPr>
                      <w:rFonts w:hint="eastAsia"/>
                      <w:color w:val="auto"/>
                      <w:szCs w:val="21"/>
                      <w:lang w:val="en-US" w:eastAsia="zh-CN"/>
                    </w:rPr>
                    <w:t>16.173</w:t>
                  </w:r>
                  <w:r>
                    <w:rPr>
                      <w:rFonts w:hint="eastAsia"/>
                      <w:color w:val="auto"/>
                      <w:szCs w:val="21"/>
                    </w:rPr>
                    <w:t>/a</w:t>
                  </w:r>
                </w:p>
              </w:tc>
            </w:tr>
          </w:tbl>
          <w:p w14:paraId="3710E30D">
            <w:pPr>
              <w:pStyle w:val="80"/>
              <w:spacing w:line="420" w:lineRule="exact"/>
              <w:ind w:firstLine="480"/>
              <w:rPr>
                <w:rFonts w:eastAsia="宋体"/>
                <w:color w:val="auto"/>
              </w:rPr>
            </w:pPr>
            <w:r>
              <w:rPr>
                <w:rFonts w:hAnsi="宋体" w:eastAsia="宋体"/>
                <w:color w:val="auto"/>
              </w:rPr>
              <w:t>根据《固体废物鉴别标准通则》</w:t>
            </w:r>
            <w:r>
              <w:rPr>
                <w:rFonts w:hint="eastAsia" w:hAnsi="宋体" w:eastAsia="宋体"/>
                <w:color w:val="auto"/>
              </w:rPr>
              <w:t>（GB 34330-2017）</w:t>
            </w:r>
            <w:r>
              <w:rPr>
                <w:rFonts w:hAnsi="宋体" w:eastAsia="宋体"/>
                <w:color w:val="auto"/>
              </w:rPr>
              <w:t>，判定每种副产品是否属于固体废物，根据《国家危险废物名录（</w:t>
            </w:r>
            <w:r>
              <w:rPr>
                <w:rFonts w:eastAsia="宋体"/>
                <w:color w:val="auto"/>
              </w:rPr>
              <w:t>2021</w:t>
            </w:r>
            <w:r>
              <w:rPr>
                <w:rFonts w:hAnsi="宋体" w:eastAsia="宋体"/>
                <w:color w:val="auto"/>
              </w:rPr>
              <w:t>版）》及《危险废物鉴别标准》</w:t>
            </w:r>
            <w:r>
              <w:rPr>
                <w:rFonts w:hint="eastAsia" w:eastAsia="宋体"/>
                <w:color w:val="auto"/>
                <w:szCs w:val="21"/>
              </w:rPr>
              <w:t>（GB5085.1~7）</w:t>
            </w:r>
            <w:r>
              <w:rPr>
                <w:rFonts w:hAnsi="宋体" w:eastAsia="宋体"/>
                <w:color w:val="auto"/>
              </w:rPr>
              <w:t>，判定建设项目固体废物是否属于危险废物，并列表说明判定依据，详见表</w:t>
            </w:r>
            <w:r>
              <w:rPr>
                <w:rFonts w:hint="eastAsia" w:eastAsia="宋体"/>
                <w:color w:val="auto"/>
              </w:rPr>
              <w:t>4</w:t>
            </w:r>
            <w:r>
              <w:rPr>
                <w:rFonts w:eastAsia="宋体"/>
                <w:color w:val="auto"/>
              </w:rPr>
              <w:t>-</w:t>
            </w:r>
            <w:r>
              <w:rPr>
                <w:rFonts w:hint="eastAsia" w:eastAsia="宋体"/>
                <w:color w:val="auto"/>
              </w:rPr>
              <w:t>2</w:t>
            </w:r>
            <w:r>
              <w:rPr>
                <w:rFonts w:hint="eastAsia" w:eastAsia="宋体"/>
                <w:color w:val="auto"/>
                <w:lang w:val="en-US" w:eastAsia="zh-CN"/>
              </w:rPr>
              <w:t>8</w:t>
            </w:r>
            <w:r>
              <w:rPr>
                <w:rFonts w:hAnsi="宋体" w:eastAsia="宋体"/>
                <w:color w:val="auto"/>
              </w:rPr>
              <w:t>和表</w:t>
            </w:r>
            <w:r>
              <w:rPr>
                <w:rFonts w:hint="eastAsia" w:eastAsia="宋体"/>
                <w:color w:val="auto"/>
              </w:rPr>
              <w:t>4-2</w:t>
            </w:r>
            <w:r>
              <w:rPr>
                <w:rFonts w:hint="eastAsia" w:eastAsia="宋体"/>
                <w:color w:val="auto"/>
                <w:lang w:val="en-US" w:eastAsia="zh-CN"/>
              </w:rPr>
              <w:t>9</w:t>
            </w:r>
            <w:r>
              <w:rPr>
                <w:rFonts w:hAnsi="宋体" w:eastAsia="宋体"/>
                <w:color w:val="auto"/>
              </w:rPr>
              <w:t>。</w:t>
            </w:r>
          </w:p>
          <w:p w14:paraId="5DD5C672">
            <w:pPr>
              <w:pStyle w:val="115"/>
              <w:spacing w:line="400" w:lineRule="exact"/>
              <w:ind w:firstLine="420"/>
              <w:rPr>
                <w:rFonts w:hAnsi="宋体" w:eastAsia="宋体"/>
                <w:color w:val="auto"/>
              </w:rPr>
            </w:pPr>
            <w:r>
              <w:rPr>
                <w:rFonts w:hAnsi="宋体" w:eastAsia="宋体"/>
                <w:color w:val="auto"/>
              </w:rPr>
              <w:t>表</w:t>
            </w:r>
            <w:r>
              <w:rPr>
                <w:rFonts w:eastAsia="宋体"/>
                <w:color w:val="auto"/>
              </w:rPr>
              <w:t>4-</w:t>
            </w:r>
            <w:r>
              <w:rPr>
                <w:rFonts w:hint="eastAsia" w:eastAsia="宋体"/>
                <w:color w:val="auto"/>
              </w:rPr>
              <w:t>2</w:t>
            </w:r>
            <w:r>
              <w:rPr>
                <w:rFonts w:hint="eastAsia" w:eastAsia="宋体"/>
                <w:color w:val="auto"/>
                <w:lang w:val="en-US" w:eastAsia="zh-CN"/>
              </w:rPr>
              <w:t>8</w:t>
            </w:r>
            <w:r>
              <w:rPr>
                <w:rFonts w:hint="eastAsia" w:eastAsia="宋体"/>
                <w:color w:val="auto"/>
              </w:rPr>
              <w:t xml:space="preserve"> </w:t>
            </w:r>
            <w:r>
              <w:rPr>
                <w:rFonts w:eastAsia="宋体"/>
                <w:color w:val="auto"/>
              </w:rPr>
              <w:t xml:space="preserve"> </w:t>
            </w:r>
            <w:r>
              <w:rPr>
                <w:rFonts w:hAnsi="宋体" w:eastAsia="宋体"/>
                <w:color w:val="auto"/>
              </w:rPr>
              <w:t>固体废物属性判定表</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400"/>
              <w:gridCol w:w="1128"/>
              <w:gridCol w:w="732"/>
              <w:gridCol w:w="1680"/>
              <w:gridCol w:w="1128"/>
              <w:gridCol w:w="1080"/>
            </w:tblGrid>
            <w:tr w14:paraId="2A57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9" w:type="dxa"/>
                  <w:vAlign w:val="center"/>
                </w:tcPr>
                <w:p w14:paraId="19734F8E">
                  <w:pPr>
                    <w:snapToGrid w:val="0"/>
                    <w:jc w:val="center"/>
                    <w:rPr>
                      <w:b/>
                      <w:bCs/>
                      <w:color w:val="auto"/>
                      <w:szCs w:val="21"/>
                    </w:rPr>
                  </w:pPr>
                  <w:r>
                    <w:rPr>
                      <w:b/>
                      <w:bCs/>
                      <w:color w:val="auto"/>
                      <w:szCs w:val="21"/>
                    </w:rPr>
                    <w:t>序号</w:t>
                  </w:r>
                </w:p>
              </w:tc>
              <w:tc>
                <w:tcPr>
                  <w:tcW w:w="2400" w:type="dxa"/>
                  <w:vAlign w:val="center"/>
                </w:tcPr>
                <w:p w14:paraId="76AC108E">
                  <w:pPr>
                    <w:snapToGrid w:val="0"/>
                    <w:jc w:val="center"/>
                    <w:rPr>
                      <w:b/>
                      <w:bCs/>
                      <w:color w:val="auto"/>
                      <w:szCs w:val="21"/>
                    </w:rPr>
                  </w:pPr>
                  <w:r>
                    <w:rPr>
                      <w:b/>
                      <w:bCs/>
                      <w:color w:val="auto"/>
                      <w:szCs w:val="21"/>
                    </w:rPr>
                    <w:t>名称</w:t>
                  </w:r>
                </w:p>
              </w:tc>
              <w:tc>
                <w:tcPr>
                  <w:tcW w:w="1128" w:type="dxa"/>
                  <w:vAlign w:val="center"/>
                </w:tcPr>
                <w:p w14:paraId="5C6C0B7A">
                  <w:pPr>
                    <w:snapToGrid w:val="0"/>
                    <w:jc w:val="center"/>
                    <w:rPr>
                      <w:b/>
                      <w:bCs/>
                      <w:color w:val="auto"/>
                      <w:szCs w:val="21"/>
                    </w:rPr>
                  </w:pPr>
                  <w:r>
                    <w:rPr>
                      <w:b/>
                      <w:bCs/>
                      <w:color w:val="auto"/>
                      <w:szCs w:val="21"/>
                    </w:rPr>
                    <w:t>产生工序</w:t>
                  </w:r>
                </w:p>
              </w:tc>
              <w:tc>
                <w:tcPr>
                  <w:tcW w:w="732" w:type="dxa"/>
                  <w:vAlign w:val="center"/>
                </w:tcPr>
                <w:p w14:paraId="668A5A58">
                  <w:pPr>
                    <w:snapToGrid w:val="0"/>
                    <w:jc w:val="center"/>
                    <w:rPr>
                      <w:b/>
                      <w:bCs/>
                      <w:color w:val="auto"/>
                      <w:szCs w:val="21"/>
                    </w:rPr>
                  </w:pPr>
                  <w:r>
                    <w:rPr>
                      <w:b/>
                      <w:bCs/>
                      <w:color w:val="auto"/>
                      <w:szCs w:val="21"/>
                    </w:rPr>
                    <w:t>形态</w:t>
                  </w:r>
                </w:p>
              </w:tc>
              <w:tc>
                <w:tcPr>
                  <w:tcW w:w="1680" w:type="dxa"/>
                  <w:vAlign w:val="center"/>
                </w:tcPr>
                <w:p w14:paraId="4DCA7E23">
                  <w:pPr>
                    <w:snapToGrid w:val="0"/>
                    <w:jc w:val="center"/>
                    <w:rPr>
                      <w:b/>
                      <w:bCs/>
                      <w:color w:val="auto"/>
                      <w:szCs w:val="21"/>
                    </w:rPr>
                  </w:pPr>
                  <w:r>
                    <w:rPr>
                      <w:b/>
                      <w:bCs/>
                      <w:color w:val="auto"/>
                      <w:szCs w:val="21"/>
                    </w:rPr>
                    <w:t>主要成分</w:t>
                  </w:r>
                </w:p>
              </w:tc>
              <w:tc>
                <w:tcPr>
                  <w:tcW w:w="1128" w:type="dxa"/>
                  <w:vAlign w:val="center"/>
                </w:tcPr>
                <w:p w14:paraId="7C16D497">
                  <w:pPr>
                    <w:snapToGrid w:val="0"/>
                    <w:jc w:val="center"/>
                    <w:rPr>
                      <w:b/>
                      <w:bCs/>
                      <w:color w:val="auto"/>
                      <w:szCs w:val="21"/>
                    </w:rPr>
                  </w:pPr>
                  <w:r>
                    <w:rPr>
                      <w:b/>
                      <w:bCs/>
                      <w:color w:val="auto"/>
                      <w:szCs w:val="21"/>
                    </w:rPr>
                    <w:t>是否属于</w:t>
                  </w:r>
                </w:p>
                <w:p w14:paraId="434EF75B">
                  <w:pPr>
                    <w:snapToGrid w:val="0"/>
                    <w:jc w:val="center"/>
                    <w:rPr>
                      <w:b/>
                      <w:bCs/>
                      <w:color w:val="auto"/>
                      <w:szCs w:val="21"/>
                    </w:rPr>
                  </w:pPr>
                  <w:r>
                    <w:rPr>
                      <w:b/>
                      <w:bCs/>
                      <w:color w:val="auto"/>
                      <w:szCs w:val="21"/>
                    </w:rPr>
                    <w:t>固体废物</w:t>
                  </w:r>
                </w:p>
              </w:tc>
              <w:tc>
                <w:tcPr>
                  <w:tcW w:w="1080" w:type="dxa"/>
                  <w:vAlign w:val="center"/>
                </w:tcPr>
                <w:p w14:paraId="1D91D812">
                  <w:pPr>
                    <w:snapToGrid w:val="0"/>
                    <w:jc w:val="center"/>
                    <w:rPr>
                      <w:b/>
                      <w:bCs/>
                      <w:color w:val="auto"/>
                      <w:szCs w:val="21"/>
                    </w:rPr>
                  </w:pPr>
                  <w:r>
                    <w:rPr>
                      <w:b/>
                      <w:bCs/>
                      <w:color w:val="auto"/>
                      <w:szCs w:val="21"/>
                    </w:rPr>
                    <w:t>判定依据</w:t>
                  </w:r>
                </w:p>
              </w:tc>
            </w:tr>
            <w:tr w14:paraId="6A57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9" w:type="dxa"/>
                  <w:vAlign w:val="center"/>
                </w:tcPr>
                <w:p w14:paraId="61BA2648">
                  <w:pPr>
                    <w:tabs>
                      <w:tab w:val="left" w:pos="677"/>
                    </w:tabs>
                    <w:jc w:val="center"/>
                    <w:rPr>
                      <w:color w:val="auto"/>
                      <w:szCs w:val="21"/>
                    </w:rPr>
                  </w:pPr>
                  <w:r>
                    <w:rPr>
                      <w:rFonts w:hint="eastAsia"/>
                      <w:color w:val="auto"/>
                      <w:szCs w:val="21"/>
                    </w:rPr>
                    <w:t>1</w:t>
                  </w:r>
                </w:p>
              </w:tc>
              <w:tc>
                <w:tcPr>
                  <w:tcW w:w="2400" w:type="dxa"/>
                  <w:vAlign w:val="center"/>
                </w:tcPr>
                <w:p w14:paraId="507B4A41">
                  <w:pPr>
                    <w:jc w:val="center"/>
                    <w:rPr>
                      <w:color w:val="auto"/>
                      <w:szCs w:val="21"/>
                    </w:rPr>
                  </w:pPr>
                  <w:r>
                    <w:rPr>
                      <w:rFonts w:hint="eastAsia" w:hAnsi="宋体"/>
                      <w:color w:val="auto"/>
                      <w:szCs w:val="21"/>
                    </w:rPr>
                    <w:t>一般废弃包装材料</w:t>
                  </w:r>
                </w:p>
              </w:tc>
              <w:tc>
                <w:tcPr>
                  <w:tcW w:w="1128" w:type="dxa"/>
                  <w:vAlign w:val="center"/>
                </w:tcPr>
                <w:p w14:paraId="2F32FC3B">
                  <w:pPr>
                    <w:snapToGrid w:val="0"/>
                    <w:jc w:val="center"/>
                    <w:rPr>
                      <w:rFonts w:hAnsi="宋体"/>
                      <w:color w:val="auto"/>
                      <w:szCs w:val="21"/>
                    </w:rPr>
                  </w:pPr>
                  <w:r>
                    <w:rPr>
                      <w:rFonts w:hint="eastAsia"/>
                      <w:bCs/>
                      <w:color w:val="auto"/>
                      <w:szCs w:val="21"/>
                    </w:rPr>
                    <w:t>原料包装</w:t>
                  </w:r>
                </w:p>
              </w:tc>
              <w:tc>
                <w:tcPr>
                  <w:tcW w:w="732" w:type="dxa"/>
                  <w:vAlign w:val="center"/>
                </w:tcPr>
                <w:p w14:paraId="7C6F6129">
                  <w:pPr>
                    <w:snapToGrid w:val="0"/>
                    <w:jc w:val="center"/>
                    <w:rPr>
                      <w:rFonts w:hAnsi="宋体"/>
                      <w:color w:val="auto"/>
                      <w:szCs w:val="21"/>
                    </w:rPr>
                  </w:pPr>
                  <w:r>
                    <w:rPr>
                      <w:rFonts w:hint="eastAsia"/>
                      <w:bCs/>
                      <w:color w:val="auto"/>
                      <w:szCs w:val="21"/>
                    </w:rPr>
                    <w:t>固态</w:t>
                  </w:r>
                </w:p>
              </w:tc>
              <w:tc>
                <w:tcPr>
                  <w:tcW w:w="1680" w:type="dxa"/>
                  <w:vAlign w:val="center"/>
                </w:tcPr>
                <w:p w14:paraId="2640D2D3">
                  <w:pPr>
                    <w:tabs>
                      <w:tab w:val="left" w:pos="677"/>
                    </w:tabs>
                    <w:jc w:val="center"/>
                    <w:rPr>
                      <w:color w:val="auto"/>
                      <w:szCs w:val="21"/>
                    </w:rPr>
                  </w:pPr>
                  <w:r>
                    <w:rPr>
                      <w:rFonts w:hint="eastAsia"/>
                      <w:color w:val="auto"/>
                      <w:szCs w:val="21"/>
                    </w:rPr>
                    <w:t>塑料袋、纸袋</w:t>
                  </w:r>
                </w:p>
              </w:tc>
              <w:tc>
                <w:tcPr>
                  <w:tcW w:w="1128" w:type="dxa"/>
                  <w:vAlign w:val="center"/>
                </w:tcPr>
                <w:p w14:paraId="32A97DF1">
                  <w:pPr>
                    <w:snapToGrid w:val="0"/>
                    <w:jc w:val="center"/>
                    <w:rPr>
                      <w:rFonts w:hAnsi="宋体"/>
                      <w:bCs/>
                      <w:color w:val="auto"/>
                      <w:szCs w:val="21"/>
                    </w:rPr>
                  </w:pPr>
                  <w:r>
                    <w:rPr>
                      <w:rFonts w:hint="eastAsia" w:hAnsi="宋体"/>
                      <w:bCs/>
                      <w:color w:val="auto"/>
                      <w:szCs w:val="21"/>
                    </w:rPr>
                    <w:t>是</w:t>
                  </w:r>
                </w:p>
              </w:tc>
              <w:tc>
                <w:tcPr>
                  <w:tcW w:w="1080" w:type="dxa"/>
                  <w:vAlign w:val="center"/>
                </w:tcPr>
                <w:p w14:paraId="5682ECCE">
                  <w:pPr>
                    <w:snapToGrid w:val="0"/>
                    <w:jc w:val="center"/>
                    <w:rPr>
                      <w:bCs/>
                      <w:color w:val="auto"/>
                      <w:szCs w:val="21"/>
                    </w:rPr>
                  </w:pPr>
                  <w:r>
                    <w:rPr>
                      <w:rFonts w:hint="eastAsia"/>
                      <w:bCs/>
                      <w:color w:val="auto"/>
                      <w:szCs w:val="21"/>
                    </w:rPr>
                    <w:t>4.1-h</w:t>
                  </w:r>
                </w:p>
              </w:tc>
            </w:tr>
            <w:tr w14:paraId="7A8A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9" w:type="dxa"/>
                  <w:vAlign w:val="center"/>
                </w:tcPr>
                <w:p w14:paraId="2C3E9CC8">
                  <w:pPr>
                    <w:snapToGrid w:val="0"/>
                    <w:jc w:val="center"/>
                    <w:rPr>
                      <w:color w:val="auto"/>
                      <w:szCs w:val="21"/>
                    </w:rPr>
                  </w:pPr>
                  <w:r>
                    <w:rPr>
                      <w:rFonts w:hint="eastAsia"/>
                      <w:bCs/>
                      <w:color w:val="auto"/>
                      <w:szCs w:val="21"/>
                    </w:rPr>
                    <w:t>2</w:t>
                  </w:r>
                </w:p>
              </w:tc>
              <w:tc>
                <w:tcPr>
                  <w:tcW w:w="2400" w:type="dxa"/>
                  <w:vAlign w:val="center"/>
                </w:tcPr>
                <w:p w14:paraId="6F4CA6EE">
                  <w:pPr>
                    <w:jc w:val="center"/>
                    <w:rPr>
                      <w:rFonts w:hAnsi="宋体"/>
                      <w:color w:val="auto"/>
                      <w:szCs w:val="21"/>
                    </w:rPr>
                  </w:pPr>
                  <w:r>
                    <w:rPr>
                      <w:rFonts w:hint="eastAsia"/>
                      <w:color w:val="auto"/>
                      <w:szCs w:val="21"/>
                      <w:lang w:eastAsia="zh-CN"/>
                    </w:rPr>
                    <w:t>金属次品及</w:t>
                  </w:r>
                  <w:r>
                    <w:rPr>
                      <w:rFonts w:hint="eastAsia"/>
                      <w:color w:val="auto"/>
                      <w:szCs w:val="21"/>
                    </w:rPr>
                    <w:t>集尘灰</w:t>
                  </w:r>
                </w:p>
              </w:tc>
              <w:tc>
                <w:tcPr>
                  <w:tcW w:w="1128" w:type="dxa"/>
                  <w:vAlign w:val="center"/>
                </w:tcPr>
                <w:p w14:paraId="0286ACBC">
                  <w:pPr>
                    <w:jc w:val="center"/>
                    <w:rPr>
                      <w:bCs/>
                      <w:color w:val="auto"/>
                      <w:szCs w:val="21"/>
                    </w:rPr>
                  </w:pPr>
                  <w:r>
                    <w:rPr>
                      <w:rFonts w:hint="eastAsia" w:hAnsi="宋体"/>
                      <w:color w:val="auto"/>
                      <w:szCs w:val="21"/>
                      <w:lang w:val="en-US" w:eastAsia="zh-CN"/>
                    </w:rPr>
                    <w:t>下料、机加工等</w:t>
                  </w:r>
                </w:p>
              </w:tc>
              <w:tc>
                <w:tcPr>
                  <w:tcW w:w="732" w:type="dxa"/>
                  <w:vAlign w:val="center"/>
                </w:tcPr>
                <w:p w14:paraId="4D40123A">
                  <w:pPr>
                    <w:suppressAutoHyphens/>
                    <w:jc w:val="center"/>
                    <w:rPr>
                      <w:bCs/>
                      <w:color w:val="auto"/>
                      <w:szCs w:val="21"/>
                    </w:rPr>
                  </w:pPr>
                  <w:r>
                    <w:rPr>
                      <w:rFonts w:hint="eastAsia"/>
                      <w:bCs/>
                      <w:color w:val="auto"/>
                      <w:szCs w:val="21"/>
                    </w:rPr>
                    <w:t>固态</w:t>
                  </w:r>
                </w:p>
              </w:tc>
              <w:tc>
                <w:tcPr>
                  <w:tcW w:w="1680" w:type="dxa"/>
                  <w:vAlign w:val="center"/>
                </w:tcPr>
                <w:p w14:paraId="576AAFB9">
                  <w:pPr>
                    <w:widowControl/>
                    <w:jc w:val="center"/>
                    <w:rPr>
                      <w:rFonts w:hint="eastAsia" w:eastAsia="宋体"/>
                      <w:color w:val="auto"/>
                      <w:szCs w:val="21"/>
                      <w:lang w:eastAsia="zh-CN"/>
                    </w:rPr>
                  </w:pPr>
                  <w:r>
                    <w:rPr>
                      <w:rFonts w:hint="eastAsia"/>
                      <w:color w:val="auto"/>
                      <w:szCs w:val="21"/>
                      <w:lang w:eastAsia="zh-CN"/>
                    </w:rPr>
                    <w:t>钢材</w:t>
                  </w:r>
                </w:p>
              </w:tc>
              <w:tc>
                <w:tcPr>
                  <w:tcW w:w="1128" w:type="dxa"/>
                  <w:vAlign w:val="center"/>
                </w:tcPr>
                <w:p w14:paraId="0E5D8673">
                  <w:pPr>
                    <w:snapToGrid w:val="0"/>
                    <w:jc w:val="center"/>
                    <w:rPr>
                      <w:rFonts w:hAnsi="宋体"/>
                      <w:bCs/>
                      <w:color w:val="auto"/>
                      <w:szCs w:val="21"/>
                    </w:rPr>
                  </w:pPr>
                  <w:r>
                    <w:rPr>
                      <w:rFonts w:hint="eastAsia" w:hAnsi="宋体"/>
                      <w:bCs/>
                      <w:color w:val="auto"/>
                      <w:szCs w:val="21"/>
                    </w:rPr>
                    <w:t>是</w:t>
                  </w:r>
                </w:p>
              </w:tc>
              <w:tc>
                <w:tcPr>
                  <w:tcW w:w="1080" w:type="dxa"/>
                  <w:vAlign w:val="center"/>
                </w:tcPr>
                <w:p w14:paraId="6C63F56D">
                  <w:pPr>
                    <w:snapToGrid w:val="0"/>
                    <w:jc w:val="center"/>
                    <w:rPr>
                      <w:bCs/>
                      <w:color w:val="auto"/>
                      <w:szCs w:val="21"/>
                    </w:rPr>
                  </w:pPr>
                  <w:r>
                    <w:rPr>
                      <w:rFonts w:hint="eastAsia"/>
                      <w:bCs/>
                      <w:color w:val="auto"/>
                      <w:szCs w:val="21"/>
                    </w:rPr>
                    <w:t>4.3-a</w:t>
                  </w:r>
                </w:p>
              </w:tc>
            </w:tr>
            <w:tr w14:paraId="69C3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9" w:type="dxa"/>
                  <w:vAlign w:val="center"/>
                </w:tcPr>
                <w:p w14:paraId="024178E6">
                  <w:pPr>
                    <w:snapToGrid w:val="0"/>
                    <w:jc w:val="center"/>
                    <w:rPr>
                      <w:color w:val="auto"/>
                      <w:szCs w:val="21"/>
                    </w:rPr>
                  </w:pPr>
                  <w:r>
                    <w:rPr>
                      <w:rFonts w:hint="eastAsia"/>
                      <w:bCs/>
                      <w:color w:val="auto"/>
                      <w:szCs w:val="21"/>
                    </w:rPr>
                    <w:t>3</w:t>
                  </w:r>
                </w:p>
              </w:tc>
              <w:tc>
                <w:tcPr>
                  <w:tcW w:w="2400" w:type="dxa"/>
                  <w:vAlign w:val="center"/>
                </w:tcPr>
                <w:p w14:paraId="74948E58">
                  <w:pPr>
                    <w:jc w:val="center"/>
                    <w:rPr>
                      <w:rFonts w:hAnsi="宋体"/>
                      <w:color w:val="auto"/>
                      <w:szCs w:val="21"/>
                    </w:rPr>
                  </w:pPr>
                  <w:r>
                    <w:rPr>
                      <w:rFonts w:hint="eastAsia"/>
                      <w:color w:val="auto"/>
                      <w:szCs w:val="21"/>
                      <w:lang w:eastAsia="zh-CN"/>
                    </w:rPr>
                    <w:t>塑料边角料及次品</w:t>
                  </w:r>
                </w:p>
              </w:tc>
              <w:tc>
                <w:tcPr>
                  <w:tcW w:w="1128" w:type="dxa"/>
                  <w:vAlign w:val="center"/>
                </w:tcPr>
                <w:p w14:paraId="61F0D63E">
                  <w:pPr>
                    <w:jc w:val="center"/>
                    <w:rPr>
                      <w:color w:val="auto"/>
                      <w:szCs w:val="21"/>
                    </w:rPr>
                  </w:pPr>
                  <w:r>
                    <w:rPr>
                      <w:rFonts w:hint="eastAsia"/>
                      <w:color w:val="auto"/>
                      <w:szCs w:val="21"/>
                      <w:lang w:eastAsia="zh-CN"/>
                    </w:rPr>
                    <w:t>注塑、修剪</w:t>
                  </w:r>
                  <w:r>
                    <w:rPr>
                      <w:rFonts w:hint="eastAsia"/>
                      <w:color w:val="auto"/>
                      <w:szCs w:val="21"/>
                    </w:rPr>
                    <w:t>工序</w:t>
                  </w:r>
                </w:p>
              </w:tc>
              <w:tc>
                <w:tcPr>
                  <w:tcW w:w="732" w:type="dxa"/>
                  <w:vAlign w:val="center"/>
                </w:tcPr>
                <w:p w14:paraId="2CC511DF">
                  <w:pPr>
                    <w:suppressAutoHyphens/>
                    <w:jc w:val="center"/>
                    <w:rPr>
                      <w:color w:val="auto"/>
                      <w:szCs w:val="21"/>
                    </w:rPr>
                  </w:pPr>
                  <w:r>
                    <w:rPr>
                      <w:rFonts w:hint="eastAsia"/>
                      <w:bCs/>
                      <w:color w:val="auto"/>
                      <w:szCs w:val="21"/>
                    </w:rPr>
                    <w:t>固态</w:t>
                  </w:r>
                </w:p>
              </w:tc>
              <w:tc>
                <w:tcPr>
                  <w:tcW w:w="1680" w:type="dxa"/>
                  <w:vAlign w:val="center"/>
                </w:tcPr>
                <w:p w14:paraId="31E8A658">
                  <w:pPr>
                    <w:widowControl/>
                    <w:jc w:val="center"/>
                    <w:rPr>
                      <w:color w:val="auto"/>
                      <w:szCs w:val="21"/>
                    </w:rPr>
                  </w:pPr>
                  <w:r>
                    <w:rPr>
                      <w:rFonts w:hint="eastAsia"/>
                      <w:bCs/>
                      <w:color w:val="auto"/>
                      <w:szCs w:val="21"/>
                      <w:lang w:eastAsia="zh-CN"/>
                    </w:rPr>
                    <w:t>塑料</w:t>
                  </w:r>
                </w:p>
              </w:tc>
              <w:tc>
                <w:tcPr>
                  <w:tcW w:w="1128" w:type="dxa"/>
                  <w:vAlign w:val="center"/>
                </w:tcPr>
                <w:p w14:paraId="2416AF94">
                  <w:pPr>
                    <w:snapToGrid w:val="0"/>
                    <w:jc w:val="center"/>
                    <w:rPr>
                      <w:rFonts w:hAnsi="宋体"/>
                      <w:bCs/>
                      <w:color w:val="auto"/>
                      <w:szCs w:val="21"/>
                    </w:rPr>
                  </w:pPr>
                  <w:r>
                    <w:rPr>
                      <w:rFonts w:hint="eastAsia" w:hAnsi="宋体"/>
                      <w:bCs/>
                      <w:color w:val="auto"/>
                      <w:szCs w:val="21"/>
                    </w:rPr>
                    <w:t>是</w:t>
                  </w:r>
                </w:p>
              </w:tc>
              <w:tc>
                <w:tcPr>
                  <w:tcW w:w="1080" w:type="dxa"/>
                  <w:vAlign w:val="center"/>
                </w:tcPr>
                <w:p w14:paraId="19A75733">
                  <w:pPr>
                    <w:snapToGrid w:val="0"/>
                    <w:jc w:val="center"/>
                    <w:rPr>
                      <w:bCs/>
                      <w:color w:val="auto"/>
                      <w:szCs w:val="21"/>
                    </w:rPr>
                  </w:pPr>
                  <w:r>
                    <w:rPr>
                      <w:rFonts w:hint="eastAsia"/>
                      <w:bCs/>
                      <w:color w:val="auto"/>
                      <w:szCs w:val="21"/>
                    </w:rPr>
                    <w:t>4.1-h</w:t>
                  </w:r>
                </w:p>
              </w:tc>
            </w:tr>
            <w:tr w14:paraId="4203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9" w:type="dxa"/>
                  <w:vAlign w:val="center"/>
                </w:tcPr>
                <w:p w14:paraId="6AA7B020">
                  <w:pPr>
                    <w:snapToGrid w:val="0"/>
                    <w:jc w:val="center"/>
                    <w:rPr>
                      <w:color w:val="auto"/>
                      <w:szCs w:val="21"/>
                    </w:rPr>
                  </w:pPr>
                  <w:r>
                    <w:rPr>
                      <w:rFonts w:hint="eastAsia"/>
                      <w:bCs/>
                      <w:color w:val="auto"/>
                      <w:szCs w:val="21"/>
                    </w:rPr>
                    <w:t>4</w:t>
                  </w:r>
                </w:p>
              </w:tc>
              <w:tc>
                <w:tcPr>
                  <w:tcW w:w="2400" w:type="dxa"/>
                  <w:vAlign w:val="center"/>
                </w:tcPr>
                <w:p w14:paraId="33A81A0F">
                  <w:pPr>
                    <w:snapToGrid w:val="0"/>
                    <w:jc w:val="center"/>
                    <w:rPr>
                      <w:color w:val="auto"/>
                      <w:szCs w:val="21"/>
                    </w:rPr>
                  </w:pPr>
                  <w:r>
                    <w:rPr>
                      <w:color w:val="auto"/>
                      <w:szCs w:val="21"/>
                    </w:rPr>
                    <w:t>废润滑油</w:t>
                  </w:r>
                </w:p>
              </w:tc>
              <w:tc>
                <w:tcPr>
                  <w:tcW w:w="1128" w:type="dxa"/>
                  <w:vAlign w:val="center"/>
                </w:tcPr>
                <w:p w14:paraId="214BED5A">
                  <w:pPr>
                    <w:jc w:val="center"/>
                    <w:rPr>
                      <w:rFonts w:hAnsi="宋体"/>
                      <w:color w:val="auto"/>
                      <w:szCs w:val="21"/>
                    </w:rPr>
                  </w:pPr>
                  <w:r>
                    <w:rPr>
                      <w:rFonts w:hint="eastAsia"/>
                      <w:color w:val="auto"/>
                      <w:szCs w:val="21"/>
                    </w:rPr>
                    <w:t>设备使用</w:t>
                  </w:r>
                </w:p>
              </w:tc>
              <w:tc>
                <w:tcPr>
                  <w:tcW w:w="732" w:type="dxa"/>
                  <w:vAlign w:val="center"/>
                </w:tcPr>
                <w:p w14:paraId="52E31B47">
                  <w:pPr>
                    <w:suppressAutoHyphens/>
                    <w:jc w:val="center"/>
                    <w:rPr>
                      <w:rFonts w:hAnsi="宋体"/>
                      <w:color w:val="auto"/>
                      <w:szCs w:val="21"/>
                    </w:rPr>
                  </w:pPr>
                  <w:r>
                    <w:rPr>
                      <w:rFonts w:hint="eastAsia"/>
                      <w:color w:val="auto"/>
                      <w:szCs w:val="21"/>
                    </w:rPr>
                    <w:t>液体</w:t>
                  </w:r>
                </w:p>
              </w:tc>
              <w:tc>
                <w:tcPr>
                  <w:tcW w:w="1680" w:type="dxa"/>
                  <w:vAlign w:val="center"/>
                </w:tcPr>
                <w:p w14:paraId="0DE27568">
                  <w:pPr>
                    <w:snapToGrid w:val="0"/>
                    <w:jc w:val="center"/>
                    <w:rPr>
                      <w:color w:val="auto"/>
                      <w:szCs w:val="21"/>
                    </w:rPr>
                  </w:pPr>
                  <w:r>
                    <w:rPr>
                      <w:rFonts w:hint="eastAsia"/>
                      <w:color w:val="auto"/>
                      <w:szCs w:val="21"/>
                    </w:rPr>
                    <w:t>废矿物油</w:t>
                  </w:r>
                </w:p>
              </w:tc>
              <w:tc>
                <w:tcPr>
                  <w:tcW w:w="1128" w:type="dxa"/>
                  <w:vAlign w:val="center"/>
                </w:tcPr>
                <w:p w14:paraId="037FDCF0">
                  <w:pPr>
                    <w:snapToGrid w:val="0"/>
                    <w:jc w:val="center"/>
                    <w:rPr>
                      <w:rFonts w:hAnsi="宋体"/>
                      <w:bCs/>
                      <w:color w:val="auto"/>
                      <w:szCs w:val="21"/>
                    </w:rPr>
                  </w:pPr>
                  <w:r>
                    <w:rPr>
                      <w:rFonts w:hint="eastAsia" w:hAnsi="宋体"/>
                      <w:bCs/>
                      <w:color w:val="auto"/>
                      <w:szCs w:val="21"/>
                    </w:rPr>
                    <w:t>是</w:t>
                  </w:r>
                </w:p>
              </w:tc>
              <w:tc>
                <w:tcPr>
                  <w:tcW w:w="1080" w:type="dxa"/>
                  <w:vAlign w:val="center"/>
                </w:tcPr>
                <w:p w14:paraId="653DE6A8">
                  <w:pPr>
                    <w:snapToGrid w:val="0"/>
                    <w:jc w:val="center"/>
                    <w:rPr>
                      <w:bCs/>
                      <w:color w:val="auto"/>
                      <w:szCs w:val="21"/>
                    </w:rPr>
                  </w:pPr>
                  <w:r>
                    <w:rPr>
                      <w:rFonts w:hint="eastAsia"/>
                      <w:bCs/>
                      <w:color w:val="auto"/>
                      <w:szCs w:val="21"/>
                    </w:rPr>
                    <w:t>4.1-h</w:t>
                  </w:r>
                </w:p>
              </w:tc>
            </w:tr>
            <w:tr w14:paraId="1479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9" w:type="dxa"/>
                  <w:vAlign w:val="center"/>
                </w:tcPr>
                <w:p w14:paraId="00BB4074">
                  <w:pPr>
                    <w:snapToGrid w:val="0"/>
                    <w:jc w:val="center"/>
                    <w:rPr>
                      <w:color w:val="auto"/>
                      <w:szCs w:val="21"/>
                    </w:rPr>
                  </w:pPr>
                  <w:r>
                    <w:rPr>
                      <w:rFonts w:hint="eastAsia"/>
                      <w:color w:val="auto"/>
                      <w:szCs w:val="21"/>
                    </w:rPr>
                    <w:t>5</w:t>
                  </w:r>
                </w:p>
              </w:tc>
              <w:tc>
                <w:tcPr>
                  <w:tcW w:w="2400" w:type="dxa"/>
                  <w:vAlign w:val="center"/>
                </w:tcPr>
                <w:p w14:paraId="667C1AD1">
                  <w:pPr>
                    <w:snapToGrid w:val="0"/>
                    <w:jc w:val="center"/>
                    <w:rPr>
                      <w:color w:val="auto"/>
                      <w:szCs w:val="21"/>
                    </w:rPr>
                  </w:pPr>
                  <w:r>
                    <w:rPr>
                      <w:rFonts w:hint="eastAsia"/>
                      <w:color w:val="auto"/>
                      <w:szCs w:val="21"/>
                    </w:rPr>
                    <w:t>废油桶</w:t>
                  </w:r>
                </w:p>
              </w:tc>
              <w:tc>
                <w:tcPr>
                  <w:tcW w:w="1128" w:type="dxa"/>
                  <w:vAlign w:val="center"/>
                </w:tcPr>
                <w:p w14:paraId="42051D67">
                  <w:pPr>
                    <w:jc w:val="center"/>
                    <w:rPr>
                      <w:color w:val="auto"/>
                      <w:szCs w:val="21"/>
                    </w:rPr>
                  </w:pPr>
                  <w:r>
                    <w:rPr>
                      <w:rFonts w:hint="eastAsia"/>
                      <w:color w:val="auto"/>
                      <w:szCs w:val="21"/>
                    </w:rPr>
                    <w:t>原料包装</w:t>
                  </w:r>
                </w:p>
              </w:tc>
              <w:tc>
                <w:tcPr>
                  <w:tcW w:w="732" w:type="dxa"/>
                  <w:vAlign w:val="center"/>
                </w:tcPr>
                <w:p w14:paraId="44DCB159">
                  <w:pPr>
                    <w:suppressAutoHyphens/>
                    <w:jc w:val="center"/>
                    <w:rPr>
                      <w:bCs/>
                      <w:color w:val="auto"/>
                      <w:szCs w:val="21"/>
                    </w:rPr>
                  </w:pPr>
                  <w:r>
                    <w:rPr>
                      <w:rFonts w:hint="eastAsia"/>
                      <w:color w:val="auto"/>
                      <w:szCs w:val="21"/>
                    </w:rPr>
                    <w:t>固态</w:t>
                  </w:r>
                </w:p>
              </w:tc>
              <w:tc>
                <w:tcPr>
                  <w:tcW w:w="1680" w:type="dxa"/>
                  <w:vAlign w:val="center"/>
                </w:tcPr>
                <w:p w14:paraId="0D2A12CE">
                  <w:pPr>
                    <w:snapToGrid w:val="0"/>
                    <w:jc w:val="center"/>
                    <w:rPr>
                      <w:color w:val="auto"/>
                      <w:szCs w:val="21"/>
                    </w:rPr>
                  </w:pPr>
                  <w:r>
                    <w:rPr>
                      <w:rFonts w:hint="eastAsia"/>
                      <w:color w:val="auto"/>
                      <w:szCs w:val="21"/>
                    </w:rPr>
                    <w:t>铁桶</w:t>
                  </w:r>
                </w:p>
              </w:tc>
              <w:tc>
                <w:tcPr>
                  <w:tcW w:w="1128" w:type="dxa"/>
                  <w:vAlign w:val="center"/>
                </w:tcPr>
                <w:p w14:paraId="580C513E">
                  <w:pPr>
                    <w:snapToGrid w:val="0"/>
                    <w:jc w:val="center"/>
                    <w:rPr>
                      <w:rFonts w:hAnsi="宋体"/>
                      <w:bCs/>
                      <w:color w:val="auto"/>
                      <w:szCs w:val="21"/>
                    </w:rPr>
                  </w:pPr>
                  <w:r>
                    <w:rPr>
                      <w:rFonts w:hint="eastAsia" w:hAnsi="宋体"/>
                      <w:bCs/>
                      <w:color w:val="auto"/>
                      <w:szCs w:val="21"/>
                    </w:rPr>
                    <w:t>是</w:t>
                  </w:r>
                </w:p>
              </w:tc>
              <w:tc>
                <w:tcPr>
                  <w:tcW w:w="1080" w:type="dxa"/>
                  <w:vAlign w:val="center"/>
                </w:tcPr>
                <w:p w14:paraId="24239D4D">
                  <w:pPr>
                    <w:snapToGrid w:val="0"/>
                    <w:jc w:val="center"/>
                    <w:rPr>
                      <w:bCs/>
                      <w:color w:val="auto"/>
                      <w:szCs w:val="21"/>
                    </w:rPr>
                  </w:pPr>
                  <w:r>
                    <w:rPr>
                      <w:rFonts w:hint="eastAsia"/>
                      <w:bCs/>
                      <w:color w:val="auto"/>
                      <w:szCs w:val="21"/>
                    </w:rPr>
                    <w:t>4.1-c</w:t>
                  </w:r>
                </w:p>
              </w:tc>
            </w:tr>
            <w:tr w14:paraId="251E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9" w:type="dxa"/>
                  <w:vAlign w:val="center"/>
                </w:tcPr>
                <w:p w14:paraId="6B949CC6">
                  <w:pPr>
                    <w:snapToGrid w:val="0"/>
                    <w:jc w:val="center"/>
                    <w:rPr>
                      <w:color w:val="auto"/>
                      <w:szCs w:val="21"/>
                    </w:rPr>
                  </w:pPr>
                  <w:r>
                    <w:rPr>
                      <w:rFonts w:hint="eastAsia"/>
                      <w:color w:val="auto"/>
                      <w:szCs w:val="21"/>
                    </w:rPr>
                    <w:t>6</w:t>
                  </w:r>
                </w:p>
              </w:tc>
              <w:tc>
                <w:tcPr>
                  <w:tcW w:w="2400" w:type="dxa"/>
                  <w:vAlign w:val="center"/>
                </w:tcPr>
                <w:p w14:paraId="1A709D5F">
                  <w:pPr>
                    <w:snapToGrid w:val="0"/>
                    <w:jc w:val="center"/>
                    <w:rPr>
                      <w:color w:val="auto"/>
                      <w:szCs w:val="21"/>
                    </w:rPr>
                  </w:pPr>
                  <w:r>
                    <w:rPr>
                      <w:rFonts w:hint="eastAsia"/>
                      <w:color w:val="auto"/>
                      <w:szCs w:val="21"/>
                    </w:rPr>
                    <w:t>废含油抹布、劳保用品</w:t>
                  </w:r>
                </w:p>
              </w:tc>
              <w:tc>
                <w:tcPr>
                  <w:tcW w:w="1128" w:type="dxa"/>
                  <w:vAlign w:val="center"/>
                </w:tcPr>
                <w:p w14:paraId="63798A43">
                  <w:pPr>
                    <w:snapToGrid w:val="0"/>
                    <w:jc w:val="center"/>
                    <w:rPr>
                      <w:color w:val="auto"/>
                      <w:szCs w:val="21"/>
                    </w:rPr>
                  </w:pPr>
                  <w:r>
                    <w:rPr>
                      <w:rFonts w:hint="eastAsia"/>
                      <w:color w:val="auto"/>
                      <w:szCs w:val="21"/>
                    </w:rPr>
                    <w:t>设备使用</w:t>
                  </w:r>
                </w:p>
              </w:tc>
              <w:tc>
                <w:tcPr>
                  <w:tcW w:w="732" w:type="dxa"/>
                  <w:vAlign w:val="center"/>
                </w:tcPr>
                <w:p w14:paraId="28BB9F6D">
                  <w:pPr>
                    <w:snapToGrid w:val="0"/>
                    <w:jc w:val="center"/>
                    <w:rPr>
                      <w:bCs/>
                      <w:color w:val="auto"/>
                      <w:szCs w:val="21"/>
                    </w:rPr>
                  </w:pPr>
                  <w:r>
                    <w:rPr>
                      <w:rFonts w:hint="eastAsia"/>
                      <w:color w:val="auto"/>
                      <w:szCs w:val="21"/>
                    </w:rPr>
                    <w:t>固态</w:t>
                  </w:r>
                </w:p>
              </w:tc>
              <w:tc>
                <w:tcPr>
                  <w:tcW w:w="1680" w:type="dxa"/>
                  <w:vAlign w:val="center"/>
                </w:tcPr>
                <w:p w14:paraId="30CE9CBD">
                  <w:pPr>
                    <w:snapToGrid w:val="0"/>
                    <w:jc w:val="center"/>
                    <w:rPr>
                      <w:color w:val="auto"/>
                      <w:szCs w:val="21"/>
                    </w:rPr>
                  </w:pPr>
                  <w:r>
                    <w:rPr>
                      <w:rFonts w:hint="eastAsia"/>
                      <w:color w:val="auto"/>
                      <w:szCs w:val="21"/>
                    </w:rPr>
                    <w:t>含油化纤</w:t>
                  </w:r>
                </w:p>
              </w:tc>
              <w:tc>
                <w:tcPr>
                  <w:tcW w:w="1128" w:type="dxa"/>
                  <w:vAlign w:val="center"/>
                </w:tcPr>
                <w:p w14:paraId="11CF4357">
                  <w:pPr>
                    <w:snapToGrid w:val="0"/>
                    <w:jc w:val="center"/>
                    <w:rPr>
                      <w:rFonts w:hAnsi="宋体"/>
                      <w:bCs/>
                      <w:color w:val="auto"/>
                      <w:szCs w:val="21"/>
                    </w:rPr>
                  </w:pPr>
                  <w:r>
                    <w:rPr>
                      <w:rFonts w:hint="eastAsia" w:hAnsi="宋体"/>
                      <w:bCs/>
                      <w:color w:val="auto"/>
                      <w:szCs w:val="21"/>
                    </w:rPr>
                    <w:t>是</w:t>
                  </w:r>
                </w:p>
              </w:tc>
              <w:tc>
                <w:tcPr>
                  <w:tcW w:w="1080" w:type="dxa"/>
                  <w:vAlign w:val="center"/>
                </w:tcPr>
                <w:p w14:paraId="499CA45C">
                  <w:pPr>
                    <w:snapToGrid w:val="0"/>
                    <w:jc w:val="center"/>
                    <w:rPr>
                      <w:bCs/>
                      <w:color w:val="auto"/>
                      <w:szCs w:val="21"/>
                    </w:rPr>
                  </w:pPr>
                  <w:r>
                    <w:rPr>
                      <w:rFonts w:hint="eastAsia"/>
                      <w:bCs/>
                      <w:color w:val="auto"/>
                      <w:szCs w:val="21"/>
                    </w:rPr>
                    <w:t>4.1-c</w:t>
                  </w:r>
                </w:p>
              </w:tc>
            </w:tr>
            <w:tr w14:paraId="662E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9" w:type="dxa"/>
                  <w:vAlign w:val="center"/>
                </w:tcPr>
                <w:p w14:paraId="0BFD1DDB">
                  <w:pPr>
                    <w:snapToGrid w:val="0"/>
                    <w:jc w:val="center"/>
                    <w:rPr>
                      <w:color w:val="auto"/>
                      <w:szCs w:val="21"/>
                    </w:rPr>
                  </w:pPr>
                  <w:r>
                    <w:rPr>
                      <w:rFonts w:hint="eastAsia"/>
                      <w:color w:val="auto"/>
                      <w:szCs w:val="21"/>
                    </w:rPr>
                    <w:t>7</w:t>
                  </w:r>
                </w:p>
              </w:tc>
              <w:tc>
                <w:tcPr>
                  <w:tcW w:w="2400" w:type="dxa"/>
                  <w:vAlign w:val="center"/>
                </w:tcPr>
                <w:p w14:paraId="69FB4989">
                  <w:pPr>
                    <w:snapToGrid w:val="0"/>
                    <w:jc w:val="center"/>
                    <w:rPr>
                      <w:color w:val="auto"/>
                      <w:szCs w:val="21"/>
                    </w:rPr>
                  </w:pPr>
                  <w:r>
                    <w:rPr>
                      <w:rFonts w:hint="eastAsia"/>
                      <w:color w:val="auto"/>
                      <w:szCs w:val="21"/>
                    </w:rPr>
                    <w:t>废活性炭</w:t>
                  </w:r>
                </w:p>
              </w:tc>
              <w:tc>
                <w:tcPr>
                  <w:tcW w:w="1128" w:type="dxa"/>
                  <w:vAlign w:val="center"/>
                </w:tcPr>
                <w:p w14:paraId="070992F6">
                  <w:pPr>
                    <w:jc w:val="center"/>
                    <w:rPr>
                      <w:rFonts w:hAnsi="宋体"/>
                      <w:color w:val="auto"/>
                      <w:szCs w:val="21"/>
                    </w:rPr>
                  </w:pPr>
                  <w:r>
                    <w:rPr>
                      <w:rFonts w:hint="eastAsia"/>
                      <w:color w:val="auto"/>
                      <w:szCs w:val="21"/>
                    </w:rPr>
                    <w:t>废气处理</w:t>
                  </w:r>
                </w:p>
              </w:tc>
              <w:tc>
                <w:tcPr>
                  <w:tcW w:w="732" w:type="dxa"/>
                  <w:vAlign w:val="center"/>
                </w:tcPr>
                <w:p w14:paraId="4CD7867C">
                  <w:pPr>
                    <w:suppressAutoHyphens/>
                    <w:jc w:val="center"/>
                    <w:rPr>
                      <w:rFonts w:hAnsi="宋体"/>
                      <w:color w:val="auto"/>
                      <w:szCs w:val="21"/>
                    </w:rPr>
                  </w:pPr>
                  <w:r>
                    <w:rPr>
                      <w:rFonts w:hint="eastAsia"/>
                      <w:color w:val="auto"/>
                      <w:szCs w:val="21"/>
                    </w:rPr>
                    <w:t>固态</w:t>
                  </w:r>
                </w:p>
              </w:tc>
              <w:tc>
                <w:tcPr>
                  <w:tcW w:w="1680" w:type="dxa"/>
                  <w:vAlign w:val="center"/>
                </w:tcPr>
                <w:p w14:paraId="57DCA43B">
                  <w:pPr>
                    <w:snapToGrid w:val="0"/>
                    <w:jc w:val="center"/>
                    <w:rPr>
                      <w:color w:val="auto"/>
                      <w:szCs w:val="21"/>
                    </w:rPr>
                  </w:pPr>
                  <w:r>
                    <w:rPr>
                      <w:rFonts w:hint="eastAsia"/>
                      <w:color w:val="auto"/>
                      <w:szCs w:val="21"/>
                    </w:rPr>
                    <w:t>废活性炭</w:t>
                  </w:r>
                </w:p>
              </w:tc>
              <w:tc>
                <w:tcPr>
                  <w:tcW w:w="1128" w:type="dxa"/>
                  <w:vAlign w:val="center"/>
                </w:tcPr>
                <w:p w14:paraId="1DC4C28D">
                  <w:pPr>
                    <w:snapToGrid w:val="0"/>
                    <w:jc w:val="center"/>
                    <w:rPr>
                      <w:rFonts w:hAnsi="宋体"/>
                      <w:bCs/>
                      <w:color w:val="auto"/>
                      <w:szCs w:val="21"/>
                    </w:rPr>
                  </w:pPr>
                  <w:r>
                    <w:rPr>
                      <w:rFonts w:hint="eastAsia" w:hAnsi="宋体"/>
                      <w:bCs/>
                      <w:color w:val="auto"/>
                      <w:szCs w:val="21"/>
                    </w:rPr>
                    <w:t>是</w:t>
                  </w:r>
                </w:p>
              </w:tc>
              <w:tc>
                <w:tcPr>
                  <w:tcW w:w="1080" w:type="dxa"/>
                  <w:vAlign w:val="center"/>
                </w:tcPr>
                <w:p w14:paraId="430BB9AE">
                  <w:pPr>
                    <w:snapToGrid w:val="0"/>
                    <w:jc w:val="center"/>
                    <w:rPr>
                      <w:bCs/>
                      <w:color w:val="auto"/>
                      <w:szCs w:val="21"/>
                    </w:rPr>
                  </w:pPr>
                  <w:r>
                    <w:rPr>
                      <w:rFonts w:hint="eastAsia"/>
                      <w:bCs/>
                      <w:color w:val="auto"/>
                      <w:szCs w:val="21"/>
                    </w:rPr>
                    <w:t>4.1-c</w:t>
                  </w:r>
                </w:p>
              </w:tc>
            </w:tr>
          </w:tbl>
          <w:p w14:paraId="6A4FF12C">
            <w:pPr>
              <w:pStyle w:val="15"/>
              <w:spacing w:after="0" w:line="400" w:lineRule="exact"/>
              <w:ind w:left="0" w:leftChars="0"/>
              <w:jc w:val="center"/>
              <w:rPr>
                <w:rFonts w:hAnsi="宋体"/>
                <w:b/>
                <w:color w:val="auto"/>
                <w:sz w:val="21"/>
                <w:szCs w:val="21"/>
              </w:rPr>
            </w:pPr>
            <w:r>
              <w:rPr>
                <w:rFonts w:hAnsi="宋体"/>
                <w:b/>
                <w:color w:val="auto"/>
                <w:sz w:val="21"/>
                <w:szCs w:val="21"/>
              </w:rPr>
              <w:t>表</w:t>
            </w:r>
            <w:r>
              <w:rPr>
                <w:rFonts w:hint="eastAsia"/>
                <w:b/>
                <w:color w:val="auto"/>
                <w:sz w:val="21"/>
                <w:szCs w:val="21"/>
              </w:rPr>
              <w:t>4</w:t>
            </w:r>
            <w:r>
              <w:rPr>
                <w:b/>
                <w:color w:val="auto"/>
                <w:sz w:val="21"/>
                <w:szCs w:val="21"/>
              </w:rPr>
              <w:t>-</w:t>
            </w:r>
            <w:r>
              <w:rPr>
                <w:rFonts w:hint="eastAsia"/>
                <w:b/>
                <w:color w:val="auto"/>
                <w:sz w:val="21"/>
                <w:szCs w:val="21"/>
              </w:rPr>
              <w:t>2</w:t>
            </w:r>
            <w:r>
              <w:rPr>
                <w:rFonts w:hint="eastAsia"/>
                <w:b/>
                <w:color w:val="auto"/>
                <w:sz w:val="21"/>
                <w:szCs w:val="21"/>
                <w:lang w:val="en-US" w:eastAsia="zh-CN"/>
              </w:rPr>
              <w:t>9</w:t>
            </w:r>
            <w:r>
              <w:rPr>
                <w:rFonts w:hint="eastAsia"/>
                <w:b/>
                <w:color w:val="auto"/>
                <w:sz w:val="21"/>
                <w:szCs w:val="21"/>
              </w:rPr>
              <w:t xml:space="preserve">  </w:t>
            </w:r>
            <w:r>
              <w:rPr>
                <w:rFonts w:hAnsi="宋体"/>
                <w:b/>
                <w:color w:val="auto"/>
                <w:sz w:val="21"/>
                <w:szCs w:val="21"/>
              </w:rPr>
              <w:t>危险废物属性判定表</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401"/>
              <w:gridCol w:w="1128"/>
              <w:gridCol w:w="1910"/>
              <w:gridCol w:w="2710"/>
            </w:tblGrid>
            <w:tr w14:paraId="6778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8" w:type="dxa"/>
                  <w:vAlign w:val="center"/>
                </w:tcPr>
                <w:p w14:paraId="28355C1F">
                  <w:pPr>
                    <w:tabs>
                      <w:tab w:val="left" w:pos="677"/>
                    </w:tabs>
                    <w:jc w:val="center"/>
                    <w:rPr>
                      <w:b/>
                      <w:color w:val="auto"/>
                      <w:szCs w:val="21"/>
                    </w:rPr>
                  </w:pPr>
                  <w:r>
                    <w:rPr>
                      <w:rFonts w:hAnsi="宋体"/>
                      <w:b/>
                      <w:color w:val="auto"/>
                      <w:szCs w:val="21"/>
                    </w:rPr>
                    <w:t>序号</w:t>
                  </w:r>
                </w:p>
              </w:tc>
              <w:tc>
                <w:tcPr>
                  <w:tcW w:w="2401" w:type="dxa"/>
                  <w:vAlign w:val="center"/>
                </w:tcPr>
                <w:p w14:paraId="25DB80AB">
                  <w:pPr>
                    <w:tabs>
                      <w:tab w:val="left" w:pos="677"/>
                    </w:tabs>
                    <w:jc w:val="center"/>
                    <w:rPr>
                      <w:b/>
                      <w:color w:val="auto"/>
                      <w:szCs w:val="21"/>
                    </w:rPr>
                  </w:pPr>
                  <w:r>
                    <w:rPr>
                      <w:rFonts w:hAnsi="宋体"/>
                      <w:b/>
                      <w:color w:val="auto"/>
                      <w:szCs w:val="21"/>
                    </w:rPr>
                    <w:t>固体废物名称</w:t>
                  </w:r>
                </w:p>
              </w:tc>
              <w:tc>
                <w:tcPr>
                  <w:tcW w:w="1128" w:type="dxa"/>
                  <w:vAlign w:val="center"/>
                </w:tcPr>
                <w:p w14:paraId="5CFA9FCA">
                  <w:pPr>
                    <w:tabs>
                      <w:tab w:val="left" w:pos="677"/>
                    </w:tabs>
                    <w:jc w:val="center"/>
                    <w:rPr>
                      <w:b/>
                      <w:color w:val="auto"/>
                      <w:szCs w:val="21"/>
                    </w:rPr>
                  </w:pPr>
                  <w:r>
                    <w:rPr>
                      <w:rFonts w:hAnsi="宋体"/>
                      <w:b/>
                      <w:color w:val="auto"/>
                      <w:szCs w:val="21"/>
                    </w:rPr>
                    <w:t>产生工序</w:t>
                  </w:r>
                </w:p>
              </w:tc>
              <w:tc>
                <w:tcPr>
                  <w:tcW w:w="1910" w:type="dxa"/>
                  <w:vAlign w:val="center"/>
                </w:tcPr>
                <w:p w14:paraId="30950A83">
                  <w:pPr>
                    <w:tabs>
                      <w:tab w:val="left" w:pos="677"/>
                    </w:tabs>
                    <w:jc w:val="center"/>
                    <w:rPr>
                      <w:b/>
                      <w:color w:val="auto"/>
                      <w:szCs w:val="21"/>
                    </w:rPr>
                  </w:pPr>
                  <w:r>
                    <w:rPr>
                      <w:rFonts w:hAnsi="宋体"/>
                      <w:b/>
                      <w:color w:val="auto"/>
                      <w:szCs w:val="21"/>
                    </w:rPr>
                    <w:t>是否危险废物</w:t>
                  </w:r>
                </w:p>
              </w:tc>
              <w:tc>
                <w:tcPr>
                  <w:tcW w:w="2710" w:type="dxa"/>
                  <w:vAlign w:val="center"/>
                </w:tcPr>
                <w:p w14:paraId="721E975E">
                  <w:pPr>
                    <w:tabs>
                      <w:tab w:val="left" w:pos="677"/>
                    </w:tabs>
                    <w:jc w:val="center"/>
                    <w:rPr>
                      <w:b/>
                      <w:color w:val="auto"/>
                      <w:szCs w:val="21"/>
                    </w:rPr>
                  </w:pPr>
                  <w:r>
                    <w:rPr>
                      <w:rFonts w:hint="eastAsia" w:hAnsi="宋体"/>
                      <w:b/>
                      <w:color w:val="auto"/>
                      <w:szCs w:val="21"/>
                    </w:rPr>
                    <w:t>危废</w:t>
                  </w:r>
                  <w:r>
                    <w:rPr>
                      <w:rFonts w:hAnsi="宋体"/>
                      <w:b/>
                      <w:color w:val="auto"/>
                      <w:szCs w:val="21"/>
                    </w:rPr>
                    <w:t>代码</w:t>
                  </w:r>
                </w:p>
              </w:tc>
            </w:tr>
            <w:tr w14:paraId="0915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8" w:type="dxa"/>
                  <w:vAlign w:val="center"/>
                </w:tcPr>
                <w:p w14:paraId="58E1DD67">
                  <w:pPr>
                    <w:tabs>
                      <w:tab w:val="left" w:pos="677"/>
                    </w:tabs>
                    <w:jc w:val="center"/>
                    <w:rPr>
                      <w:color w:val="auto"/>
                      <w:szCs w:val="21"/>
                    </w:rPr>
                  </w:pPr>
                  <w:r>
                    <w:rPr>
                      <w:rFonts w:hint="eastAsia"/>
                      <w:color w:val="auto"/>
                      <w:szCs w:val="21"/>
                    </w:rPr>
                    <w:t>1</w:t>
                  </w:r>
                </w:p>
              </w:tc>
              <w:tc>
                <w:tcPr>
                  <w:tcW w:w="2401" w:type="dxa"/>
                  <w:vAlign w:val="center"/>
                </w:tcPr>
                <w:p w14:paraId="0E4A3726">
                  <w:pPr>
                    <w:jc w:val="center"/>
                    <w:rPr>
                      <w:color w:val="auto"/>
                      <w:szCs w:val="21"/>
                    </w:rPr>
                  </w:pPr>
                  <w:r>
                    <w:rPr>
                      <w:rFonts w:hint="eastAsia" w:hAnsi="宋体"/>
                      <w:color w:val="auto"/>
                      <w:szCs w:val="21"/>
                    </w:rPr>
                    <w:t>一般废弃包装材料</w:t>
                  </w:r>
                </w:p>
              </w:tc>
              <w:tc>
                <w:tcPr>
                  <w:tcW w:w="1128" w:type="dxa"/>
                  <w:vAlign w:val="center"/>
                </w:tcPr>
                <w:p w14:paraId="495BC253">
                  <w:pPr>
                    <w:snapToGrid w:val="0"/>
                    <w:jc w:val="center"/>
                    <w:rPr>
                      <w:rFonts w:hAnsi="宋体"/>
                      <w:color w:val="auto"/>
                      <w:szCs w:val="21"/>
                    </w:rPr>
                  </w:pPr>
                  <w:r>
                    <w:rPr>
                      <w:rFonts w:hint="eastAsia"/>
                      <w:bCs/>
                      <w:color w:val="auto"/>
                      <w:szCs w:val="21"/>
                    </w:rPr>
                    <w:t>原料包装</w:t>
                  </w:r>
                </w:p>
              </w:tc>
              <w:tc>
                <w:tcPr>
                  <w:tcW w:w="1910" w:type="dxa"/>
                  <w:vAlign w:val="center"/>
                </w:tcPr>
                <w:p w14:paraId="00481957">
                  <w:pPr>
                    <w:snapToGrid w:val="0"/>
                    <w:jc w:val="center"/>
                    <w:rPr>
                      <w:color w:val="auto"/>
                      <w:szCs w:val="21"/>
                    </w:rPr>
                  </w:pPr>
                  <w:r>
                    <w:rPr>
                      <w:color w:val="auto"/>
                      <w:szCs w:val="21"/>
                    </w:rPr>
                    <w:t>否</w:t>
                  </w:r>
                </w:p>
              </w:tc>
              <w:tc>
                <w:tcPr>
                  <w:tcW w:w="2710" w:type="dxa"/>
                  <w:vAlign w:val="center"/>
                </w:tcPr>
                <w:p w14:paraId="5424BB10">
                  <w:pPr>
                    <w:autoSpaceDE w:val="0"/>
                    <w:autoSpaceDN w:val="0"/>
                    <w:adjustRightInd w:val="0"/>
                    <w:jc w:val="center"/>
                    <w:rPr>
                      <w:color w:val="auto"/>
                      <w:kern w:val="0"/>
                      <w:szCs w:val="21"/>
                    </w:rPr>
                  </w:pPr>
                  <w:r>
                    <w:rPr>
                      <w:rFonts w:hint="eastAsia"/>
                      <w:color w:val="auto"/>
                      <w:kern w:val="0"/>
                      <w:szCs w:val="21"/>
                    </w:rPr>
                    <w:t>/</w:t>
                  </w:r>
                </w:p>
              </w:tc>
            </w:tr>
            <w:tr w14:paraId="42E4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8" w:type="dxa"/>
                  <w:vAlign w:val="center"/>
                </w:tcPr>
                <w:p w14:paraId="032CB9AE">
                  <w:pPr>
                    <w:tabs>
                      <w:tab w:val="left" w:pos="677"/>
                    </w:tabs>
                    <w:jc w:val="center"/>
                    <w:rPr>
                      <w:color w:val="auto"/>
                      <w:szCs w:val="21"/>
                    </w:rPr>
                  </w:pPr>
                  <w:r>
                    <w:rPr>
                      <w:rFonts w:hint="eastAsia"/>
                      <w:color w:val="auto"/>
                      <w:szCs w:val="21"/>
                    </w:rPr>
                    <w:t>2</w:t>
                  </w:r>
                </w:p>
              </w:tc>
              <w:tc>
                <w:tcPr>
                  <w:tcW w:w="2401" w:type="dxa"/>
                  <w:vAlign w:val="center"/>
                </w:tcPr>
                <w:p w14:paraId="06B40B6D">
                  <w:pPr>
                    <w:jc w:val="center"/>
                    <w:rPr>
                      <w:color w:val="auto"/>
                      <w:szCs w:val="21"/>
                    </w:rPr>
                  </w:pPr>
                  <w:r>
                    <w:rPr>
                      <w:rFonts w:hint="eastAsia"/>
                      <w:color w:val="auto"/>
                      <w:szCs w:val="21"/>
                      <w:lang w:eastAsia="zh-CN"/>
                    </w:rPr>
                    <w:t>金属次品及</w:t>
                  </w:r>
                  <w:r>
                    <w:rPr>
                      <w:rFonts w:hint="eastAsia"/>
                      <w:color w:val="auto"/>
                      <w:szCs w:val="21"/>
                    </w:rPr>
                    <w:t>集尘灰</w:t>
                  </w:r>
                </w:p>
              </w:tc>
              <w:tc>
                <w:tcPr>
                  <w:tcW w:w="1128" w:type="dxa"/>
                  <w:vAlign w:val="center"/>
                </w:tcPr>
                <w:p w14:paraId="27385164">
                  <w:pPr>
                    <w:jc w:val="center"/>
                    <w:rPr>
                      <w:rFonts w:hAnsi="宋体"/>
                      <w:color w:val="auto"/>
                      <w:szCs w:val="21"/>
                    </w:rPr>
                  </w:pPr>
                  <w:r>
                    <w:rPr>
                      <w:rFonts w:hint="eastAsia" w:hAnsi="宋体"/>
                      <w:color w:val="auto"/>
                      <w:szCs w:val="21"/>
                      <w:lang w:val="en-US" w:eastAsia="zh-CN"/>
                    </w:rPr>
                    <w:t>下料、机加工等</w:t>
                  </w:r>
                </w:p>
              </w:tc>
              <w:tc>
                <w:tcPr>
                  <w:tcW w:w="1910" w:type="dxa"/>
                  <w:vAlign w:val="center"/>
                </w:tcPr>
                <w:p w14:paraId="29F7A290">
                  <w:pPr>
                    <w:snapToGrid w:val="0"/>
                    <w:jc w:val="center"/>
                    <w:rPr>
                      <w:color w:val="auto"/>
                      <w:szCs w:val="21"/>
                    </w:rPr>
                  </w:pPr>
                  <w:r>
                    <w:rPr>
                      <w:color w:val="auto"/>
                      <w:szCs w:val="21"/>
                    </w:rPr>
                    <w:t>否</w:t>
                  </w:r>
                </w:p>
              </w:tc>
              <w:tc>
                <w:tcPr>
                  <w:tcW w:w="2710" w:type="dxa"/>
                  <w:vAlign w:val="center"/>
                </w:tcPr>
                <w:p w14:paraId="6E954C66">
                  <w:pPr>
                    <w:autoSpaceDE w:val="0"/>
                    <w:autoSpaceDN w:val="0"/>
                    <w:adjustRightInd w:val="0"/>
                    <w:jc w:val="center"/>
                    <w:rPr>
                      <w:color w:val="auto"/>
                      <w:kern w:val="0"/>
                      <w:szCs w:val="21"/>
                    </w:rPr>
                  </w:pPr>
                  <w:r>
                    <w:rPr>
                      <w:rFonts w:hint="eastAsia"/>
                      <w:color w:val="auto"/>
                      <w:kern w:val="0"/>
                      <w:szCs w:val="21"/>
                    </w:rPr>
                    <w:t>/</w:t>
                  </w:r>
                </w:p>
              </w:tc>
            </w:tr>
            <w:tr w14:paraId="0DED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8" w:type="dxa"/>
                  <w:vAlign w:val="center"/>
                </w:tcPr>
                <w:p w14:paraId="4558DDBA">
                  <w:pPr>
                    <w:tabs>
                      <w:tab w:val="left" w:pos="677"/>
                    </w:tabs>
                    <w:jc w:val="center"/>
                    <w:rPr>
                      <w:color w:val="auto"/>
                      <w:szCs w:val="21"/>
                    </w:rPr>
                  </w:pPr>
                  <w:r>
                    <w:rPr>
                      <w:rFonts w:hint="eastAsia"/>
                      <w:color w:val="auto"/>
                      <w:szCs w:val="21"/>
                    </w:rPr>
                    <w:t>3</w:t>
                  </w:r>
                </w:p>
              </w:tc>
              <w:tc>
                <w:tcPr>
                  <w:tcW w:w="2401" w:type="dxa"/>
                  <w:vAlign w:val="center"/>
                </w:tcPr>
                <w:p w14:paraId="3BFE6E0D">
                  <w:pPr>
                    <w:jc w:val="center"/>
                    <w:rPr>
                      <w:color w:val="auto"/>
                      <w:szCs w:val="21"/>
                    </w:rPr>
                  </w:pPr>
                  <w:r>
                    <w:rPr>
                      <w:rFonts w:hint="eastAsia"/>
                      <w:color w:val="auto"/>
                      <w:szCs w:val="21"/>
                      <w:lang w:eastAsia="zh-CN"/>
                    </w:rPr>
                    <w:t>塑料边角料及次品</w:t>
                  </w:r>
                </w:p>
              </w:tc>
              <w:tc>
                <w:tcPr>
                  <w:tcW w:w="1128" w:type="dxa"/>
                  <w:vAlign w:val="center"/>
                </w:tcPr>
                <w:p w14:paraId="58942985">
                  <w:pPr>
                    <w:jc w:val="center"/>
                    <w:rPr>
                      <w:bCs/>
                      <w:color w:val="auto"/>
                      <w:szCs w:val="21"/>
                    </w:rPr>
                  </w:pPr>
                  <w:r>
                    <w:rPr>
                      <w:rFonts w:hint="eastAsia"/>
                      <w:color w:val="auto"/>
                      <w:szCs w:val="21"/>
                      <w:lang w:eastAsia="zh-CN"/>
                    </w:rPr>
                    <w:t>注塑、修剪</w:t>
                  </w:r>
                  <w:r>
                    <w:rPr>
                      <w:rFonts w:hint="eastAsia"/>
                      <w:color w:val="auto"/>
                      <w:szCs w:val="21"/>
                    </w:rPr>
                    <w:t>工序</w:t>
                  </w:r>
                </w:p>
              </w:tc>
              <w:tc>
                <w:tcPr>
                  <w:tcW w:w="1910" w:type="dxa"/>
                  <w:vAlign w:val="center"/>
                </w:tcPr>
                <w:p w14:paraId="3B6FFCB3">
                  <w:pPr>
                    <w:snapToGrid w:val="0"/>
                    <w:jc w:val="center"/>
                    <w:rPr>
                      <w:color w:val="auto"/>
                      <w:szCs w:val="21"/>
                    </w:rPr>
                  </w:pPr>
                  <w:r>
                    <w:rPr>
                      <w:color w:val="auto"/>
                      <w:szCs w:val="21"/>
                    </w:rPr>
                    <w:t>否</w:t>
                  </w:r>
                </w:p>
              </w:tc>
              <w:tc>
                <w:tcPr>
                  <w:tcW w:w="2710" w:type="dxa"/>
                  <w:vAlign w:val="center"/>
                </w:tcPr>
                <w:p w14:paraId="3BFBBA59">
                  <w:pPr>
                    <w:autoSpaceDE w:val="0"/>
                    <w:autoSpaceDN w:val="0"/>
                    <w:adjustRightInd w:val="0"/>
                    <w:jc w:val="center"/>
                    <w:rPr>
                      <w:color w:val="auto"/>
                      <w:kern w:val="0"/>
                      <w:szCs w:val="21"/>
                    </w:rPr>
                  </w:pPr>
                  <w:r>
                    <w:rPr>
                      <w:rFonts w:hint="eastAsia"/>
                      <w:color w:val="auto"/>
                      <w:kern w:val="0"/>
                      <w:szCs w:val="21"/>
                    </w:rPr>
                    <w:t>/</w:t>
                  </w:r>
                </w:p>
              </w:tc>
            </w:tr>
            <w:tr w14:paraId="3C5A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8" w:type="dxa"/>
                  <w:vAlign w:val="center"/>
                </w:tcPr>
                <w:p w14:paraId="0B4E0856">
                  <w:pPr>
                    <w:tabs>
                      <w:tab w:val="left" w:pos="677"/>
                    </w:tabs>
                    <w:jc w:val="center"/>
                    <w:rPr>
                      <w:color w:val="auto"/>
                      <w:szCs w:val="21"/>
                    </w:rPr>
                  </w:pPr>
                  <w:r>
                    <w:rPr>
                      <w:rFonts w:hint="eastAsia"/>
                      <w:color w:val="auto"/>
                      <w:szCs w:val="21"/>
                    </w:rPr>
                    <w:t>4</w:t>
                  </w:r>
                </w:p>
              </w:tc>
              <w:tc>
                <w:tcPr>
                  <w:tcW w:w="2401" w:type="dxa"/>
                  <w:vAlign w:val="center"/>
                </w:tcPr>
                <w:p w14:paraId="5691A21F">
                  <w:pPr>
                    <w:snapToGrid w:val="0"/>
                    <w:jc w:val="center"/>
                    <w:rPr>
                      <w:color w:val="auto"/>
                      <w:szCs w:val="21"/>
                    </w:rPr>
                  </w:pPr>
                  <w:r>
                    <w:rPr>
                      <w:color w:val="auto"/>
                      <w:szCs w:val="21"/>
                    </w:rPr>
                    <w:t>废润滑油</w:t>
                  </w:r>
                </w:p>
              </w:tc>
              <w:tc>
                <w:tcPr>
                  <w:tcW w:w="1128" w:type="dxa"/>
                  <w:vAlign w:val="center"/>
                </w:tcPr>
                <w:p w14:paraId="16C8F8AF">
                  <w:pPr>
                    <w:jc w:val="center"/>
                    <w:rPr>
                      <w:color w:val="auto"/>
                      <w:szCs w:val="21"/>
                    </w:rPr>
                  </w:pPr>
                  <w:r>
                    <w:rPr>
                      <w:rFonts w:hint="eastAsia"/>
                      <w:color w:val="auto"/>
                      <w:szCs w:val="21"/>
                    </w:rPr>
                    <w:t>设备使用</w:t>
                  </w:r>
                </w:p>
              </w:tc>
              <w:tc>
                <w:tcPr>
                  <w:tcW w:w="1910" w:type="dxa"/>
                  <w:vAlign w:val="center"/>
                </w:tcPr>
                <w:p w14:paraId="77FAF74D">
                  <w:pPr>
                    <w:snapToGrid w:val="0"/>
                    <w:jc w:val="center"/>
                    <w:rPr>
                      <w:color w:val="auto"/>
                      <w:szCs w:val="21"/>
                    </w:rPr>
                  </w:pPr>
                  <w:r>
                    <w:rPr>
                      <w:rFonts w:hAnsi="宋体"/>
                      <w:bCs/>
                      <w:color w:val="auto"/>
                      <w:szCs w:val="21"/>
                    </w:rPr>
                    <w:t>是</w:t>
                  </w:r>
                </w:p>
              </w:tc>
              <w:tc>
                <w:tcPr>
                  <w:tcW w:w="2710" w:type="dxa"/>
                  <w:vAlign w:val="center"/>
                </w:tcPr>
                <w:p w14:paraId="1C728B6F">
                  <w:pPr>
                    <w:autoSpaceDE w:val="0"/>
                    <w:autoSpaceDN w:val="0"/>
                    <w:adjustRightInd w:val="0"/>
                    <w:jc w:val="center"/>
                    <w:rPr>
                      <w:color w:val="auto"/>
                      <w:kern w:val="0"/>
                      <w:szCs w:val="21"/>
                    </w:rPr>
                  </w:pPr>
                  <w:r>
                    <w:rPr>
                      <w:rFonts w:hint="eastAsia" w:ascii="Times New Roman" w:hAnsi="Times New Roman" w:eastAsia="宋体" w:cs="Times New Roman"/>
                      <w:color w:val="auto"/>
                      <w:szCs w:val="21"/>
                    </w:rPr>
                    <w:t>HW08</w:t>
                  </w:r>
                  <w:r>
                    <w:rPr>
                      <w:rFonts w:hint="eastAsia" w:cs="Times New Roman"/>
                      <w:color w:val="auto"/>
                      <w:szCs w:val="21"/>
                      <w:lang w:eastAsia="zh-CN"/>
                    </w:rPr>
                    <w:t>：</w:t>
                  </w:r>
                  <w:r>
                    <w:rPr>
                      <w:rFonts w:hint="eastAsia" w:ascii="Times New Roman" w:hAnsi="Times New Roman" w:eastAsia="宋体" w:cs="Times New Roman"/>
                      <w:color w:val="auto"/>
                      <w:szCs w:val="21"/>
                    </w:rPr>
                    <w:t>900-249-08</w:t>
                  </w:r>
                </w:p>
              </w:tc>
            </w:tr>
            <w:tr w14:paraId="190B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8" w:type="dxa"/>
                  <w:vAlign w:val="center"/>
                </w:tcPr>
                <w:p w14:paraId="2A98460D">
                  <w:pPr>
                    <w:snapToGrid w:val="0"/>
                    <w:jc w:val="center"/>
                    <w:rPr>
                      <w:color w:val="auto"/>
                      <w:szCs w:val="21"/>
                    </w:rPr>
                  </w:pPr>
                  <w:r>
                    <w:rPr>
                      <w:rFonts w:hint="eastAsia"/>
                      <w:bCs/>
                      <w:color w:val="auto"/>
                      <w:szCs w:val="21"/>
                    </w:rPr>
                    <w:t>5</w:t>
                  </w:r>
                </w:p>
              </w:tc>
              <w:tc>
                <w:tcPr>
                  <w:tcW w:w="2401" w:type="dxa"/>
                  <w:vAlign w:val="center"/>
                </w:tcPr>
                <w:p w14:paraId="6C1EB0EC">
                  <w:pPr>
                    <w:snapToGrid w:val="0"/>
                    <w:jc w:val="center"/>
                    <w:rPr>
                      <w:color w:val="auto"/>
                      <w:szCs w:val="21"/>
                    </w:rPr>
                  </w:pPr>
                  <w:r>
                    <w:rPr>
                      <w:rFonts w:hint="eastAsia"/>
                      <w:color w:val="auto"/>
                      <w:szCs w:val="21"/>
                    </w:rPr>
                    <w:t>废油桶</w:t>
                  </w:r>
                </w:p>
              </w:tc>
              <w:tc>
                <w:tcPr>
                  <w:tcW w:w="1128" w:type="dxa"/>
                  <w:vAlign w:val="center"/>
                </w:tcPr>
                <w:p w14:paraId="1619F0E6">
                  <w:pPr>
                    <w:jc w:val="center"/>
                    <w:rPr>
                      <w:rFonts w:hAnsi="宋体"/>
                      <w:color w:val="auto"/>
                      <w:szCs w:val="21"/>
                    </w:rPr>
                  </w:pPr>
                  <w:r>
                    <w:rPr>
                      <w:rFonts w:hint="eastAsia"/>
                      <w:color w:val="auto"/>
                      <w:szCs w:val="21"/>
                    </w:rPr>
                    <w:t>原料包装</w:t>
                  </w:r>
                </w:p>
              </w:tc>
              <w:tc>
                <w:tcPr>
                  <w:tcW w:w="1910" w:type="dxa"/>
                  <w:vAlign w:val="center"/>
                </w:tcPr>
                <w:p w14:paraId="39067123">
                  <w:pPr>
                    <w:snapToGrid w:val="0"/>
                    <w:jc w:val="center"/>
                    <w:rPr>
                      <w:rFonts w:hAnsi="宋体"/>
                      <w:bCs/>
                      <w:color w:val="auto"/>
                      <w:szCs w:val="21"/>
                    </w:rPr>
                  </w:pPr>
                  <w:r>
                    <w:rPr>
                      <w:rFonts w:hAnsi="宋体"/>
                      <w:bCs/>
                      <w:color w:val="auto"/>
                      <w:szCs w:val="21"/>
                    </w:rPr>
                    <w:t>是</w:t>
                  </w:r>
                </w:p>
              </w:tc>
              <w:tc>
                <w:tcPr>
                  <w:tcW w:w="2710" w:type="dxa"/>
                  <w:vAlign w:val="center"/>
                </w:tcPr>
                <w:p w14:paraId="19018239">
                  <w:pPr>
                    <w:tabs>
                      <w:tab w:val="left" w:pos="677"/>
                    </w:tabs>
                    <w:jc w:val="center"/>
                    <w:rPr>
                      <w:color w:val="auto"/>
                      <w:szCs w:val="21"/>
                    </w:rPr>
                  </w:pPr>
                  <w:r>
                    <w:rPr>
                      <w:rFonts w:hint="eastAsia" w:ascii="Times New Roman" w:hAnsi="Times New Roman" w:eastAsia="宋体" w:cs="Times New Roman"/>
                      <w:color w:val="auto"/>
                      <w:szCs w:val="21"/>
                    </w:rPr>
                    <w:t>HW08</w:t>
                  </w:r>
                  <w:r>
                    <w:rPr>
                      <w:rFonts w:hint="eastAsia" w:cs="Times New Roman"/>
                      <w:color w:val="auto"/>
                      <w:szCs w:val="21"/>
                      <w:lang w:eastAsia="zh-CN"/>
                    </w:rPr>
                    <w:t>：</w:t>
                  </w:r>
                  <w:r>
                    <w:rPr>
                      <w:rFonts w:hint="eastAsia" w:ascii="Times New Roman" w:hAnsi="Times New Roman" w:eastAsia="宋体" w:cs="Times New Roman"/>
                      <w:color w:val="auto"/>
                      <w:szCs w:val="21"/>
                    </w:rPr>
                    <w:t>900-249-08</w:t>
                  </w:r>
                </w:p>
              </w:tc>
            </w:tr>
            <w:tr w14:paraId="2C26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8" w:type="dxa"/>
                  <w:vAlign w:val="center"/>
                </w:tcPr>
                <w:p w14:paraId="0BD8A14B">
                  <w:pPr>
                    <w:snapToGrid w:val="0"/>
                    <w:jc w:val="center"/>
                    <w:rPr>
                      <w:color w:val="auto"/>
                      <w:szCs w:val="21"/>
                    </w:rPr>
                  </w:pPr>
                  <w:r>
                    <w:rPr>
                      <w:rFonts w:hint="eastAsia"/>
                      <w:bCs/>
                      <w:color w:val="auto"/>
                      <w:szCs w:val="21"/>
                    </w:rPr>
                    <w:t>6</w:t>
                  </w:r>
                </w:p>
              </w:tc>
              <w:tc>
                <w:tcPr>
                  <w:tcW w:w="2401" w:type="dxa"/>
                  <w:vAlign w:val="center"/>
                </w:tcPr>
                <w:p w14:paraId="646341E9">
                  <w:pPr>
                    <w:snapToGrid w:val="0"/>
                    <w:jc w:val="center"/>
                    <w:rPr>
                      <w:color w:val="auto"/>
                      <w:szCs w:val="21"/>
                    </w:rPr>
                  </w:pPr>
                  <w:r>
                    <w:rPr>
                      <w:rFonts w:hint="eastAsia"/>
                      <w:color w:val="auto"/>
                      <w:szCs w:val="21"/>
                    </w:rPr>
                    <w:t>废含油抹布、劳保用品</w:t>
                  </w:r>
                </w:p>
              </w:tc>
              <w:tc>
                <w:tcPr>
                  <w:tcW w:w="1128" w:type="dxa"/>
                  <w:vAlign w:val="center"/>
                </w:tcPr>
                <w:p w14:paraId="5E2EF69D">
                  <w:pPr>
                    <w:snapToGrid w:val="0"/>
                    <w:jc w:val="center"/>
                    <w:rPr>
                      <w:rFonts w:hAnsi="宋体"/>
                      <w:color w:val="auto"/>
                      <w:szCs w:val="21"/>
                    </w:rPr>
                  </w:pPr>
                  <w:r>
                    <w:rPr>
                      <w:rFonts w:hint="eastAsia"/>
                      <w:color w:val="auto"/>
                      <w:szCs w:val="21"/>
                    </w:rPr>
                    <w:t>设备使用</w:t>
                  </w:r>
                </w:p>
              </w:tc>
              <w:tc>
                <w:tcPr>
                  <w:tcW w:w="1910" w:type="dxa"/>
                  <w:vAlign w:val="center"/>
                </w:tcPr>
                <w:p w14:paraId="326561AA">
                  <w:pPr>
                    <w:snapToGrid w:val="0"/>
                    <w:jc w:val="center"/>
                    <w:rPr>
                      <w:rFonts w:hAnsi="宋体"/>
                      <w:bCs/>
                      <w:color w:val="auto"/>
                      <w:szCs w:val="21"/>
                    </w:rPr>
                  </w:pPr>
                  <w:r>
                    <w:rPr>
                      <w:rFonts w:hAnsi="宋体"/>
                      <w:bCs/>
                      <w:color w:val="auto"/>
                      <w:szCs w:val="21"/>
                    </w:rPr>
                    <w:t>是</w:t>
                  </w:r>
                </w:p>
              </w:tc>
              <w:tc>
                <w:tcPr>
                  <w:tcW w:w="2710" w:type="dxa"/>
                  <w:vAlign w:val="center"/>
                </w:tcPr>
                <w:p w14:paraId="4F374ECC">
                  <w:pPr>
                    <w:tabs>
                      <w:tab w:val="left" w:pos="677"/>
                    </w:tabs>
                    <w:jc w:val="center"/>
                    <w:rPr>
                      <w:color w:val="auto"/>
                      <w:szCs w:val="21"/>
                    </w:rPr>
                  </w:pPr>
                  <w:r>
                    <w:rPr>
                      <w:rFonts w:hint="eastAsia"/>
                      <w:color w:val="auto"/>
                      <w:szCs w:val="21"/>
                    </w:rPr>
                    <w:t>HW08：900-249-08</w:t>
                  </w:r>
                </w:p>
              </w:tc>
            </w:tr>
            <w:tr w14:paraId="0C3A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8" w:type="dxa"/>
                  <w:vAlign w:val="center"/>
                </w:tcPr>
                <w:p w14:paraId="5B754ED4">
                  <w:pPr>
                    <w:snapToGrid w:val="0"/>
                    <w:jc w:val="center"/>
                    <w:rPr>
                      <w:color w:val="auto"/>
                      <w:szCs w:val="21"/>
                    </w:rPr>
                  </w:pPr>
                  <w:r>
                    <w:rPr>
                      <w:rFonts w:hint="eastAsia"/>
                      <w:color w:val="auto"/>
                      <w:szCs w:val="21"/>
                    </w:rPr>
                    <w:t>7</w:t>
                  </w:r>
                </w:p>
              </w:tc>
              <w:tc>
                <w:tcPr>
                  <w:tcW w:w="2401" w:type="dxa"/>
                  <w:vAlign w:val="center"/>
                </w:tcPr>
                <w:p w14:paraId="59BA5397">
                  <w:pPr>
                    <w:snapToGrid w:val="0"/>
                    <w:jc w:val="center"/>
                    <w:rPr>
                      <w:color w:val="auto"/>
                      <w:szCs w:val="21"/>
                    </w:rPr>
                  </w:pPr>
                  <w:r>
                    <w:rPr>
                      <w:rFonts w:hint="eastAsia"/>
                      <w:color w:val="auto"/>
                      <w:szCs w:val="21"/>
                    </w:rPr>
                    <w:t>废活性炭</w:t>
                  </w:r>
                </w:p>
              </w:tc>
              <w:tc>
                <w:tcPr>
                  <w:tcW w:w="1128" w:type="dxa"/>
                  <w:vAlign w:val="center"/>
                </w:tcPr>
                <w:p w14:paraId="265C19FF">
                  <w:pPr>
                    <w:jc w:val="center"/>
                    <w:rPr>
                      <w:rFonts w:hAnsi="宋体"/>
                      <w:color w:val="auto"/>
                      <w:szCs w:val="21"/>
                    </w:rPr>
                  </w:pPr>
                  <w:r>
                    <w:rPr>
                      <w:rFonts w:hint="eastAsia"/>
                      <w:color w:val="auto"/>
                      <w:szCs w:val="21"/>
                    </w:rPr>
                    <w:t>废气处理</w:t>
                  </w:r>
                </w:p>
              </w:tc>
              <w:tc>
                <w:tcPr>
                  <w:tcW w:w="1910" w:type="dxa"/>
                  <w:vAlign w:val="center"/>
                </w:tcPr>
                <w:p w14:paraId="23DE9D19">
                  <w:pPr>
                    <w:snapToGrid w:val="0"/>
                    <w:jc w:val="center"/>
                    <w:rPr>
                      <w:rFonts w:hAnsi="宋体"/>
                      <w:bCs/>
                      <w:color w:val="auto"/>
                      <w:szCs w:val="21"/>
                    </w:rPr>
                  </w:pPr>
                  <w:r>
                    <w:rPr>
                      <w:rFonts w:hAnsi="宋体"/>
                      <w:bCs/>
                      <w:color w:val="auto"/>
                      <w:szCs w:val="21"/>
                    </w:rPr>
                    <w:t>是</w:t>
                  </w:r>
                </w:p>
              </w:tc>
              <w:tc>
                <w:tcPr>
                  <w:tcW w:w="2710" w:type="dxa"/>
                  <w:vAlign w:val="center"/>
                </w:tcPr>
                <w:p w14:paraId="0FED93B7">
                  <w:pPr>
                    <w:tabs>
                      <w:tab w:val="left" w:pos="677"/>
                    </w:tabs>
                    <w:jc w:val="center"/>
                    <w:rPr>
                      <w:color w:val="auto"/>
                      <w:szCs w:val="21"/>
                    </w:rPr>
                  </w:pPr>
                  <w:r>
                    <w:rPr>
                      <w:rFonts w:ascii="Times New Roman" w:hAnsi="Times New Roman" w:eastAsia="宋体" w:cs="Times New Roman"/>
                      <w:color w:val="auto"/>
                      <w:szCs w:val="21"/>
                    </w:rPr>
                    <w:t>HW49</w:t>
                  </w:r>
                  <w:r>
                    <w:rPr>
                      <w:rFonts w:hint="eastAsia" w:cs="Times New Roman"/>
                      <w:color w:val="auto"/>
                      <w:szCs w:val="21"/>
                      <w:lang w:eastAsia="zh-CN"/>
                    </w:rPr>
                    <w:t>：</w:t>
                  </w:r>
                  <w:r>
                    <w:rPr>
                      <w:rFonts w:ascii="Times New Roman" w:hAnsi="Times New Roman" w:eastAsia="宋体" w:cs="Times New Roman"/>
                      <w:color w:val="auto"/>
                      <w:szCs w:val="21"/>
                    </w:rPr>
                    <w:t>900-0</w:t>
                  </w:r>
                  <w:r>
                    <w:rPr>
                      <w:rFonts w:hint="eastAsia" w:ascii="Times New Roman" w:hAnsi="Times New Roman" w:eastAsia="宋体" w:cs="Times New Roman"/>
                      <w:color w:val="auto"/>
                      <w:szCs w:val="21"/>
                    </w:rPr>
                    <w:t>39</w:t>
                  </w:r>
                  <w:r>
                    <w:rPr>
                      <w:rFonts w:ascii="Times New Roman" w:hAnsi="Times New Roman" w:eastAsia="宋体" w:cs="Times New Roman"/>
                      <w:color w:val="auto"/>
                      <w:szCs w:val="21"/>
                    </w:rPr>
                    <w:t>-49</w:t>
                  </w:r>
                </w:p>
              </w:tc>
            </w:tr>
          </w:tbl>
          <w:p w14:paraId="3DB3E143">
            <w:pPr>
              <w:keepNext w:val="0"/>
              <w:keepLines w:val="0"/>
              <w:widowControl/>
              <w:suppressLineNumbers w:val="0"/>
              <w:spacing w:line="360" w:lineRule="auto"/>
              <w:jc w:val="left"/>
              <w:rPr>
                <w:rFonts w:hint="eastAsia" w:hAnsi="宋体" w:eastAsia="宋体"/>
                <w:color w:val="4F81BD" w:themeColor="accent1"/>
                <w:sz w:val="24"/>
                <w14:textFill>
                  <w14:solidFill>
                    <w14:schemeClr w14:val="accent1"/>
                  </w14:solidFill>
                </w14:textFill>
              </w:rPr>
            </w:pPr>
            <w:r>
              <w:rPr>
                <w:rFonts w:hint="eastAsia" w:hAnsi="宋体" w:eastAsia="宋体"/>
                <w:color w:val="4F81BD" w:themeColor="accent1"/>
                <w:sz w:val="24"/>
                <w14:textFill>
                  <w14:solidFill>
                    <w14:schemeClr w14:val="accent1"/>
                  </w14:solidFill>
                </w14:textFill>
              </w:rPr>
              <w:t xml:space="preserve">  </w:t>
            </w:r>
            <w:r>
              <w:rPr>
                <w:rFonts w:hint="eastAsia" w:ascii="Times New Roman" w:hAnsi="Times New Roman" w:eastAsia="宋体" w:cs="Times New Roman"/>
                <w:color w:val="auto"/>
                <w:kern w:val="2"/>
                <w:sz w:val="24"/>
                <w:szCs w:val="24"/>
                <w:lang w:val="en-US" w:eastAsia="zh-CN" w:bidi="ar-SA"/>
              </w:rPr>
              <w:t xml:space="preserve"> 注：本项目产生的边角料与次品经破碎后回用于生产，属于《固体废物鉴别标准通则》中 </w:t>
            </w:r>
            <w:r>
              <w:rPr>
                <w:rFonts w:hint="default" w:ascii="Times New Roman" w:hAnsi="Times New Roman" w:eastAsia="宋体" w:cs="Times New Roman"/>
                <w:color w:val="auto"/>
                <w:kern w:val="2"/>
                <w:sz w:val="24"/>
                <w:szCs w:val="24"/>
                <w:lang w:val="en-US" w:eastAsia="zh-CN" w:bidi="ar-SA"/>
              </w:rPr>
              <w:t xml:space="preserve">6.1-a </w:t>
            </w:r>
            <w:r>
              <w:rPr>
                <w:rFonts w:hint="eastAsia" w:ascii="Times New Roman" w:hAnsi="Times New Roman" w:eastAsia="宋体" w:cs="Times New Roman"/>
                <w:color w:val="auto"/>
                <w:kern w:val="2"/>
                <w:sz w:val="24"/>
                <w:szCs w:val="24"/>
                <w:lang w:val="en-US" w:eastAsia="zh-CN" w:bidi="ar-SA"/>
              </w:rPr>
              <w:t>项，任何不需要修复和加工即可用于其原始用途的物质，或者在产生点经过修复和加工后满足国家地方制定或行业通行的产品质量标准并且用于其原始用途的物质。</w:t>
            </w:r>
          </w:p>
          <w:p w14:paraId="6FADC09C">
            <w:pPr>
              <w:pStyle w:val="4"/>
              <w:shd w:val="clear" w:color="auto" w:fill="FFFFFF"/>
              <w:spacing w:before="0" w:after="0" w:line="420" w:lineRule="exact"/>
              <w:ind w:left="0" w:firstLine="0"/>
              <w:rPr>
                <w:rFonts w:hAnsi="宋体" w:eastAsia="宋体"/>
                <w:b w:val="0"/>
                <w:bCs w:val="0"/>
                <w:color w:val="auto"/>
                <w:kern w:val="2"/>
                <w:sz w:val="24"/>
                <w:szCs w:val="24"/>
              </w:rPr>
            </w:pPr>
            <w:r>
              <w:rPr>
                <w:rFonts w:hint="eastAsia" w:hAnsi="宋体" w:eastAsia="宋体"/>
                <w:color w:val="4F81BD" w:themeColor="accent1"/>
                <w:sz w:val="21"/>
                <w:szCs w:val="21"/>
                <w14:textFill>
                  <w14:solidFill>
                    <w14:schemeClr w14:val="accent1"/>
                  </w14:solidFill>
                </w14:textFill>
              </w:rPr>
              <w:t xml:space="preserve"> </w:t>
            </w:r>
            <w:bookmarkStart w:id="12" w:name="_Toc20789"/>
            <w:r>
              <w:rPr>
                <w:rFonts w:hAnsi="宋体" w:eastAsia="宋体"/>
                <w:b w:val="0"/>
                <w:bCs w:val="0"/>
                <w:color w:val="auto"/>
                <w:kern w:val="2"/>
                <w:sz w:val="24"/>
                <w:szCs w:val="24"/>
              </w:rPr>
              <w:t>本项目危险废物汇总表见表4-</w:t>
            </w:r>
            <w:r>
              <w:rPr>
                <w:rFonts w:hint="eastAsia" w:hAnsi="宋体" w:eastAsia="宋体"/>
                <w:b w:val="0"/>
                <w:bCs w:val="0"/>
                <w:color w:val="auto"/>
                <w:kern w:val="2"/>
                <w:sz w:val="24"/>
                <w:szCs w:val="24"/>
                <w:lang w:val="en-US" w:eastAsia="zh-CN"/>
              </w:rPr>
              <w:t>30</w:t>
            </w:r>
            <w:r>
              <w:rPr>
                <w:rFonts w:hAnsi="宋体" w:eastAsia="宋体"/>
                <w:b w:val="0"/>
                <w:bCs w:val="0"/>
                <w:color w:val="auto"/>
                <w:kern w:val="2"/>
                <w:sz w:val="24"/>
                <w:szCs w:val="24"/>
              </w:rPr>
              <w:t>。本项目固体废物污染源源强核算结果及相关参数见表4-</w:t>
            </w:r>
            <w:r>
              <w:rPr>
                <w:rFonts w:hint="eastAsia" w:hAnsi="宋体" w:eastAsia="宋体"/>
                <w:b w:val="0"/>
                <w:bCs w:val="0"/>
                <w:color w:val="auto"/>
                <w:kern w:val="2"/>
                <w:sz w:val="24"/>
                <w:szCs w:val="24"/>
                <w:lang w:val="en-US" w:eastAsia="zh-CN"/>
              </w:rPr>
              <w:t>31</w:t>
            </w:r>
            <w:r>
              <w:rPr>
                <w:rFonts w:hAnsi="宋体" w:eastAsia="宋体"/>
                <w:b w:val="0"/>
                <w:bCs w:val="0"/>
                <w:color w:val="auto"/>
                <w:kern w:val="2"/>
                <w:sz w:val="24"/>
                <w:szCs w:val="24"/>
              </w:rPr>
              <w:t>。</w:t>
            </w:r>
            <w:bookmarkEnd w:id="12"/>
          </w:p>
          <w:p w14:paraId="05AAE004">
            <w:pPr>
              <w:jc w:val="center"/>
              <w:rPr>
                <w:b/>
                <w:color w:val="auto"/>
                <w:szCs w:val="21"/>
              </w:rPr>
            </w:pPr>
            <w:r>
              <w:rPr>
                <w:rFonts w:hint="eastAsia"/>
                <w:b/>
                <w:color w:val="auto"/>
                <w:szCs w:val="21"/>
              </w:rPr>
              <w:t>表4-</w:t>
            </w:r>
            <w:r>
              <w:rPr>
                <w:rFonts w:hint="eastAsia"/>
                <w:b/>
                <w:color w:val="auto"/>
                <w:szCs w:val="21"/>
                <w:lang w:val="en-US" w:eastAsia="zh-CN"/>
              </w:rPr>
              <w:t>30</w:t>
            </w:r>
            <w:r>
              <w:rPr>
                <w:rFonts w:hint="eastAsia"/>
                <w:b/>
                <w:color w:val="auto"/>
                <w:szCs w:val="21"/>
              </w:rPr>
              <w:t xml:space="preserve">  建设项目危险废物汇总表</w:t>
            </w:r>
          </w:p>
          <w:tbl>
            <w:tblPr>
              <w:tblStyle w:val="37"/>
              <w:tblW w:w="878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990"/>
              <w:gridCol w:w="1296"/>
              <w:gridCol w:w="1197"/>
              <w:gridCol w:w="927"/>
              <w:gridCol w:w="638"/>
              <w:gridCol w:w="470"/>
              <w:gridCol w:w="788"/>
              <w:gridCol w:w="641"/>
              <w:gridCol w:w="699"/>
              <w:gridCol w:w="712"/>
            </w:tblGrid>
            <w:tr w14:paraId="7B3833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29" w:type="dxa"/>
                  <w:tcBorders>
                    <w:top w:val="single" w:color="auto" w:sz="8" w:space="0"/>
                    <w:left w:val="single" w:color="auto" w:sz="4" w:space="0"/>
                    <w:bottom w:val="single" w:color="auto" w:sz="4" w:space="0"/>
                  </w:tcBorders>
                  <w:vAlign w:val="center"/>
                </w:tcPr>
                <w:p w14:paraId="5B6EDBE2">
                  <w:pPr>
                    <w:topLinePunct/>
                    <w:adjustRightInd w:val="0"/>
                    <w:snapToGrid w:val="0"/>
                    <w:jc w:val="center"/>
                    <w:rPr>
                      <w:b/>
                      <w:color w:val="auto"/>
                      <w:kern w:val="0"/>
                      <w:szCs w:val="21"/>
                    </w:rPr>
                  </w:pPr>
                  <w:r>
                    <w:rPr>
                      <w:b/>
                      <w:color w:val="auto"/>
                      <w:kern w:val="0"/>
                      <w:szCs w:val="21"/>
                    </w:rPr>
                    <w:t>序号</w:t>
                  </w:r>
                </w:p>
              </w:tc>
              <w:tc>
                <w:tcPr>
                  <w:tcW w:w="990" w:type="dxa"/>
                  <w:tcBorders>
                    <w:top w:val="single" w:color="auto" w:sz="8" w:space="0"/>
                    <w:bottom w:val="single" w:color="auto" w:sz="4" w:space="0"/>
                  </w:tcBorders>
                  <w:vAlign w:val="center"/>
                </w:tcPr>
                <w:p w14:paraId="04CF9C03">
                  <w:pPr>
                    <w:topLinePunct/>
                    <w:adjustRightInd w:val="0"/>
                    <w:snapToGrid w:val="0"/>
                    <w:jc w:val="center"/>
                    <w:rPr>
                      <w:b/>
                      <w:color w:val="auto"/>
                      <w:kern w:val="0"/>
                      <w:szCs w:val="21"/>
                    </w:rPr>
                  </w:pPr>
                  <w:r>
                    <w:rPr>
                      <w:b/>
                      <w:color w:val="auto"/>
                      <w:kern w:val="0"/>
                      <w:szCs w:val="21"/>
                    </w:rPr>
                    <w:t>危险废物名称</w:t>
                  </w:r>
                </w:p>
              </w:tc>
              <w:tc>
                <w:tcPr>
                  <w:tcW w:w="1296" w:type="dxa"/>
                  <w:tcBorders>
                    <w:top w:val="single" w:color="auto" w:sz="8" w:space="0"/>
                    <w:bottom w:val="single" w:color="auto" w:sz="4" w:space="0"/>
                  </w:tcBorders>
                  <w:vAlign w:val="center"/>
                </w:tcPr>
                <w:p w14:paraId="6AEBEB86">
                  <w:pPr>
                    <w:topLinePunct/>
                    <w:adjustRightInd w:val="0"/>
                    <w:snapToGrid w:val="0"/>
                    <w:jc w:val="center"/>
                    <w:rPr>
                      <w:b/>
                      <w:color w:val="auto"/>
                      <w:kern w:val="0"/>
                      <w:szCs w:val="21"/>
                    </w:rPr>
                  </w:pPr>
                  <w:r>
                    <w:rPr>
                      <w:b/>
                      <w:color w:val="auto"/>
                      <w:kern w:val="0"/>
                      <w:szCs w:val="21"/>
                    </w:rPr>
                    <w:t>危险废物</w:t>
                  </w:r>
                </w:p>
                <w:p w14:paraId="651F851B">
                  <w:pPr>
                    <w:topLinePunct/>
                    <w:adjustRightInd w:val="0"/>
                    <w:snapToGrid w:val="0"/>
                    <w:jc w:val="center"/>
                    <w:rPr>
                      <w:b/>
                      <w:color w:val="auto"/>
                      <w:kern w:val="0"/>
                      <w:szCs w:val="21"/>
                    </w:rPr>
                  </w:pPr>
                  <w:r>
                    <w:rPr>
                      <w:b/>
                      <w:color w:val="auto"/>
                      <w:kern w:val="0"/>
                      <w:szCs w:val="21"/>
                    </w:rPr>
                    <w:t>类别</w:t>
                  </w:r>
                </w:p>
              </w:tc>
              <w:tc>
                <w:tcPr>
                  <w:tcW w:w="1197" w:type="dxa"/>
                  <w:vAlign w:val="center"/>
                </w:tcPr>
                <w:p w14:paraId="7E7AD0CB">
                  <w:pPr>
                    <w:topLinePunct/>
                    <w:adjustRightInd w:val="0"/>
                    <w:snapToGrid w:val="0"/>
                    <w:jc w:val="center"/>
                    <w:rPr>
                      <w:b/>
                      <w:color w:val="auto"/>
                      <w:kern w:val="0"/>
                      <w:szCs w:val="21"/>
                    </w:rPr>
                  </w:pPr>
                  <w:r>
                    <w:rPr>
                      <w:b/>
                      <w:color w:val="auto"/>
                      <w:kern w:val="0"/>
                      <w:szCs w:val="21"/>
                    </w:rPr>
                    <w:t>危险废物代码</w:t>
                  </w:r>
                </w:p>
              </w:tc>
              <w:tc>
                <w:tcPr>
                  <w:tcW w:w="927" w:type="dxa"/>
                  <w:vAlign w:val="center"/>
                </w:tcPr>
                <w:p w14:paraId="1E5AA44E">
                  <w:pPr>
                    <w:topLinePunct/>
                    <w:adjustRightInd w:val="0"/>
                    <w:snapToGrid w:val="0"/>
                    <w:jc w:val="center"/>
                    <w:rPr>
                      <w:b/>
                      <w:color w:val="auto"/>
                      <w:kern w:val="0"/>
                      <w:szCs w:val="21"/>
                    </w:rPr>
                  </w:pPr>
                  <w:r>
                    <w:rPr>
                      <w:b/>
                      <w:color w:val="auto"/>
                      <w:kern w:val="0"/>
                      <w:szCs w:val="21"/>
                    </w:rPr>
                    <w:t>产生量</w:t>
                  </w:r>
                </w:p>
              </w:tc>
              <w:tc>
                <w:tcPr>
                  <w:tcW w:w="638" w:type="dxa"/>
                  <w:vAlign w:val="center"/>
                </w:tcPr>
                <w:p w14:paraId="74B89EA6">
                  <w:pPr>
                    <w:topLinePunct/>
                    <w:adjustRightInd w:val="0"/>
                    <w:snapToGrid w:val="0"/>
                    <w:jc w:val="center"/>
                    <w:rPr>
                      <w:b/>
                      <w:color w:val="auto"/>
                      <w:kern w:val="0"/>
                      <w:szCs w:val="21"/>
                    </w:rPr>
                  </w:pPr>
                  <w:r>
                    <w:rPr>
                      <w:b/>
                      <w:color w:val="auto"/>
                      <w:kern w:val="0"/>
                      <w:szCs w:val="21"/>
                    </w:rPr>
                    <w:t>产生工序</w:t>
                  </w:r>
                </w:p>
              </w:tc>
              <w:tc>
                <w:tcPr>
                  <w:tcW w:w="470" w:type="dxa"/>
                  <w:vAlign w:val="center"/>
                </w:tcPr>
                <w:p w14:paraId="405C57FC">
                  <w:pPr>
                    <w:topLinePunct/>
                    <w:adjustRightInd w:val="0"/>
                    <w:snapToGrid w:val="0"/>
                    <w:jc w:val="center"/>
                    <w:rPr>
                      <w:b/>
                      <w:color w:val="auto"/>
                      <w:kern w:val="0"/>
                      <w:szCs w:val="21"/>
                    </w:rPr>
                  </w:pPr>
                  <w:r>
                    <w:rPr>
                      <w:b/>
                      <w:color w:val="auto"/>
                      <w:kern w:val="0"/>
                      <w:szCs w:val="21"/>
                    </w:rPr>
                    <w:t>形态</w:t>
                  </w:r>
                </w:p>
              </w:tc>
              <w:tc>
                <w:tcPr>
                  <w:tcW w:w="788" w:type="dxa"/>
                  <w:vAlign w:val="center"/>
                </w:tcPr>
                <w:p w14:paraId="1CC007BA">
                  <w:pPr>
                    <w:topLinePunct/>
                    <w:adjustRightInd w:val="0"/>
                    <w:snapToGrid w:val="0"/>
                    <w:jc w:val="center"/>
                    <w:rPr>
                      <w:b/>
                      <w:color w:val="auto"/>
                      <w:kern w:val="0"/>
                      <w:szCs w:val="21"/>
                    </w:rPr>
                  </w:pPr>
                  <w:r>
                    <w:rPr>
                      <w:b/>
                      <w:color w:val="auto"/>
                      <w:kern w:val="0"/>
                      <w:szCs w:val="21"/>
                    </w:rPr>
                    <w:t>主要成分</w:t>
                  </w:r>
                </w:p>
              </w:tc>
              <w:tc>
                <w:tcPr>
                  <w:tcW w:w="641" w:type="dxa"/>
                  <w:vAlign w:val="center"/>
                </w:tcPr>
                <w:p w14:paraId="3EF79785">
                  <w:pPr>
                    <w:topLinePunct/>
                    <w:adjustRightInd w:val="0"/>
                    <w:snapToGrid w:val="0"/>
                    <w:jc w:val="center"/>
                    <w:rPr>
                      <w:b/>
                      <w:color w:val="auto"/>
                      <w:kern w:val="0"/>
                      <w:szCs w:val="21"/>
                    </w:rPr>
                  </w:pPr>
                  <w:r>
                    <w:rPr>
                      <w:b/>
                      <w:color w:val="auto"/>
                      <w:kern w:val="0"/>
                      <w:szCs w:val="21"/>
                    </w:rPr>
                    <w:t>产废周期</w:t>
                  </w:r>
                </w:p>
              </w:tc>
              <w:tc>
                <w:tcPr>
                  <w:tcW w:w="699" w:type="dxa"/>
                  <w:vAlign w:val="center"/>
                </w:tcPr>
                <w:p w14:paraId="396518D5">
                  <w:pPr>
                    <w:topLinePunct/>
                    <w:adjustRightInd w:val="0"/>
                    <w:snapToGrid w:val="0"/>
                    <w:jc w:val="center"/>
                    <w:rPr>
                      <w:b/>
                      <w:color w:val="auto"/>
                      <w:kern w:val="0"/>
                      <w:szCs w:val="21"/>
                    </w:rPr>
                  </w:pPr>
                  <w:r>
                    <w:rPr>
                      <w:b/>
                      <w:color w:val="auto"/>
                      <w:kern w:val="0"/>
                      <w:szCs w:val="21"/>
                    </w:rPr>
                    <w:t>危险特性</w:t>
                  </w:r>
                </w:p>
              </w:tc>
              <w:tc>
                <w:tcPr>
                  <w:tcW w:w="712" w:type="dxa"/>
                  <w:tcBorders>
                    <w:top w:val="single" w:color="auto" w:sz="8" w:space="0"/>
                    <w:bottom w:val="single" w:color="auto" w:sz="4" w:space="0"/>
                    <w:right w:val="single" w:color="auto" w:sz="4" w:space="0"/>
                  </w:tcBorders>
                  <w:vAlign w:val="center"/>
                </w:tcPr>
                <w:p w14:paraId="19D85B85">
                  <w:pPr>
                    <w:topLinePunct/>
                    <w:adjustRightInd w:val="0"/>
                    <w:snapToGrid w:val="0"/>
                    <w:jc w:val="center"/>
                    <w:rPr>
                      <w:b/>
                      <w:color w:val="auto"/>
                      <w:kern w:val="0"/>
                      <w:szCs w:val="21"/>
                    </w:rPr>
                  </w:pPr>
                  <w:r>
                    <w:rPr>
                      <w:b/>
                      <w:color w:val="auto"/>
                      <w:kern w:val="0"/>
                      <w:szCs w:val="21"/>
                    </w:rPr>
                    <w:t>污染防治措施</w:t>
                  </w:r>
                </w:p>
              </w:tc>
            </w:tr>
            <w:tr w14:paraId="3AA7A0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29" w:type="dxa"/>
                  <w:tcBorders>
                    <w:top w:val="single" w:color="auto" w:sz="4" w:space="0"/>
                    <w:left w:val="single" w:color="auto" w:sz="4" w:space="0"/>
                    <w:bottom w:val="single" w:color="auto" w:sz="4" w:space="0"/>
                  </w:tcBorders>
                  <w:vAlign w:val="center"/>
                </w:tcPr>
                <w:p w14:paraId="3171DE3F">
                  <w:pPr>
                    <w:topLinePunct/>
                    <w:adjustRightInd w:val="0"/>
                    <w:snapToGrid w:val="0"/>
                    <w:jc w:val="center"/>
                    <w:rPr>
                      <w:rFonts w:hint="eastAsia" w:eastAsia="宋体"/>
                      <w:color w:val="auto"/>
                      <w:kern w:val="0"/>
                      <w:szCs w:val="21"/>
                      <w:lang w:eastAsia="zh-CN"/>
                    </w:rPr>
                  </w:pPr>
                  <w:r>
                    <w:rPr>
                      <w:rFonts w:hint="eastAsia"/>
                      <w:color w:val="auto"/>
                      <w:kern w:val="0"/>
                      <w:szCs w:val="21"/>
                      <w:lang w:val="en-US" w:eastAsia="zh-CN"/>
                    </w:rPr>
                    <w:t>1</w:t>
                  </w:r>
                </w:p>
              </w:tc>
              <w:tc>
                <w:tcPr>
                  <w:tcW w:w="990" w:type="dxa"/>
                  <w:tcBorders>
                    <w:top w:val="single" w:color="auto" w:sz="4" w:space="0"/>
                    <w:bottom w:val="single" w:color="auto" w:sz="4" w:space="0"/>
                  </w:tcBorders>
                  <w:vAlign w:val="center"/>
                </w:tcPr>
                <w:p w14:paraId="1EB682C1">
                  <w:pPr>
                    <w:jc w:val="center"/>
                    <w:rPr>
                      <w:color w:val="auto"/>
                      <w:szCs w:val="21"/>
                    </w:rPr>
                  </w:pPr>
                  <w:r>
                    <w:rPr>
                      <w:rFonts w:hint="eastAsia"/>
                      <w:color w:val="auto"/>
                      <w:szCs w:val="21"/>
                    </w:rPr>
                    <w:t>废润滑油</w:t>
                  </w:r>
                </w:p>
              </w:tc>
              <w:tc>
                <w:tcPr>
                  <w:tcW w:w="1296" w:type="dxa"/>
                  <w:tcBorders>
                    <w:top w:val="single" w:color="auto" w:sz="4" w:space="0"/>
                    <w:bottom w:val="single" w:color="auto" w:sz="4" w:space="0"/>
                  </w:tcBorders>
                  <w:vAlign w:val="center"/>
                </w:tcPr>
                <w:p w14:paraId="63FF36E0">
                  <w:pPr>
                    <w:jc w:val="center"/>
                    <w:rPr>
                      <w:rFonts w:hAnsi="宋体"/>
                      <w:color w:val="auto"/>
                      <w:szCs w:val="21"/>
                    </w:rPr>
                  </w:pPr>
                  <w:r>
                    <w:rPr>
                      <w:rFonts w:hint="eastAsia"/>
                      <w:color w:val="auto"/>
                      <w:szCs w:val="21"/>
                    </w:rPr>
                    <w:t>HW08废矿物油和含矿物油废物</w:t>
                  </w:r>
                </w:p>
              </w:tc>
              <w:tc>
                <w:tcPr>
                  <w:tcW w:w="1197" w:type="dxa"/>
                  <w:vAlign w:val="center"/>
                </w:tcPr>
                <w:p w14:paraId="6AFDFF62">
                  <w:pPr>
                    <w:topLinePunct/>
                    <w:adjustRightInd w:val="0"/>
                    <w:snapToGrid w:val="0"/>
                    <w:jc w:val="center"/>
                    <w:rPr>
                      <w:color w:val="auto"/>
                      <w:szCs w:val="21"/>
                    </w:rPr>
                  </w:pPr>
                  <w:r>
                    <w:rPr>
                      <w:rFonts w:hint="eastAsia"/>
                      <w:color w:val="auto"/>
                    </w:rPr>
                    <w:t>900-249-08</w:t>
                  </w:r>
                </w:p>
              </w:tc>
              <w:tc>
                <w:tcPr>
                  <w:tcW w:w="927" w:type="dxa"/>
                  <w:vAlign w:val="center"/>
                </w:tcPr>
                <w:p w14:paraId="5268C72C">
                  <w:pPr>
                    <w:tabs>
                      <w:tab w:val="left" w:pos="677"/>
                    </w:tabs>
                    <w:jc w:val="center"/>
                    <w:rPr>
                      <w:color w:val="auto"/>
                      <w:szCs w:val="21"/>
                    </w:rPr>
                  </w:pPr>
                  <w:r>
                    <w:rPr>
                      <w:rFonts w:hint="eastAsia"/>
                      <w:color w:val="auto"/>
                      <w:szCs w:val="21"/>
                    </w:rPr>
                    <w:t>0.1t/a</w:t>
                  </w:r>
                </w:p>
              </w:tc>
              <w:tc>
                <w:tcPr>
                  <w:tcW w:w="638" w:type="dxa"/>
                  <w:vAlign w:val="center"/>
                </w:tcPr>
                <w:p w14:paraId="35C3E312">
                  <w:pPr>
                    <w:jc w:val="center"/>
                    <w:rPr>
                      <w:rFonts w:hAnsi="宋体"/>
                      <w:color w:val="auto"/>
                      <w:szCs w:val="21"/>
                    </w:rPr>
                  </w:pPr>
                  <w:r>
                    <w:rPr>
                      <w:rFonts w:hint="eastAsia"/>
                      <w:color w:val="auto"/>
                      <w:szCs w:val="21"/>
                    </w:rPr>
                    <w:t>设备使用</w:t>
                  </w:r>
                </w:p>
              </w:tc>
              <w:tc>
                <w:tcPr>
                  <w:tcW w:w="470" w:type="dxa"/>
                  <w:vAlign w:val="center"/>
                </w:tcPr>
                <w:p w14:paraId="3352F5BC">
                  <w:pPr>
                    <w:tabs>
                      <w:tab w:val="left" w:pos="677"/>
                    </w:tabs>
                    <w:jc w:val="center"/>
                    <w:rPr>
                      <w:rFonts w:hAnsi="宋体"/>
                      <w:color w:val="auto"/>
                      <w:szCs w:val="21"/>
                    </w:rPr>
                  </w:pPr>
                  <w:r>
                    <w:rPr>
                      <w:rFonts w:hint="eastAsia" w:hAnsi="宋体"/>
                      <w:color w:val="auto"/>
                      <w:szCs w:val="21"/>
                    </w:rPr>
                    <w:t>液态</w:t>
                  </w:r>
                </w:p>
              </w:tc>
              <w:tc>
                <w:tcPr>
                  <w:tcW w:w="788" w:type="dxa"/>
                  <w:vAlign w:val="center"/>
                </w:tcPr>
                <w:p w14:paraId="7625DD52">
                  <w:pPr>
                    <w:snapToGrid w:val="0"/>
                    <w:jc w:val="center"/>
                    <w:rPr>
                      <w:color w:val="auto"/>
                      <w:szCs w:val="21"/>
                    </w:rPr>
                  </w:pPr>
                  <w:r>
                    <w:rPr>
                      <w:rFonts w:hint="eastAsia"/>
                      <w:color w:val="auto"/>
                      <w:szCs w:val="21"/>
                    </w:rPr>
                    <w:t>废矿物油</w:t>
                  </w:r>
                </w:p>
              </w:tc>
              <w:tc>
                <w:tcPr>
                  <w:tcW w:w="641" w:type="dxa"/>
                  <w:vAlign w:val="center"/>
                </w:tcPr>
                <w:p w14:paraId="4F0B886B">
                  <w:pPr>
                    <w:topLinePunct/>
                    <w:adjustRightInd w:val="0"/>
                    <w:snapToGrid w:val="0"/>
                    <w:jc w:val="center"/>
                    <w:rPr>
                      <w:color w:val="auto"/>
                      <w:kern w:val="0"/>
                      <w:szCs w:val="21"/>
                    </w:rPr>
                  </w:pPr>
                  <w:r>
                    <w:rPr>
                      <w:rFonts w:hint="eastAsia"/>
                      <w:color w:val="auto"/>
                      <w:kern w:val="0"/>
                      <w:szCs w:val="21"/>
                    </w:rPr>
                    <w:t>300d</w:t>
                  </w:r>
                </w:p>
              </w:tc>
              <w:tc>
                <w:tcPr>
                  <w:tcW w:w="699" w:type="dxa"/>
                  <w:vAlign w:val="center"/>
                </w:tcPr>
                <w:p w14:paraId="4C19903A">
                  <w:pPr>
                    <w:topLinePunct/>
                    <w:adjustRightInd w:val="0"/>
                    <w:snapToGrid w:val="0"/>
                    <w:jc w:val="center"/>
                    <w:rPr>
                      <w:color w:val="auto"/>
                      <w:kern w:val="0"/>
                      <w:szCs w:val="21"/>
                    </w:rPr>
                  </w:pPr>
                  <w:r>
                    <w:rPr>
                      <w:rFonts w:hint="eastAsia"/>
                      <w:color w:val="auto"/>
                      <w:kern w:val="0"/>
                      <w:szCs w:val="21"/>
                    </w:rPr>
                    <w:t>T/I</w:t>
                  </w:r>
                </w:p>
              </w:tc>
              <w:tc>
                <w:tcPr>
                  <w:tcW w:w="712" w:type="dxa"/>
                  <w:vMerge w:val="restart"/>
                  <w:tcBorders>
                    <w:right w:val="single" w:color="auto" w:sz="4" w:space="0"/>
                  </w:tcBorders>
                  <w:vAlign w:val="center"/>
                </w:tcPr>
                <w:p w14:paraId="6697D50C">
                  <w:pPr>
                    <w:topLinePunct/>
                    <w:adjustRightInd w:val="0"/>
                    <w:snapToGrid w:val="0"/>
                    <w:jc w:val="center"/>
                    <w:rPr>
                      <w:color w:val="auto"/>
                      <w:kern w:val="0"/>
                      <w:szCs w:val="21"/>
                    </w:rPr>
                  </w:pPr>
                </w:p>
              </w:tc>
            </w:tr>
            <w:tr w14:paraId="729C72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29" w:type="dxa"/>
                  <w:tcBorders>
                    <w:top w:val="single" w:color="auto" w:sz="4" w:space="0"/>
                    <w:left w:val="single" w:color="auto" w:sz="4" w:space="0"/>
                    <w:bottom w:val="single" w:color="auto" w:sz="4" w:space="0"/>
                  </w:tcBorders>
                  <w:vAlign w:val="center"/>
                </w:tcPr>
                <w:p w14:paraId="0688090C">
                  <w:pPr>
                    <w:topLinePunct/>
                    <w:adjustRightInd w:val="0"/>
                    <w:snapToGrid w:val="0"/>
                    <w:jc w:val="center"/>
                    <w:rPr>
                      <w:rFonts w:hint="eastAsia" w:eastAsia="宋体"/>
                      <w:color w:val="auto"/>
                      <w:kern w:val="0"/>
                      <w:szCs w:val="21"/>
                      <w:lang w:eastAsia="zh-CN"/>
                    </w:rPr>
                  </w:pPr>
                  <w:r>
                    <w:rPr>
                      <w:rFonts w:hint="eastAsia"/>
                      <w:color w:val="auto"/>
                      <w:kern w:val="0"/>
                      <w:szCs w:val="21"/>
                      <w:lang w:val="en-US" w:eastAsia="zh-CN"/>
                    </w:rPr>
                    <w:t>2</w:t>
                  </w:r>
                </w:p>
              </w:tc>
              <w:tc>
                <w:tcPr>
                  <w:tcW w:w="990" w:type="dxa"/>
                  <w:tcBorders>
                    <w:top w:val="single" w:color="auto" w:sz="4" w:space="0"/>
                    <w:bottom w:val="single" w:color="auto" w:sz="4" w:space="0"/>
                  </w:tcBorders>
                  <w:vAlign w:val="center"/>
                </w:tcPr>
                <w:p w14:paraId="16FC73A6">
                  <w:pPr>
                    <w:jc w:val="center"/>
                    <w:rPr>
                      <w:color w:val="auto"/>
                      <w:szCs w:val="21"/>
                    </w:rPr>
                  </w:pPr>
                  <w:r>
                    <w:rPr>
                      <w:rFonts w:hint="eastAsia"/>
                      <w:color w:val="auto"/>
                      <w:szCs w:val="21"/>
                    </w:rPr>
                    <w:t>废油桶</w:t>
                  </w:r>
                </w:p>
              </w:tc>
              <w:tc>
                <w:tcPr>
                  <w:tcW w:w="1296" w:type="dxa"/>
                  <w:tcBorders>
                    <w:top w:val="single" w:color="auto" w:sz="4" w:space="0"/>
                    <w:bottom w:val="single" w:color="auto" w:sz="4" w:space="0"/>
                  </w:tcBorders>
                  <w:vAlign w:val="center"/>
                </w:tcPr>
                <w:p w14:paraId="0F1AA2CD">
                  <w:pPr>
                    <w:jc w:val="center"/>
                    <w:rPr>
                      <w:rFonts w:hAnsi="宋体"/>
                      <w:color w:val="auto"/>
                      <w:szCs w:val="21"/>
                    </w:rPr>
                  </w:pPr>
                  <w:r>
                    <w:rPr>
                      <w:rFonts w:hint="eastAsia"/>
                      <w:color w:val="auto"/>
                      <w:szCs w:val="21"/>
                    </w:rPr>
                    <w:t>HW08废矿物油和含矿物油废物</w:t>
                  </w:r>
                </w:p>
              </w:tc>
              <w:tc>
                <w:tcPr>
                  <w:tcW w:w="1197" w:type="dxa"/>
                  <w:vAlign w:val="center"/>
                </w:tcPr>
                <w:p w14:paraId="0719451E">
                  <w:pPr>
                    <w:topLinePunct/>
                    <w:adjustRightInd w:val="0"/>
                    <w:snapToGrid w:val="0"/>
                    <w:jc w:val="center"/>
                    <w:rPr>
                      <w:color w:val="auto"/>
                      <w:szCs w:val="21"/>
                    </w:rPr>
                  </w:pPr>
                  <w:r>
                    <w:rPr>
                      <w:rFonts w:hint="eastAsia"/>
                      <w:color w:val="auto"/>
                    </w:rPr>
                    <w:t>900-249-08</w:t>
                  </w:r>
                </w:p>
              </w:tc>
              <w:tc>
                <w:tcPr>
                  <w:tcW w:w="927" w:type="dxa"/>
                  <w:vAlign w:val="center"/>
                </w:tcPr>
                <w:p w14:paraId="423AC8CA">
                  <w:pPr>
                    <w:tabs>
                      <w:tab w:val="left" w:pos="677"/>
                    </w:tabs>
                    <w:jc w:val="center"/>
                    <w:rPr>
                      <w:color w:val="auto"/>
                      <w:szCs w:val="21"/>
                    </w:rPr>
                  </w:pPr>
                  <w:r>
                    <w:rPr>
                      <w:rFonts w:hint="eastAsia"/>
                      <w:color w:val="auto"/>
                      <w:szCs w:val="21"/>
                    </w:rPr>
                    <w:t>0.02t/a</w:t>
                  </w:r>
                </w:p>
              </w:tc>
              <w:tc>
                <w:tcPr>
                  <w:tcW w:w="638" w:type="dxa"/>
                  <w:vAlign w:val="center"/>
                </w:tcPr>
                <w:p w14:paraId="38B5349E">
                  <w:pPr>
                    <w:jc w:val="center"/>
                    <w:rPr>
                      <w:rFonts w:hAnsi="宋体"/>
                      <w:color w:val="auto"/>
                      <w:szCs w:val="21"/>
                    </w:rPr>
                  </w:pPr>
                  <w:r>
                    <w:rPr>
                      <w:rFonts w:hint="eastAsia"/>
                      <w:color w:val="auto"/>
                      <w:szCs w:val="21"/>
                    </w:rPr>
                    <w:t>原料包装</w:t>
                  </w:r>
                </w:p>
              </w:tc>
              <w:tc>
                <w:tcPr>
                  <w:tcW w:w="470" w:type="dxa"/>
                  <w:vAlign w:val="center"/>
                </w:tcPr>
                <w:p w14:paraId="63E3A2D7">
                  <w:pPr>
                    <w:tabs>
                      <w:tab w:val="left" w:pos="677"/>
                    </w:tabs>
                    <w:jc w:val="center"/>
                    <w:rPr>
                      <w:rFonts w:hAnsi="宋体"/>
                      <w:color w:val="auto"/>
                      <w:szCs w:val="21"/>
                    </w:rPr>
                  </w:pPr>
                  <w:r>
                    <w:rPr>
                      <w:rFonts w:hint="eastAsia" w:hAnsi="宋体"/>
                      <w:color w:val="auto"/>
                      <w:szCs w:val="21"/>
                    </w:rPr>
                    <w:t>固态</w:t>
                  </w:r>
                </w:p>
              </w:tc>
              <w:tc>
                <w:tcPr>
                  <w:tcW w:w="788" w:type="dxa"/>
                  <w:vAlign w:val="center"/>
                </w:tcPr>
                <w:p w14:paraId="63F45CBB">
                  <w:pPr>
                    <w:snapToGrid w:val="0"/>
                    <w:jc w:val="center"/>
                    <w:rPr>
                      <w:color w:val="auto"/>
                      <w:szCs w:val="21"/>
                    </w:rPr>
                  </w:pPr>
                  <w:r>
                    <w:rPr>
                      <w:rFonts w:hint="eastAsia"/>
                      <w:color w:val="auto"/>
                      <w:szCs w:val="21"/>
                    </w:rPr>
                    <w:t>铁桶</w:t>
                  </w:r>
                </w:p>
              </w:tc>
              <w:tc>
                <w:tcPr>
                  <w:tcW w:w="641" w:type="dxa"/>
                  <w:vAlign w:val="center"/>
                </w:tcPr>
                <w:p w14:paraId="7C233B51">
                  <w:pPr>
                    <w:topLinePunct/>
                    <w:adjustRightInd w:val="0"/>
                    <w:snapToGrid w:val="0"/>
                    <w:jc w:val="center"/>
                    <w:rPr>
                      <w:color w:val="auto"/>
                      <w:kern w:val="0"/>
                      <w:szCs w:val="21"/>
                    </w:rPr>
                  </w:pPr>
                  <w:r>
                    <w:rPr>
                      <w:rFonts w:hint="eastAsia"/>
                      <w:color w:val="auto"/>
                      <w:kern w:val="0"/>
                      <w:szCs w:val="21"/>
                    </w:rPr>
                    <w:t>300d</w:t>
                  </w:r>
                </w:p>
              </w:tc>
              <w:tc>
                <w:tcPr>
                  <w:tcW w:w="699" w:type="dxa"/>
                  <w:vAlign w:val="center"/>
                </w:tcPr>
                <w:p w14:paraId="0840CAB2">
                  <w:pPr>
                    <w:topLinePunct/>
                    <w:adjustRightInd w:val="0"/>
                    <w:snapToGrid w:val="0"/>
                    <w:jc w:val="center"/>
                    <w:rPr>
                      <w:color w:val="auto"/>
                      <w:kern w:val="0"/>
                      <w:szCs w:val="21"/>
                    </w:rPr>
                  </w:pPr>
                  <w:r>
                    <w:rPr>
                      <w:rFonts w:hint="eastAsia"/>
                      <w:color w:val="auto"/>
                      <w:kern w:val="0"/>
                      <w:szCs w:val="21"/>
                    </w:rPr>
                    <w:t>T</w:t>
                  </w:r>
                </w:p>
              </w:tc>
              <w:tc>
                <w:tcPr>
                  <w:tcW w:w="712" w:type="dxa"/>
                  <w:vMerge w:val="continue"/>
                  <w:tcBorders>
                    <w:right w:val="single" w:color="auto" w:sz="4" w:space="0"/>
                  </w:tcBorders>
                  <w:vAlign w:val="center"/>
                </w:tcPr>
                <w:p w14:paraId="696114E5">
                  <w:pPr>
                    <w:topLinePunct/>
                    <w:adjustRightInd w:val="0"/>
                    <w:snapToGrid w:val="0"/>
                    <w:jc w:val="center"/>
                    <w:rPr>
                      <w:color w:val="auto"/>
                      <w:kern w:val="0"/>
                      <w:szCs w:val="21"/>
                    </w:rPr>
                  </w:pPr>
                </w:p>
              </w:tc>
            </w:tr>
            <w:tr w14:paraId="06A9E2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29" w:type="dxa"/>
                  <w:tcBorders>
                    <w:top w:val="single" w:color="auto" w:sz="4" w:space="0"/>
                    <w:left w:val="single" w:color="auto" w:sz="4" w:space="0"/>
                    <w:bottom w:val="single" w:color="auto" w:sz="4" w:space="0"/>
                  </w:tcBorders>
                  <w:vAlign w:val="center"/>
                </w:tcPr>
                <w:p w14:paraId="2F118B8E">
                  <w:pPr>
                    <w:topLinePunct/>
                    <w:adjustRightInd w:val="0"/>
                    <w:snapToGrid w:val="0"/>
                    <w:jc w:val="center"/>
                    <w:rPr>
                      <w:rFonts w:hint="eastAsia" w:eastAsia="宋体"/>
                      <w:color w:val="auto"/>
                      <w:kern w:val="0"/>
                      <w:szCs w:val="21"/>
                      <w:lang w:eastAsia="zh-CN"/>
                    </w:rPr>
                  </w:pPr>
                  <w:r>
                    <w:rPr>
                      <w:rFonts w:hint="eastAsia"/>
                      <w:color w:val="auto"/>
                      <w:kern w:val="0"/>
                      <w:szCs w:val="21"/>
                      <w:lang w:val="en-US" w:eastAsia="zh-CN"/>
                    </w:rPr>
                    <w:t>3</w:t>
                  </w:r>
                </w:p>
              </w:tc>
              <w:tc>
                <w:tcPr>
                  <w:tcW w:w="990" w:type="dxa"/>
                  <w:tcBorders>
                    <w:top w:val="single" w:color="auto" w:sz="4" w:space="0"/>
                    <w:bottom w:val="single" w:color="auto" w:sz="4" w:space="0"/>
                  </w:tcBorders>
                  <w:vAlign w:val="center"/>
                </w:tcPr>
                <w:p w14:paraId="36EBCF56">
                  <w:pPr>
                    <w:jc w:val="center"/>
                    <w:rPr>
                      <w:color w:val="auto"/>
                      <w:szCs w:val="21"/>
                    </w:rPr>
                  </w:pPr>
                  <w:r>
                    <w:rPr>
                      <w:rFonts w:hint="eastAsia"/>
                      <w:color w:val="auto"/>
                      <w:szCs w:val="21"/>
                    </w:rPr>
                    <w:t>废含油抹布、劳保用品</w:t>
                  </w:r>
                </w:p>
              </w:tc>
              <w:tc>
                <w:tcPr>
                  <w:tcW w:w="1296" w:type="dxa"/>
                  <w:tcBorders>
                    <w:top w:val="single" w:color="auto" w:sz="4" w:space="0"/>
                    <w:bottom w:val="single" w:color="auto" w:sz="4" w:space="0"/>
                  </w:tcBorders>
                  <w:vAlign w:val="center"/>
                </w:tcPr>
                <w:p w14:paraId="2CB2EFED">
                  <w:pPr>
                    <w:jc w:val="center"/>
                    <w:rPr>
                      <w:color w:val="auto"/>
                      <w:szCs w:val="21"/>
                    </w:rPr>
                  </w:pPr>
                  <w:r>
                    <w:rPr>
                      <w:rFonts w:hint="eastAsia"/>
                      <w:color w:val="auto"/>
                      <w:szCs w:val="21"/>
                    </w:rPr>
                    <w:t>HW49</w:t>
                  </w:r>
                </w:p>
                <w:p w14:paraId="2D6979C8">
                  <w:pPr>
                    <w:jc w:val="center"/>
                    <w:rPr>
                      <w:color w:val="auto"/>
                      <w:szCs w:val="21"/>
                    </w:rPr>
                  </w:pPr>
                  <w:r>
                    <w:rPr>
                      <w:rFonts w:hint="eastAsia"/>
                      <w:color w:val="auto"/>
                      <w:szCs w:val="21"/>
                    </w:rPr>
                    <w:t>其他废物</w:t>
                  </w:r>
                </w:p>
              </w:tc>
              <w:tc>
                <w:tcPr>
                  <w:tcW w:w="1197" w:type="dxa"/>
                  <w:vAlign w:val="center"/>
                </w:tcPr>
                <w:p w14:paraId="7108E911">
                  <w:pPr>
                    <w:jc w:val="center"/>
                    <w:rPr>
                      <w:color w:val="auto"/>
                    </w:rPr>
                  </w:pPr>
                  <w:r>
                    <w:rPr>
                      <w:rFonts w:hint="eastAsia"/>
                      <w:color w:val="auto"/>
                      <w:szCs w:val="21"/>
                    </w:rPr>
                    <w:t>900-041-49</w:t>
                  </w:r>
                </w:p>
              </w:tc>
              <w:tc>
                <w:tcPr>
                  <w:tcW w:w="927" w:type="dxa"/>
                  <w:vAlign w:val="center"/>
                </w:tcPr>
                <w:p w14:paraId="751E20CE">
                  <w:pPr>
                    <w:jc w:val="center"/>
                    <w:rPr>
                      <w:color w:val="auto"/>
                      <w:szCs w:val="21"/>
                    </w:rPr>
                  </w:pPr>
                  <w:r>
                    <w:rPr>
                      <w:rFonts w:hint="eastAsia"/>
                      <w:color w:val="auto"/>
                      <w:szCs w:val="21"/>
                    </w:rPr>
                    <w:t>0.01t/a</w:t>
                  </w:r>
                </w:p>
              </w:tc>
              <w:tc>
                <w:tcPr>
                  <w:tcW w:w="638" w:type="dxa"/>
                  <w:vAlign w:val="center"/>
                </w:tcPr>
                <w:p w14:paraId="3AEEDBB7">
                  <w:pPr>
                    <w:jc w:val="center"/>
                    <w:rPr>
                      <w:color w:val="auto"/>
                      <w:szCs w:val="21"/>
                    </w:rPr>
                  </w:pPr>
                  <w:r>
                    <w:rPr>
                      <w:rFonts w:hint="eastAsia"/>
                      <w:color w:val="auto"/>
                      <w:szCs w:val="21"/>
                    </w:rPr>
                    <w:t>设备使用</w:t>
                  </w:r>
                </w:p>
              </w:tc>
              <w:tc>
                <w:tcPr>
                  <w:tcW w:w="470" w:type="dxa"/>
                  <w:vAlign w:val="center"/>
                </w:tcPr>
                <w:p w14:paraId="5BD5D8ED">
                  <w:pPr>
                    <w:jc w:val="center"/>
                    <w:rPr>
                      <w:rFonts w:hAnsi="宋体"/>
                      <w:color w:val="auto"/>
                      <w:szCs w:val="21"/>
                    </w:rPr>
                  </w:pPr>
                  <w:r>
                    <w:rPr>
                      <w:rFonts w:hint="eastAsia"/>
                      <w:color w:val="auto"/>
                      <w:szCs w:val="21"/>
                    </w:rPr>
                    <w:t>固态</w:t>
                  </w:r>
                </w:p>
              </w:tc>
              <w:tc>
                <w:tcPr>
                  <w:tcW w:w="788" w:type="dxa"/>
                  <w:vAlign w:val="center"/>
                </w:tcPr>
                <w:p w14:paraId="01F5CFAF">
                  <w:pPr>
                    <w:jc w:val="center"/>
                    <w:rPr>
                      <w:color w:val="auto"/>
                      <w:szCs w:val="21"/>
                    </w:rPr>
                  </w:pPr>
                  <w:r>
                    <w:rPr>
                      <w:rFonts w:hint="eastAsia"/>
                      <w:color w:val="auto"/>
                      <w:szCs w:val="21"/>
                    </w:rPr>
                    <w:t>含油化纤</w:t>
                  </w:r>
                </w:p>
              </w:tc>
              <w:tc>
                <w:tcPr>
                  <w:tcW w:w="641" w:type="dxa"/>
                  <w:vAlign w:val="center"/>
                </w:tcPr>
                <w:p w14:paraId="55CA982B">
                  <w:pPr>
                    <w:jc w:val="center"/>
                    <w:rPr>
                      <w:color w:val="auto"/>
                      <w:kern w:val="0"/>
                      <w:szCs w:val="21"/>
                    </w:rPr>
                  </w:pPr>
                  <w:r>
                    <w:rPr>
                      <w:rFonts w:hint="eastAsia"/>
                      <w:color w:val="auto"/>
                      <w:szCs w:val="21"/>
                    </w:rPr>
                    <w:t>30d</w:t>
                  </w:r>
                </w:p>
              </w:tc>
              <w:tc>
                <w:tcPr>
                  <w:tcW w:w="699" w:type="dxa"/>
                  <w:vAlign w:val="center"/>
                </w:tcPr>
                <w:p w14:paraId="27CBC498">
                  <w:pPr>
                    <w:jc w:val="center"/>
                    <w:rPr>
                      <w:color w:val="auto"/>
                      <w:kern w:val="0"/>
                      <w:szCs w:val="21"/>
                    </w:rPr>
                  </w:pPr>
                  <w:r>
                    <w:rPr>
                      <w:rFonts w:hint="eastAsia"/>
                      <w:color w:val="auto"/>
                      <w:szCs w:val="21"/>
                    </w:rPr>
                    <w:t>T/I</w:t>
                  </w:r>
                </w:p>
              </w:tc>
              <w:tc>
                <w:tcPr>
                  <w:tcW w:w="712" w:type="dxa"/>
                  <w:vMerge w:val="continue"/>
                  <w:tcBorders>
                    <w:right w:val="single" w:color="auto" w:sz="4" w:space="0"/>
                  </w:tcBorders>
                  <w:vAlign w:val="center"/>
                </w:tcPr>
                <w:p w14:paraId="689C32E2">
                  <w:pPr>
                    <w:topLinePunct/>
                    <w:adjustRightInd w:val="0"/>
                    <w:snapToGrid w:val="0"/>
                    <w:jc w:val="center"/>
                    <w:rPr>
                      <w:color w:val="auto"/>
                      <w:kern w:val="0"/>
                      <w:szCs w:val="21"/>
                    </w:rPr>
                  </w:pPr>
                </w:p>
              </w:tc>
            </w:tr>
            <w:tr w14:paraId="674A69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29" w:type="dxa"/>
                  <w:tcBorders>
                    <w:top w:val="single" w:color="auto" w:sz="4" w:space="0"/>
                    <w:left w:val="single" w:color="auto" w:sz="4" w:space="0"/>
                    <w:bottom w:val="single" w:color="auto" w:sz="4" w:space="0"/>
                  </w:tcBorders>
                  <w:vAlign w:val="center"/>
                </w:tcPr>
                <w:p w14:paraId="5BD636B5">
                  <w:pPr>
                    <w:topLinePunct/>
                    <w:adjustRightInd w:val="0"/>
                    <w:snapToGrid w:val="0"/>
                    <w:jc w:val="center"/>
                    <w:rPr>
                      <w:rFonts w:hint="eastAsia" w:eastAsia="宋体"/>
                      <w:color w:val="auto"/>
                      <w:kern w:val="0"/>
                      <w:szCs w:val="21"/>
                      <w:lang w:eastAsia="zh-CN"/>
                    </w:rPr>
                  </w:pPr>
                  <w:r>
                    <w:rPr>
                      <w:rFonts w:hint="eastAsia"/>
                      <w:color w:val="auto"/>
                      <w:kern w:val="0"/>
                      <w:szCs w:val="21"/>
                      <w:lang w:val="en-US" w:eastAsia="zh-CN"/>
                    </w:rPr>
                    <w:t>4</w:t>
                  </w:r>
                </w:p>
              </w:tc>
              <w:tc>
                <w:tcPr>
                  <w:tcW w:w="990" w:type="dxa"/>
                  <w:tcBorders>
                    <w:top w:val="single" w:color="auto" w:sz="4" w:space="0"/>
                    <w:bottom w:val="single" w:color="auto" w:sz="4" w:space="0"/>
                  </w:tcBorders>
                  <w:vAlign w:val="center"/>
                </w:tcPr>
                <w:p w14:paraId="6B6F3A68">
                  <w:pPr>
                    <w:jc w:val="center"/>
                    <w:rPr>
                      <w:color w:val="auto"/>
                      <w:szCs w:val="21"/>
                    </w:rPr>
                  </w:pPr>
                  <w:r>
                    <w:rPr>
                      <w:rFonts w:hint="eastAsia"/>
                      <w:color w:val="auto"/>
                      <w:szCs w:val="21"/>
                    </w:rPr>
                    <w:t>废活性炭</w:t>
                  </w:r>
                </w:p>
              </w:tc>
              <w:tc>
                <w:tcPr>
                  <w:tcW w:w="1296" w:type="dxa"/>
                  <w:tcBorders>
                    <w:top w:val="single" w:color="auto" w:sz="4" w:space="0"/>
                    <w:bottom w:val="single" w:color="auto" w:sz="4" w:space="0"/>
                  </w:tcBorders>
                  <w:vAlign w:val="center"/>
                </w:tcPr>
                <w:p w14:paraId="6E0AD744">
                  <w:pPr>
                    <w:topLinePunct/>
                    <w:adjustRightInd w:val="0"/>
                    <w:snapToGrid w:val="0"/>
                    <w:jc w:val="center"/>
                    <w:rPr>
                      <w:color w:val="auto"/>
                      <w:szCs w:val="21"/>
                    </w:rPr>
                  </w:pPr>
                  <w:r>
                    <w:rPr>
                      <w:color w:val="auto"/>
                      <w:szCs w:val="21"/>
                    </w:rPr>
                    <w:t>HW49</w:t>
                  </w:r>
                </w:p>
                <w:p w14:paraId="145D8A26">
                  <w:pPr>
                    <w:topLinePunct/>
                    <w:adjustRightInd w:val="0"/>
                    <w:snapToGrid w:val="0"/>
                    <w:jc w:val="center"/>
                    <w:rPr>
                      <w:rFonts w:hAnsi="宋体"/>
                      <w:color w:val="auto"/>
                      <w:szCs w:val="21"/>
                    </w:rPr>
                  </w:pPr>
                  <w:r>
                    <w:rPr>
                      <w:color w:val="auto"/>
                      <w:szCs w:val="21"/>
                    </w:rPr>
                    <w:t>其他废物</w:t>
                  </w:r>
                </w:p>
              </w:tc>
              <w:tc>
                <w:tcPr>
                  <w:tcW w:w="1197" w:type="dxa"/>
                  <w:vAlign w:val="center"/>
                </w:tcPr>
                <w:p w14:paraId="1A0FBC93">
                  <w:pPr>
                    <w:topLinePunct/>
                    <w:adjustRightInd w:val="0"/>
                    <w:snapToGrid w:val="0"/>
                    <w:jc w:val="center"/>
                    <w:rPr>
                      <w:color w:val="auto"/>
                      <w:szCs w:val="21"/>
                    </w:rPr>
                  </w:pPr>
                  <w:r>
                    <w:rPr>
                      <w:color w:val="auto"/>
                      <w:szCs w:val="21"/>
                    </w:rPr>
                    <w:t>900-0</w:t>
                  </w:r>
                  <w:r>
                    <w:rPr>
                      <w:rFonts w:hint="eastAsia"/>
                      <w:color w:val="auto"/>
                      <w:szCs w:val="21"/>
                    </w:rPr>
                    <w:t>39</w:t>
                  </w:r>
                  <w:r>
                    <w:rPr>
                      <w:color w:val="auto"/>
                      <w:szCs w:val="21"/>
                    </w:rPr>
                    <w:t>-49</w:t>
                  </w:r>
                </w:p>
              </w:tc>
              <w:tc>
                <w:tcPr>
                  <w:tcW w:w="927" w:type="dxa"/>
                  <w:vAlign w:val="center"/>
                </w:tcPr>
                <w:p w14:paraId="7137E070">
                  <w:pPr>
                    <w:tabs>
                      <w:tab w:val="left" w:pos="677"/>
                    </w:tabs>
                    <w:jc w:val="center"/>
                    <w:rPr>
                      <w:color w:val="auto"/>
                      <w:szCs w:val="21"/>
                    </w:rPr>
                  </w:pPr>
                  <w:r>
                    <w:rPr>
                      <w:rFonts w:hint="eastAsia"/>
                      <w:color w:val="auto"/>
                      <w:szCs w:val="21"/>
                      <w:lang w:val="en-US" w:eastAsia="zh-CN"/>
                    </w:rPr>
                    <w:t>16.173</w:t>
                  </w:r>
                  <w:r>
                    <w:rPr>
                      <w:rFonts w:hint="eastAsia"/>
                      <w:color w:val="auto"/>
                      <w:szCs w:val="21"/>
                    </w:rPr>
                    <w:t>t/a</w:t>
                  </w:r>
                </w:p>
              </w:tc>
              <w:tc>
                <w:tcPr>
                  <w:tcW w:w="638" w:type="dxa"/>
                  <w:vAlign w:val="center"/>
                </w:tcPr>
                <w:p w14:paraId="4AF66F84">
                  <w:pPr>
                    <w:jc w:val="center"/>
                    <w:rPr>
                      <w:rFonts w:hAnsi="宋体"/>
                      <w:color w:val="auto"/>
                      <w:szCs w:val="21"/>
                    </w:rPr>
                  </w:pPr>
                  <w:r>
                    <w:rPr>
                      <w:rFonts w:hint="eastAsia"/>
                      <w:color w:val="auto"/>
                      <w:szCs w:val="21"/>
                    </w:rPr>
                    <w:t>废气处理</w:t>
                  </w:r>
                </w:p>
              </w:tc>
              <w:tc>
                <w:tcPr>
                  <w:tcW w:w="470" w:type="dxa"/>
                  <w:vAlign w:val="center"/>
                </w:tcPr>
                <w:p w14:paraId="15E3775C">
                  <w:pPr>
                    <w:tabs>
                      <w:tab w:val="left" w:pos="677"/>
                    </w:tabs>
                    <w:jc w:val="center"/>
                    <w:rPr>
                      <w:rFonts w:hAnsi="宋体"/>
                      <w:color w:val="auto"/>
                      <w:szCs w:val="21"/>
                    </w:rPr>
                  </w:pPr>
                  <w:r>
                    <w:rPr>
                      <w:rFonts w:hint="eastAsia" w:hAnsi="宋体"/>
                      <w:color w:val="auto"/>
                      <w:szCs w:val="21"/>
                    </w:rPr>
                    <w:t>固态</w:t>
                  </w:r>
                </w:p>
              </w:tc>
              <w:tc>
                <w:tcPr>
                  <w:tcW w:w="788" w:type="dxa"/>
                  <w:vAlign w:val="center"/>
                </w:tcPr>
                <w:p w14:paraId="79C09929">
                  <w:pPr>
                    <w:snapToGrid w:val="0"/>
                    <w:jc w:val="center"/>
                    <w:rPr>
                      <w:color w:val="auto"/>
                      <w:szCs w:val="21"/>
                    </w:rPr>
                  </w:pPr>
                  <w:r>
                    <w:rPr>
                      <w:rFonts w:hint="eastAsia"/>
                      <w:color w:val="auto"/>
                      <w:szCs w:val="21"/>
                    </w:rPr>
                    <w:t>废活性炭</w:t>
                  </w:r>
                </w:p>
              </w:tc>
              <w:tc>
                <w:tcPr>
                  <w:tcW w:w="641" w:type="dxa"/>
                  <w:vAlign w:val="center"/>
                </w:tcPr>
                <w:p w14:paraId="792F23CD">
                  <w:pPr>
                    <w:topLinePunct/>
                    <w:adjustRightInd w:val="0"/>
                    <w:snapToGrid w:val="0"/>
                    <w:jc w:val="center"/>
                    <w:rPr>
                      <w:color w:val="auto"/>
                      <w:kern w:val="0"/>
                      <w:szCs w:val="21"/>
                    </w:rPr>
                  </w:pPr>
                  <w:r>
                    <w:rPr>
                      <w:rFonts w:hint="eastAsia"/>
                      <w:color w:val="auto"/>
                      <w:kern w:val="0"/>
                      <w:szCs w:val="21"/>
                    </w:rPr>
                    <w:t>80d</w:t>
                  </w:r>
                </w:p>
              </w:tc>
              <w:tc>
                <w:tcPr>
                  <w:tcW w:w="699" w:type="dxa"/>
                  <w:vAlign w:val="center"/>
                </w:tcPr>
                <w:p w14:paraId="7CCA55F2">
                  <w:pPr>
                    <w:topLinePunct/>
                    <w:adjustRightInd w:val="0"/>
                    <w:snapToGrid w:val="0"/>
                    <w:jc w:val="center"/>
                    <w:rPr>
                      <w:color w:val="auto"/>
                      <w:kern w:val="0"/>
                      <w:szCs w:val="21"/>
                    </w:rPr>
                  </w:pPr>
                  <w:r>
                    <w:rPr>
                      <w:rFonts w:hint="eastAsia"/>
                      <w:color w:val="auto"/>
                      <w:kern w:val="0"/>
                      <w:szCs w:val="21"/>
                    </w:rPr>
                    <w:t>T/I</w:t>
                  </w:r>
                </w:p>
              </w:tc>
              <w:tc>
                <w:tcPr>
                  <w:tcW w:w="712" w:type="dxa"/>
                  <w:vMerge w:val="continue"/>
                  <w:tcBorders>
                    <w:right w:val="single" w:color="auto" w:sz="4" w:space="0"/>
                  </w:tcBorders>
                  <w:vAlign w:val="center"/>
                </w:tcPr>
                <w:p w14:paraId="1D0E8548">
                  <w:pPr>
                    <w:topLinePunct/>
                    <w:adjustRightInd w:val="0"/>
                    <w:snapToGrid w:val="0"/>
                    <w:jc w:val="center"/>
                    <w:rPr>
                      <w:color w:val="auto"/>
                      <w:kern w:val="0"/>
                      <w:szCs w:val="21"/>
                    </w:rPr>
                  </w:pPr>
                </w:p>
              </w:tc>
            </w:tr>
          </w:tbl>
          <w:p w14:paraId="219C32ED">
            <w:pPr>
              <w:pStyle w:val="121"/>
              <w:keepNext/>
              <w:snapToGrid w:val="0"/>
              <w:spacing w:beforeLines="50"/>
              <w:ind w:firstLine="482"/>
              <w:rPr>
                <w:rFonts w:eastAsia="宋体" w:cs="Times New Roman"/>
                <w:color w:val="auto"/>
              </w:rPr>
            </w:pPr>
            <w:r>
              <w:rPr>
                <w:rFonts w:hAnsi="宋体" w:eastAsia="宋体" w:cs="Times New Roman"/>
                <w:color w:val="auto"/>
              </w:rPr>
              <w:t>表</w:t>
            </w:r>
            <w:r>
              <w:rPr>
                <w:rFonts w:eastAsia="宋体" w:cs="Times New Roman"/>
                <w:color w:val="auto"/>
              </w:rPr>
              <w:t>4</w:t>
            </w:r>
            <w:r>
              <w:rPr>
                <w:rFonts w:hint="eastAsia" w:eastAsia="宋体" w:cs="Times New Roman"/>
                <w:color w:val="auto"/>
              </w:rPr>
              <w:t>-</w:t>
            </w:r>
            <w:r>
              <w:rPr>
                <w:rFonts w:hint="eastAsia" w:eastAsia="宋体" w:cs="Times New Roman"/>
                <w:color w:val="auto"/>
                <w:lang w:val="en-US" w:eastAsia="zh-CN"/>
              </w:rPr>
              <w:t>32</w:t>
            </w:r>
            <w:r>
              <w:rPr>
                <w:rFonts w:hint="eastAsia" w:eastAsia="宋体" w:cs="Times New Roman"/>
                <w:color w:val="auto"/>
              </w:rPr>
              <w:t xml:space="preserve"> </w:t>
            </w:r>
            <w:r>
              <w:rPr>
                <w:rFonts w:eastAsia="宋体" w:cs="Times New Roman"/>
                <w:color w:val="auto"/>
              </w:rPr>
              <w:t xml:space="preserve"> </w:t>
            </w:r>
            <w:r>
              <w:rPr>
                <w:rFonts w:hint="eastAsia" w:hAnsi="宋体" w:eastAsia="宋体" w:cs="Times New Roman"/>
                <w:color w:val="auto"/>
              </w:rPr>
              <w:t>固体废物污染源强核算结果及相关参数一览表</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247"/>
              <w:gridCol w:w="684"/>
              <w:gridCol w:w="1093"/>
              <w:gridCol w:w="847"/>
              <w:gridCol w:w="1456"/>
              <w:gridCol w:w="1013"/>
              <w:gridCol w:w="1532"/>
            </w:tblGrid>
            <w:tr w14:paraId="03A7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Align w:val="center"/>
                </w:tcPr>
                <w:p w14:paraId="58160E93">
                  <w:pPr>
                    <w:tabs>
                      <w:tab w:val="left" w:pos="677"/>
                    </w:tabs>
                    <w:jc w:val="center"/>
                    <w:rPr>
                      <w:b/>
                      <w:color w:val="auto"/>
                      <w:szCs w:val="21"/>
                    </w:rPr>
                  </w:pPr>
                  <w:r>
                    <w:rPr>
                      <w:b/>
                      <w:color w:val="auto"/>
                      <w:szCs w:val="21"/>
                    </w:rPr>
                    <w:t>产生工序</w:t>
                  </w:r>
                </w:p>
              </w:tc>
              <w:tc>
                <w:tcPr>
                  <w:tcW w:w="1247" w:type="dxa"/>
                  <w:vAlign w:val="center"/>
                </w:tcPr>
                <w:p w14:paraId="054E058F">
                  <w:pPr>
                    <w:tabs>
                      <w:tab w:val="left" w:pos="677"/>
                    </w:tabs>
                    <w:jc w:val="center"/>
                    <w:rPr>
                      <w:b/>
                      <w:color w:val="auto"/>
                      <w:szCs w:val="21"/>
                    </w:rPr>
                  </w:pPr>
                  <w:r>
                    <w:rPr>
                      <w:b/>
                      <w:color w:val="auto"/>
                      <w:szCs w:val="21"/>
                    </w:rPr>
                    <w:t>固体废物名称</w:t>
                  </w:r>
                </w:p>
              </w:tc>
              <w:tc>
                <w:tcPr>
                  <w:tcW w:w="684" w:type="dxa"/>
                  <w:vAlign w:val="center"/>
                </w:tcPr>
                <w:p w14:paraId="28EFF36E">
                  <w:pPr>
                    <w:tabs>
                      <w:tab w:val="left" w:pos="677"/>
                    </w:tabs>
                    <w:jc w:val="center"/>
                    <w:rPr>
                      <w:b/>
                      <w:color w:val="auto"/>
                      <w:szCs w:val="21"/>
                    </w:rPr>
                  </w:pPr>
                  <w:r>
                    <w:rPr>
                      <w:b/>
                      <w:color w:val="auto"/>
                      <w:szCs w:val="21"/>
                    </w:rPr>
                    <w:t>形态</w:t>
                  </w:r>
                </w:p>
              </w:tc>
              <w:tc>
                <w:tcPr>
                  <w:tcW w:w="1093" w:type="dxa"/>
                  <w:vAlign w:val="center"/>
                </w:tcPr>
                <w:p w14:paraId="7389ECA2">
                  <w:pPr>
                    <w:tabs>
                      <w:tab w:val="left" w:pos="677"/>
                    </w:tabs>
                    <w:jc w:val="center"/>
                    <w:rPr>
                      <w:b/>
                      <w:color w:val="auto"/>
                      <w:szCs w:val="21"/>
                    </w:rPr>
                  </w:pPr>
                  <w:r>
                    <w:rPr>
                      <w:b/>
                      <w:color w:val="auto"/>
                      <w:szCs w:val="21"/>
                    </w:rPr>
                    <w:t>主要成分</w:t>
                  </w:r>
                </w:p>
              </w:tc>
              <w:tc>
                <w:tcPr>
                  <w:tcW w:w="847" w:type="dxa"/>
                  <w:vAlign w:val="center"/>
                </w:tcPr>
                <w:p w14:paraId="746BA725">
                  <w:pPr>
                    <w:tabs>
                      <w:tab w:val="left" w:pos="677"/>
                    </w:tabs>
                    <w:jc w:val="center"/>
                    <w:rPr>
                      <w:b/>
                      <w:color w:val="auto"/>
                      <w:szCs w:val="21"/>
                    </w:rPr>
                  </w:pPr>
                  <w:r>
                    <w:rPr>
                      <w:b/>
                      <w:color w:val="auto"/>
                      <w:szCs w:val="21"/>
                    </w:rPr>
                    <w:t>属性</w:t>
                  </w:r>
                </w:p>
              </w:tc>
              <w:tc>
                <w:tcPr>
                  <w:tcW w:w="1456" w:type="dxa"/>
                  <w:vAlign w:val="center"/>
                </w:tcPr>
                <w:p w14:paraId="30EF5136">
                  <w:pPr>
                    <w:tabs>
                      <w:tab w:val="left" w:pos="677"/>
                    </w:tabs>
                    <w:jc w:val="center"/>
                    <w:rPr>
                      <w:rFonts w:hint="default" w:eastAsia="宋体"/>
                      <w:b/>
                      <w:color w:val="auto"/>
                      <w:szCs w:val="21"/>
                      <w:lang w:val="en-US" w:eastAsia="zh-CN"/>
                    </w:rPr>
                  </w:pPr>
                  <w:r>
                    <w:rPr>
                      <w:rFonts w:hint="eastAsia"/>
                      <w:b/>
                      <w:color w:val="auto"/>
                      <w:szCs w:val="21"/>
                      <w:lang w:val="en-US" w:eastAsia="zh-CN"/>
                    </w:rPr>
                    <w:t>危废代码</w:t>
                  </w:r>
                </w:p>
              </w:tc>
              <w:tc>
                <w:tcPr>
                  <w:tcW w:w="1013" w:type="dxa"/>
                  <w:vAlign w:val="center"/>
                </w:tcPr>
                <w:p w14:paraId="72BDAE42">
                  <w:pPr>
                    <w:tabs>
                      <w:tab w:val="left" w:pos="677"/>
                    </w:tabs>
                    <w:jc w:val="center"/>
                    <w:rPr>
                      <w:b/>
                      <w:color w:val="auto"/>
                      <w:szCs w:val="21"/>
                    </w:rPr>
                  </w:pPr>
                  <w:r>
                    <w:rPr>
                      <w:b/>
                      <w:color w:val="auto"/>
                      <w:szCs w:val="21"/>
                    </w:rPr>
                    <w:t>预测产生量</w:t>
                  </w:r>
                </w:p>
              </w:tc>
              <w:tc>
                <w:tcPr>
                  <w:tcW w:w="1532" w:type="dxa"/>
                  <w:vAlign w:val="center"/>
                </w:tcPr>
                <w:p w14:paraId="321E65A9">
                  <w:pPr>
                    <w:tabs>
                      <w:tab w:val="left" w:pos="677"/>
                    </w:tabs>
                    <w:jc w:val="center"/>
                    <w:rPr>
                      <w:b/>
                      <w:color w:val="auto"/>
                      <w:szCs w:val="21"/>
                    </w:rPr>
                  </w:pPr>
                  <w:r>
                    <w:rPr>
                      <w:rFonts w:hint="eastAsia"/>
                      <w:b/>
                      <w:color w:val="auto"/>
                      <w:szCs w:val="21"/>
                    </w:rPr>
                    <w:t>最终去向</w:t>
                  </w:r>
                </w:p>
              </w:tc>
            </w:tr>
            <w:tr w14:paraId="0017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Align w:val="center"/>
                </w:tcPr>
                <w:p w14:paraId="0390597F">
                  <w:pPr>
                    <w:jc w:val="center"/>
                    <w:rPr>
                      <w:rFonts w:hAnsi="宋体"/>
                      <w:color w:val="auto"/>
                      <w:szCs w:val="21"/>
                    </w:rPr>
                  </w:pPr>
                  <w:r>
                    <w:rPr>
                      <w:rFonts w:hint="eastAsia" w:hAnsi="宋体"/>
                      <w:color w:val="auto"/>
                      <w:szCs w:val="21"/>
                      <w:lang w:val="en-US" w:eastAsia="zh-CN"/>
                    </w:rPr>
                    <w:t>下料、机加工</w:t>
                  </w:r>
                </w:p>
              </w:tc>
              <w:tc>
                <w:tcPr>
                  <w:tcW w:w="1247" w:type="dxa"/>
                  <w:vAlign w:val="center"/>
                </w:tcPr>
                <w:p w14:paraId="01B0DD25">
                  <w:pPr>
                    <w:jc w:val="center"/>
                    <w:rPr>
                      <w:color w:val="auto"/>
                      <w:szCs w:val="21"/>
                    </w:rPr>
                  </w:pPr>
                  <w:r>
                    <w:rPr>
                      <w:rFonts w:hint="eastAsia" w:hAnsi="宋体"/>
                      <w:color w:val="auto"/>
                      <w:szCs w:val="21"/>
                      <w:lang w:val="en-US" w:eastAsia="zh-CN"/>
                    </w:rPr>
                    <w:t>金属次品及集尘灰</w:t>
                  </w:r>
                </w:p>
              </w:tc>
              <w:tc>
                <w:tcPr>
                  <w:tcW w:w="684" w:type="dxa"/>
                  <w:vAlign w:val="center"/>
                </w:tcPr>
                <w:p w14:paraId="5D5EEA13">
                  <w:pPr>
                    <w:tabs>
                      <w:tab w:val="left" w:pos="677"/>
                    </w:tabs>
                    <w:jc w:val="center"/>
                    <w:rPr>
                      <w:rFonts w:hAnsi="宋体"/>
                      <w:color w:val="auto"/>
                      <w:szCs w:val="21"/>
                    </w:rPr>
                  </w:pPr>
                  <w:r>
                    <w:rPr>
                      <w:rFonts w:hint="eastAsia" w:hAnsi="宋体"/>
                      <w:color w:val="auto"/>
                      <w:szCs w:val="21"/>
                    </w:rPr>
                    <w:t>固态</w:t>
                  </w:r>
                </w:p>
              </w:tc>
              <w:tc>
                <w:tcPr>
                  <w:tcW w:w="1093" w:type="dxa"/>
                  <w:vAlign w:val="center"/>
                </w:tcPr>
                <w:p w14:paraId="3989BDBF">
                  <w:pPr>
                    <w:tabs>
                      <w:tab w:val="left" w:pos="677"/>
                    </w:tabs>
                    <w:jc w:val="center"/>
                    <w:rPr>
                      <w:color w:val="auto"/>
                      <w:szCs w:val="21"/>
                    </w:rPr>
                  </w:pPr>
                  <w:r>
                    <w:rPr>
                      <w:rFonts w:hint="eastAsia"/>
                      <w:color w:val="auto"/>
                      <w:szCs w:val="21"/>
                      <w:lang w:val="en-US" w:eastAsia="zh-CN"/>
                    </w:rPr>
                    <w:t>钢材</w:t>
                  </w:r>
                </w:p>
              </w:tc>
              <w:tc>
                <w:tcPr>
                  <w:tcW w:w="847" w:type="dxa"/>
                  <w:vAlign w:val="center"/>
                </w:tcPr>
                <w:p w14:paraId="3E1010DD">
                  <w:pPr>
                    <w:tabs>
                      <w:tab w:val="left" w:pos="677"/>
                    </w:tabs>
                    <w:jc w:val="center"/>
                    <w:rPr>
                      <w:color w:val="auto"/>
                      <w:szCs w:val="21"/>
                    </w:rPr>
                  </w:pPr>
                  <w:r>
                    <w:rPr>
                      <w:color w:val="auto"/>
                      <w:szCs w:val="21"/>
                    </w:rPr>
                    <w:t>一般</w:t>
                  </w:r>
                </w:p>
                <w:p w14:paraId="746325E1">
                  <w:pPr>
                    <w:tabs>
                      <w:tab w:val="left" w:pos="677"/>
                    </w:tabs>
                    <w:jc w:val="center"/>
                    <w:rPr>
                      <w:color w:val="auto"/>
                      <w:szCs w:val="21"/>
                    </w:rPr>
                  </w:pPr>
                  <w:r>
                    <w:rPr>
                      <w:color w:val="auto"/>
                      <w:szCs w:val="21"/>
                    </w:rPr>
                    <w:t>固废</w:t>
                  </w:r>
                </w:p>
              </w:tc>
              <w:tc>
                <w:tcPr>
                  <w:tcW w:w="1456" w:type="dxa"/>
                  <w:vAlign w:val="center"/>
                </w:tcPr>
                <w:p w14:paraId="503B37BE">
                  <w:pPr>
                    <w:jc w:val="center"/>
                    <w:rPr>
                      <w:rFonts w:hint="eastAsia" w:eastAsia="宋体"/>
                      <w:color w:val="auto"/>
                      <w:szCs w:val="21"/>
                      <w:lang w:eastAsia="zh-CN"/>
                    </w:rPr>
                  </w:pPr>
                  <w:r>
                    <w:rPr>
                      <w:rFonts w:hint="eastAsia" w:hAnsi="宋体"/>
                      <w:color w:val="auto"/>
                      <w:szCs w:val="21"/>
                      <w:lang w:val="en-US" w:eastAsia="zh-CN"/>
                    </w:rPr>
                    <w:t>/</w:t>
                  </w:r>
                </w:p>
              </w:tc>
              <w:tc>
                <w:tcPr>
                  <w:tcW w:w="1013" w:type="dxa"/>
                  <w:vAlign w:val="center"/>
                </w:tcPr>
                <w:p w14:paraId="2159CAFD">
                  <w:pPr>
                    <w:tabs>
                      <w:tab w:val="left" w:pos="677"/>
                    </w:tabs>
                    <w:jc w:val="center"/>
                    <w:rPr>
                      <w:rFonts w:hint="default" w:eastAsia="宋体"/>
                      <w:color w:val="auto"/>
                      <w:szCs w:val="21"/>
                      <w:lang w:val="en-US" w:eastAsia="zh-CN"/>
                    </w:rPr>
                  </w:pPr>
                  <w:r>
                    <w:rPr>
                      <w:rFonts w:hint="eastAsia"/>
                      <w:color w:val="auto"/>
                      <w:szCs w:val="21"/>
                      <w:lang w:val="en-US" w:eastAsia="zh-CN"/>
                    </w:rPr>
                    <w:t>15.403</w:t>
                  </w:r>
                  <w:r>
                    <w:rPr>
                      <w:rFonts w:hint="eastAsia"/>
                      <w:color w:val="auto"/>
                      <w:szCs w:val="21"/>
                    </w:rPr>
                    <w:t>t/a</w:t>
                  </w:r>
                </w:p>
              </w:tc>
              <w:tc>
                <w:tcPr>
                  <w:tcW w:w="1532" w:type="dxa"/>
                  <w:vMerge w:val="restart"/>
                  <w:vAlign w:val="center"/>
                </w:tcPr>
                <w:p w14:paraId="25C664BF">
                  <w:pPr>
                    <w:tabs>
                      <w:tab w:val="left" w:pos="677"/>
                    </w:tabs>
                    <w:jc w:val="center"/>
                    <w:rPr>
                      <w:color w:val="auto"/>
                      <w:szCs w:val="21"/>
                    </w:rPr>
                  </w:pPr>
                  <w:r>
                    <w:rPr>
                      <w:rFonts w:hint="eastAsia"/>
                      <w:color w:val="auto"/>
                      <w:szCs w:val="21"/>
                    </w:rPr>
                    <w:t>收集后由物资回收公司回收</w:t>
                  </w:r>
                </w:p>
              </w:tc>
            </w:tr>
            <w:tr w14:paraId="1214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Align w:val="center"/>
                </w:tcPr>
                <w:p w14:paraId="430BC9A5">
                  <w:pPr>
                    <w:snapToGrid w:val="0"/>
                    <w:jc w:val="center"/>
                    <w:rPr>
                      <w:rFonts w:hint="eastAsia"/>
                      <w:bCs/>
                      <w:color w:val="auto"/>
                      <w:szCs w:val="21"/>
                      <w:lang w:val="en-US" w:eastAsia="zh-CN"/>
                    </w:rPr>
                  </w:pPr>
                  <w:r>
                    <w:rPr>
                      <w:rFonts w:hint="eastAsia"/>
                      <w:bCs/>
                      <w:color w:val="auto"/>
                      <w:szCs w:val="21"/>
                      <w:lang w:val="en-US" w:eastAsia="zh-CN"/>
                    </w:rPr>
                    <w:t>原料</w:t>
                  </w:r>
                </w:p>
                <w:p w14:paraId="6BAF270B">
                  <w:pPr>
                    <w:snapToGrid w:val="0"/>
                    <w:jc w:val="center"/>
                    <w:rPr>
                      <w:rFonts w:hAnsi="宋体"/>
                      <w:color w:val="auto"/>
                      <w:szCs w:val="21"/>
                    </w:rPr>
                  </w:pPr>
                  <w:r>
                    <w:rPr>
                      <w:rFonts w:hint="eastAsia"/>
                      <w:bCs/>
                      <w:color w:val="auto"/>
                      <w:szCs w:val="21"/>
                      <w:lang w:val="en-US" w:eastAsia="zh-CN"/>
                    </w:rPr>
                    <w:t>包装</w:t>
                  </w:r>
                </w:p>
              </w:tc>
              <w:tc>
                <w:tcPr>
                  <w:tcW w:w="1247" w:type="dxa"/>
                  <w:vAlign w:val="center"/>
                </w:tcPr>
                <w:p w14:paraId="6DD63531">
                  <w:pPr>
                    <w:jc w:val="center"/>
                    <w:rPr>
                      <w:color w:val="auto"/>
                      <w:szCs w:val="21"/>
                    </w:rPr>
                  </w:pPr>
                  <w:r>
                    <w:rPr>
                      <w:rFonts w:hint="eastAsia" w:hAnsi="宋体"/>
                      <w:color w:val="auto"/>
                      <w:szCs w:val="21"/>
                      <w:lang w:val="en-US" w:eastAsia="zh-CN"/>
                    </w:rPr>
                    <w:t>一般废弃包装材料</w:t>
                  </w:r>
                </w:p>
              </w:tc>
              <w:tc>
                <w:tcPr>
                  <w:tcW w:w="684" w:type="dxa"/>
                  <w:vAlign w:val="center"/>
                </w:tcPr>
                <w:p w14:paraId="67A9362D">
                  <w:pPr>
                    <w:tabs>
                      <w:tab w:val="left" w:pos="677"/>
                    </w:tabs>
                    <w:jc w:val="center"/>
                    <w:rPr>
                      <w:rFonts w:hAnsi="宋体"/>
                      <w:color w:val="auto"/>
                      <w:szCs w:val="21"/>
                    </w:rPr>
                  </w:pPr>
                  <w:r>
                    <w:rPr>
                      <w:rFonts w:hint="eastAsia" w:hAnsi="宋体"/>
                      <w:color w:val="auto"/>
                      <w:szCs w:val="21"/>
                    </w:rPr>
                    <w:t>固态</w:t>
                  </w:r>
                </w:p>
              </w:tc>
              <w:tc>
                <w:tcPr>
                  <w:tcW w:w="1093" w:type="dxa"/>
                  <w:vAlign w:val="center"/>
                </w:tcPr>
                <w:p w14:paraId="676C8C61">
                  <w:pPr>
                    <w:tabs>
                      <w:tab w:val="left" w:pos="677"/>
                    </w:tabs>
                    <w:jc w:val="center"/>
                    <w:rPr>
                      <w:color w:val="auto"/>
                      <w:szCs w:val="21"/>
                    </w:rPr>
                  </w:pPr>
                  <w:r>
                    <w:rPr>
                      <w:rFonts w:hint="eastAsia"/>
                      <w:color w:val="auto"/>
                      <w:szCs w:val="21"/>
                      <w:lang w:val="en-US" w:eastAsia="zh-CN"/>
                    </w:rPr>
                    <w:t>塑料袋、纸袋</w:t>
                  </w:r>
                </w:p>
              </w:tc>
              <w:tc>
                <w:tcPr>
                  <w:tcW w:w="847" w:type="dxa"/>
                  <w:vAlign w:val="center"/>
                </w:tcPr>
                <w:p w14:paraId="5D364A24">
                  <w:pPr>
                    <w:tabs>
                      <w:tab w:val="left" w:pos="677"/>
                    </w:tabs>
                    <w:jc w:val="center"/>
                    <w:rPr>
                      <w:color w:val="auto"/>
                      <w:szCs w:val="21"/>
                    </w:rPr>
                  </w:pPr>
                  <w:r>
                    <w:rPr>
                      <w:color w:val="auto"/>
                      <w:szCs w:val="21"/>
                    </w:rPr>
                    <w:t>一般</w:t>
                  </w:r>
                </w:p>
                <w:p w14:paraId="32913011">
                  <w:pPr>
                    <w:tabs>
                      <w:tab w:val="left" w:pos="677"/>
                    </w:tabs>
                    <w:jc w:val="center"/>
                    <w:rPr>
                      <w:color w:val="auto"/>
                      <w:szCs w:val="21"/>
                    </w:rPr>
                  </w:pPr>
                  <w:r>
                    <w:rPr>
                      <w:color w:val="auto"/>
                      <w:szCs w:val="21"/>
                    </w:rPr>
                    <w:t>固废</w:t>
                  </w:r>
                </w:p>
              </w:tc>
              <w:tc>
                <w:tcPr>
                  <w:tcW w:w="1456" w:type="dxa"/>
                  <w:vAlign w:val="center"/>
                </w:tcPr>
                <w:p w14:paraId="7D1D3409">
                  <w:pPr>
                    <w:autoSpaceDE w:val="0"/>
                    <w:autoSpaceDN w:val="0"/>
                    <w:adjustRightInd w:val="0"/>
                    <w:jc w:val="center"/>
                    <w:rPr>
                      <w:color w:val="auto"/>
                      <w:kern w:val="0"/>
                      <w:szCs w:val="21"/>
                    </w:rPr>
                  </w:pPr>
                  <w:r>
                    <w:rPr>
                      <w:rFonts w:hint="eastAsia" w:hAnsi="宋体"/>
                      <w:color w:val="auto"/>
                      <w:szCs w:val="21"/>
                      <w:lang w:val="en-US" w:eastAsia="zh-CN"/>
                    </w:rPr>
                    <w:t>/</w:t>
                  </w:r>
                </w:p>
              </w:tc>
              <w:tc>
                <w:tcPr>
                  <w:tcW w:w="1013" w:type="dxa"/>
                  <w:vAlign w:val="center"/>
                </w:tcPr>
                <w:p w14:paraId="233BD18A">
                  <w:pPr>
                    <w:tabs>
                      <w:tab w:val="left" w:pos="677"/>
                    </w:tabs>
                    <w:jc w:val="center"/>
                    <w:rPr>
                      <w:color w:val="auto"/>
                      <w:szCs w:val="21"/>
                    </w:rPr>
                  </w:pPr>
                  <w:r>
                    <w:rPr>
                      <w:rFonts w:hint="eastAsia"/>
                      <w:color w:val="auto"/>
                      <w:szCs w:val="21"/>
                      <w:lang w:val="en-US" w:eastAsia="zh-CN"/>
                    </w:rPr>
                    <w:t>0.3t/a</w:t>
                  </w:r>
                </w:p>
              </w:tc>
              <w:tc>
                <w:tcPr>
                  <w:tcW w:w="1532" w:type="dxa"/>
                  <w:vMerge w:val="continue"/>
                  <w:vAlign w:val="center"/>
                </w:tcPr>
                <w:p w14:paraId="4BC49424">
                  <w:pPr>
                    <w:tabs>
                      <w:tab w:val="left" w:pos="677"/>
                    </w:tabs>
                    <w:jc w:val="center"/>
                    <w:rPr>
                      <w:color w:val="auto"/>
                      <w:szCs w:val="21"/>
                    </w:rPr>
                  </w:pPr>
                </w:p>
              </w:tc>
            </w:tr>
            <w:tr w14:paraId="5C04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Align w:val="center"/>
                </w:tcPr>
                <w:p w14:paraId="6F070E93">
                  <w:pPr>
                    <w:jc w:val="center"/>
                    <w:rPr>
                      <w:rFonts w:hint="eastAsia"/>
                      <w:color w:val="auto"/>
                      <w:szCs w:val="21"/>
                      <w:lang w:val="en-US" w:eastAsia="zh-CN"/>
                    </w:rPr>
                  </w:pPr>
                  <w:r>
                    <w:rPr>
                      <w:rFonts w:hint="eastAsia"/>
                      <w:color w:val="auto"/>
                      <w:szCs w:val="21"/>
                      <w:lang w:val="en-US" w:eastAsia="zh-CN"/>
                    </w:rPr>
                    <w:t>设备</w:t>
                  </w:r>
                </w:p>
                <w:p w14:paraId="5BA480B4">
                  <w:pPr>
                    <w:jc w:val="center"/>
                    <w:rPr>
                      <w:rFonts w:hAnsi="宋体"/>
                      <w:color w:val="auto"/>
                      <w:szCs w:val="21"/>
                    </w:rPr>
                  </w:pPr>
                  <w:r>
                    <w:rPr>
                      <w:rFonts w:hint="eastAsia"/>
                      <w:color w:val="auto"/>
                      <w:szCs w:val="21"/>
                      <w:lang w:val="en-US" w:eastAsia="zh-CN"/>
                    </w:rPr>
                    <w:t>使用</w:t>
                  </w:r>
                </w:p>
              </w:tc>
              <w:tc>
                <w:tcPr>
                  <w:tcW w:w="1247" w:type="dxa"/>
                  <w:vAlign w:val="center"/>
                </w:tcPr>
                <w:p w14:paraId="6B53BB47">
                  <w:pPr>
                    <w:jc w:val="center"/>
                    <w:rPr>
                      <w:color w:val="auto"/>
                      <w:szCs w:val="21"/>
                    </w:rPr>
                  </w:pPr>
                  <w:r>
                    <w:rPr>
                      <w:rFonts w:hint="eastAsia"/>
                      <w:color w:val="auto"/>
                      <w:szCs w:val="21"/>
                    </w:rPr>
                    <w:t>废润滑油</w:t>
                  </w:r>
                </w:p>
              </w:tc>
              <w:tc>
                <w:tcPr>
                  <w:tcW w:w="684" w:type="dxa"/>
                  <w:vAlign w:val="center"/>
                </w:tcPr>
                <w:p w14:paraId="44EE14BF">
                  <w:pPr>
                    <w:tabs>
                      <w:tab w:val="left" w:pos="677"/>
                    </w:tabs>
                    <w:jc w:val="center"/>
                    <w:rPr>
                      <w:rFonts w:hAnsi="宋体"/>
                      <w:color w:val="auto"/>
                      <w:szCs w:val="21"/>
                    </w:rPr>
                  </w:pPr>
                  <w:r>
                    <w:rPr>
                      <w:rFonts w:hint="eastAsia" w:hAnsi="宋体"/>
                      <w:color w:val="auto"/>
                      <w:szCs w:val="21"/>
                    </w:rPr>
                    <w:t>液态</w:t>
                  </w:r>
                </w:p>
              </w:tc>
              <w:tc>
                <w:tcPr>
                  <w:tcW w:w="1093" w:type="dxa"/>
                  <w:vAlign w:val="center"/>
                </w:tcPr>
                <w:p w14:paraId="0F0BA7AD">
                  <w:pPr>
                    <w:snapToGrid w:val="0"/>
                    <w:jc w:val="center"/>
                    <w:rPr>
                      <w:color w:val="auto"/>
                      <w:szCs w:val="21"/>
                    </w:rPr>
                  </w:pPr>
                  <w:r>
                    <w:rPr>
                      <w:rFonts w:hint="eastAsia"/>
                      <w:color w:val="auto"/>
                      <w:szCs w:val="21"/>
                      <w:lang w:val="en-US" w:eastAsia="zh-CN"/>
                    </w:rPr>
                    <w:t>废矿物油</w:t>
                  </w:r>
                </w:p>
              </w:tc>
              <w:tc>
                <w:tcPr>
                  <w:tcW w:w="847" w:type="dxa"/>
                  <w:vAlign w:val="center"/>
                </w:tcPr>
                <w:p w14:paraId="1FB9AD1A">
                  <w:pPr>
                    <w:tabs>
                      <w:tab w:val="left" w:pos="677"/>
                    </w:tabs>
                    <w:jc w:val="center"/>
                    <w:rPr>
                      <w:color w:val="auto"/>
                      <w:szCs w:val="21"/>
                    </w:rPr>
                  </w:pPr>
                  <w:r>
                    <w:rPr>
                      <w:color w:val="auto"/>
                      <w:szCs w:val="21"/>
                    </w:rPr>
                    <w:t>危险</w:t>
                  </w:r>
                </w:p>
                <w:p w14:paraId="6FF00CD3">
                  <w:pPr>
                    <w:tabs>
                      <w:tab w:val="left" w:pos="677"/>
                    </w:tabs>
                    <w:jc w:val="center"/>
                    <w:rPr>
                      <w:color w:val="auto"/>
                      <w:szCs w:val="21"/>
                    </w:rPr>
                  </w:pPr>
                  <w:r>
                    <w:rPr>
                      <w:color w:val="auto"/>
                      <w:szCs w:val="21"/>
                    </w:rPr>
                    <w:t>废物</w:t>
                  </w:r>
                </w:p>
              </w:tc>
              <w:tc>
                <w:tcPr>
                  <w:tcW w:w="1456" w:type="dxa"/>
                  <w:vAlign w:val="center"/>
                </w:tcPr>
                <w:p w14:paraId="39A84EB6">
                  <w:pPr>
                    <w:tabs>
                      <w:tab w:val="left" w:pos="677"/>
                    </w:tabs>
                    <w:jc w:val="center"/>
                    <w:rPr>
                      <w:rFonts w:hAnsi="宋体"/>
                      <w:color w:val="auto"/>
                      <w:szCs w:val="21"/>
                    </w:rPr>
                  </w:pPr>
                  <w:r>
                    <w:rPr>
                      <w:rFonts w:hint="eastAsia" w:ascii="Times New Roman" w:hAnsi="Times New Roman" w:eastAsia="宋体" w:cs="Times New Roman"/>
                      <w:color w:val="auto"/>
                      <w:szCs w:val="21"/>
                    </w:rPr>
                    <w:t>HW08</w:t>
                  </w:r>
                  <w:r>
                    <w:rPr>
                      <w:rFonts w:hint="eastAsia" w:cs="Times New Roman"/>
                      <w:color w:val="auto"/>
                      <w:szCs w:val="21"/>
                      <w:lang w:eastAsia="zh-CN"/>
                    </w:rPr>
                    <w:t>：</w:t>
                  </w:r>
                  <w:r>
                    <w:rPr>
                      <w:rFonts w:hint="eastAsia" w:ascii="Times New Roman" w:hAnsi="Times New Roman" w:eastAsia="宋体" w:cs="Times New Roman"/>
                      <w:color w:val="auto"/>
                      <w:szCs w:val="21"/>
                    </w:rPr>
                    <w:t>900-249-08</w:t>
                  </w:r>
                </w:p>
              </w:tc>
              <w:tc>
                <w:tcPr>
                  <w:tcW w:w="1013" w:type="dxa"/>
                  <w:vAlign w:val="center"/>
                </w:tcPr>
                <w:p w14:paraId="01B5780C">
                  <w:pPr>
                    <w:tabs>
                      <w:tab w:val="left" w:pos="677"/>
                    </w:tabs>
                    <w:jc w:val="center"/>
                    <w:rPr>
                      <w:color w:val="auto"/>
                      <w:szCs w:val="21"/>
                    </w:rPr>
                  </w:pPr>
                  <w:r>
                    <w:rPr>
                      <w:rFonts w:hint="eastAsia"/>
                      <w:color w:val="auto"/>
                      <w:szCs w:val="21"/>
                      <w:lang w:val="en-US" w:eastAsia="zh-CN"/>
                    </w:rPr>
                    <w:t>0.1t/a</w:t>
                  </w:r>
                </w:p>
              </w:tc>
              <w:tc>
                <w:tcPr>
                  <w:tcW w:w="1532" w:type="dxa"/>
                  <w:vMerge w:val="restart"/>
                  <w:vAlign w:val="center"/>
                </w:tcPr>
                <w:p w14:paraId="108516A4">
                  <w:pPr>
                    <w:tabs>
                      <w:tab w:val="left" w:pos="677"/>
                    </w:tabs>
                    <w:jc w:val="center"/>
                    <w:rPr>
                      <w:color w:val="auto"/>
                      <w:szCs w:val="21"/>
                    </w:rPr>
                  </w:pPr>
                  <w:r>
                    <w:rPr>
                      <w:color w:val="auto"/>
                      <w:szCs w:val="21"/>
                    </w:rPr>
                    <w:t>收集后委托资质单位处置</w:t>
                  </w:r>
                </w:p>
              </w:tc>
            </w:tr>
            <w:tr w14:paraId="1052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Align w:val="center"/>
                </w:tcPr>
                <w:p w14:paraId="640F1A1F">
                  <w:pPr>
                    <w:jc w:val="center"/>
                    <w:rPr>
                      <w:rFonts w:hint="eastAsia"/>
                      <w:color w:val="auto"/>
                      <w:szCs w:val="21"/>
                      <w:lang w:val="en-US" w:eastAsia="zh-CN"/>
                    </w:rPr>
                  </w:pPr>
                  <w:r>
                    <w:rPr>
                      <w:rFonts w:hint="eastAsia"/>
                      <w:color w:val="auto"/>
                      <w:szCs w:val="21"/>
                      <w:lang w:val="en-US" w:eastAsia="zh-CN"/>
                    </w:rPr>
                    <w:t>原料</w:t>
                  </w:r>
                </w:p>
                <w:p w14:paraId="6289CCA4">
                  <w:pPr>
                    <w:jc w:val="center"/>
                    <w:rPr>
                      <w:rFonts w:hint="eastAsia"/>
                      <w:bCs/>
                      <w:color w:val="auto"/>
                      <w:szCs w:val="21"/>
                    </w:rPr>
                  </w:pPr>
                  <w:r>
                    <w:rPr>
                      <w:rFonts w:hint="eastAsia"/>
                      <w:color w:val="auto"/>
                      <w:szCs w:val="21"/>
                      <w:lang w:val="en-US" w:eastAsia="zh-CN"/>
                    </w:rPr>
                    <w:t>包装</w:t>
                  </w:r>
                </w:p>
              </w:tc>
              <w:tc>
                <w:tcPr>
                  <w:tcW w:w="1247" w:type="dxa"/>
                  <w:vAlign w:val="center"/>
                </w:tcPr>
                <w:p w14:paraId="0E1411DB">
                  <w:pPr>
                    <w:jc w:val="center"/>
                    <w:rPr>
                      <w:rFonts w:hint="eastAsia"/>
                      <w:color w:val="auto"/>
                      <w:szCs w:val="21"/>
                    </w:rPr>
                  </w:pPr>
                  <w:r>
                    <w:rPr>
                      <w:rFonts w:hint="eastAsia"/>
                      <w:color w:val="auto"/>
                      <w:szCs w:val="21"/>
                    </w:rPr>
                    <w:t>废油桶</w:t>
                  </w:r>
                </w:p>
              </w:tc>
              <w:tc>
                <w:tcPr>
                  <w:tcW w:w="684" w:type="dxa"/>
                  <w:vAlign w:val="center"/>
                </w:tcPr>
                <w:p w14:paraId="076070D2">
                  <w:pPr>
                    <w:tabs>
                      <w:tab w:val="left" w:pos="677"/>
                    </w:tabs>
                    <w:jc w:val="center"/>
                    <w:rPr>
                      <w:rFonts w:hint="eastAsia" w:hAnsi="宋体"/>
                      <w:color w:val="auto"/>
                      <w:szCs w:val="21"/>
                      <w:lang w:eastAsia="zh-CN"/>
                    </w:rPr>
                  </w:pPr>
                  <w:r>
                    <w:rPr>
                      <w:rFonts w:hint="eastAsia" w:hAnsi="宋体"/>
                      <w:color w:val="auto"/>
                      <w:szCs w:val="21"/>
                    </w:rPr>
                    <w:t>固态</w:t>
                  </w:r>
                </w:p>
              </w:tc>
              <w:tc>
                <w:tcPr>
                  <w:tcW w:w="1093" w:type="dxa"/>
                  <w:vAlign w:val="center"/>
                </w:tcPr>
                <w:p w14:paraId="5B520C76">
                  <w:pPr>
                    <w:snapToGrid w:val="0"/>
                    <w:jc w:val="center"/>
                    <w:rPr>
                      <w:rFonts w:hAnsi="宋体"/>
                      <w:color w:val="auto"/>
                      <w:szCs w:val="21"/>
                    </w:rPr>
                  </w:pPr>
                  <w:r>
                    <w:rPr>
                      <w:rFonts w:hint="eastAsia"/>
                      <w:color w:val="auto"/>
                      <w:szCs w:val="21"/>
                      <w:lang w:val="en-US" w:eastAsia="zh-CN"/>
                    </w:rPr>
                    <w:t>铁桶</w:t>
                  </w:r>
                </w:p>
              </w:tc>
              <w:tc>
                <w:tcPr>
                  <w:tcW w:w="847" w:type="dxa"/>
                  <w:vAlign w:val="center"/>
                </w:tcPr>
                <w:p w14:paraId="001D64A0">
                  <w:pPr>
                    <w:tabs>
                      <w:tab w:val="left" w:pos="677"/>
                    </w:tabs>
                    <w:jc w:val="center"/>
                    <w:rPr>
                      <w:color w:val="auto"/>
                      <w:szCs w:val="21"/>
                    </w:rPr>
                  </w:pPr>
                  <w:r>
                    <w:rPr>
                      <w:color w:val="auto"/>
                      <w:szCs w:val="21"/>
                    </w:rPr>
                    <w:t>危险</w:t>
                  </w:r>
                </w:p>
                <w:p w14:paraId="3D2AA5AC">
                  <w:pPr>
                    <w:tabs>
                      <w:tab w:val="left" w:pos="677"/>
                    </w:tabs>
                    <w:jc w:val="center"/>
                    <w:rPr>
                      <w:color w:val="auto"/>
                      <w:szCs w:val="21"/>
                    </w:rPr>
                  </w:pPr>
                  <w:r>
                    <w:rPr>
                      <w:color w:val="auto"/>
                      <w:szCs w:val="21"/>
                    </w:rPr>
                    <w:t>废物</w:t>
                  </w:r>
                </w:p>
              </w:tc>
              <w:tc>
                <w:tcPr>
                  <w:tcW w:w="1456" w:type="dxa"/>
                  <w:vAlign w:val="center"/>
                </w:tcPr>
                <w:p w14:paraId="3676EC4E">
                  <w:pPr>
                    <w:tabs>
                      <w:tab w:val="left" w:pos="677"/>
                    </w:tabs>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HW08</w:t>
                  </w:r>
                  <w:r>
                    <w:rPr>
                      <w:rFonts w:hint="eastAsia" w:cs="Times New Roman"/>
                      <w:color w:val="auto"/>
                      <w:szCs w:val="21"/>
                      <w:lang w:eastAsia="zh-CN"/>
                    </w:rPr>
                    <w:t>：</w:t>
                  </w:r>
                  <w:r>
                    <w:rPr>
                      <w:rFonts w:hint="eastAsia" w:ascii="Times New Roman" w:hAnsi="Times New Roman" w:eastAsia="宋体" w:cs="Times New Roman"/>
                      <w:color w:val="auto"/>
                      <w:szCs w:val="21"/>
                    </w:rPr>
                    <w:t>900-249-08</w:t>
                  </w:r>
                </w:p>
              </w:tc>
              <w:tc>
                <w:tcPr>
                  <w:tcW w:w="1013" w:type="dxa"/>
                  <w:vAlign w:val="center"/>
                </w:tcPr>
                <w:p w14:paraId="0CA9B55D">
                  <w:pPr>
                    <w:tabs>
                      <w:tab w:val="left" w:pos="677"/>
                    </w:tabs>
                    <w:jc w:val="center"/>
                    <w:rPr>
                      <w:rFonts w:hint="eastAsia"/>
                      <w:color w:val="auto"/>
                      <w:szCs w:val="21"/>
                      <w:lang w:val="en-US" w:eastAsia="zh-CN"/>
                    </w:rPr>
                  </w:pPr>
                  <w:r>
                    <w:rPr>
                      <w:rFonts w:hint="eastAsia"/>
                      <w:color w:val="auto"/>
                      <w:szCs w:val="21"/>
                      <w:lang w:val="en-US" w:eastAsia="zh-CN"/>
                    </w:rPr>
                    <w:t>0.02t/a</w:t>
                  </w:r>
                </w:p>
              </w:tc>
              <w:tc>
                <w:tcPr>
                  <w:tcW w:w="1532" w:type="dxa"/>
                  <w:vMerge w:val="continue"/>
                  <w:vAlign w:val="center"/>
                </w:tcPr>
                <w:p w14:paraId="422A536E">
                  <w:pPr>
                    <w:tabs>
                      <w:tab w:val="left" w:pos="677"/>
                    </w:tabs>
                    <w:jc w:val="center"/>
                    <w:rPr>
                      <w:color w:val="auto"/>
                      <w:szCs w:val="21"/>
                    </w:rPr>
                  </w:pPr>
                </w:p>
              </w:tc>
            </w:tr>
            <w:tr w14:paraId="72C6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Align w:val="center"/>
                </w:tcPr>
                <w:p w14:paraId="67CC128A">
                  <w:pPr>
                    <w:jc w:val="center"/>
                    <w:rPr>
                      <w:rFonts w:hint="eastAsia"/>
                      <w:color w:val="auto"/>
                      <w:szCs w:val="21"/>
                      <w:lang w:val="en-US" w:eastAsia="zh-CN"/>
                    </w:rPr>
                  </w:pPr>
                  <w:r>
                    <w:rPr>
                      <w:rFonts w:hint="eastAsia"/>
                      <w:color w:val="auto"/>
                      <w:szCs w:val="21"/>
                      <w:lang w:val="en-US" w:eastAsia="zh-CN"/>
                    </w:rPr>
                    <w:t>废气</w:t>
                  </w:r>
                </w:p>
                <w:p w14:paraId="6BC203C3">
                  <w:pPr>
                    <w:jc w:val="center"/>
                    <w:rPr>
                      <w:rFonts w:hint="eastAsia" w:hAnsi="宋体"/>
                      <w:color w:val="auto"/>
                      <w:szCs w:val="21"/>
                    </w:rPr>
                  </w:pPr>
                  <w:r>
                    <w:rPr>
                      <w:rFonts w:hint="eastAsia"/>
                      <w:color w:val="auto"/>
                      <w:szCs w:val="21"/>
                      <w:lang w:val="en-US" w:eastAsia="zh-CN"/>
                    </w:rPr>
                    <w:t>处理</w:t>
                  </w:r>
                </w:p>
              </w:tc>
              <w:tc>
                <w:tcPr>
                  <w:tcW w:w="1247" w:type="dxa"/>
                  <w:vAlign w:val="center"/>
                </w:tcPr>
                <w:p w14:paraId="257DC0EE">
                  <w:pPr>
                    <w:jc w:val="center"/>
                    <w:rPr>
                      <w:rFonts w:hint="eastAsia"/>
                      <w:color w:val="auto"/>
                      <w:szCs w:val="21"/>
                    </w:rPr>
                  </w:pPr>
                  <w:r>
                    <w:rPr>
                      <w:rFonts w:hint="eastAsia"/>
                      <w:color w:val="auto"/>
                      <w:szCs w:val="21"/>
                    </w:rPr>
                    <w:t>废活性炭</w:t>
                  </w:r>
                </w:p>
              </w:tc>
              <w:tc>
                <w:tcPr>
                  <w:tcW w:w="684" w:type="dxa"/>
                  <w:vAlign w:val="center"/>
                </w:tcPr>
                <w:p w14:paraId="762A0B87">
                  <w:pPr>
                    <w:tabs>
                      <w:tab w:val="left" w:pos="677"/>
                    </w:tabs>
                    <w:jc w:val="center"/>
                    <w:rPr>
                      <w:rFonts w:hint="eastAsia" w:hAnsi="宋体" w:eastAsia="宋体"/>
                      <w:color w:val="auto"/>
                      <w:szCs w:val="21"/>
                      <w:lang w:eastAsia="zh-CN"/>
                    </w:rPr>
                  </w:pPr>
                  <w:r>
                    <w:rPr>
                      <w:rFonts w:hint="eastAsia" w:hAnsi="宋体"/>
                      <w:color w:val="auto"/>
                      <w:szCs w:val="21"/>
                    </w:rPr>
                    <w:t>固态</w:t>
                  </w:r>
                </w:p>
              </w:tc>
              <w:tc>
                <w:tcPr>
                  <w:tcW w:w="1093" w:type="dxa"/>
                  <w:vAlign w:val="center"/>
                </w:tcPr>
                <w:p w14:paraId="1BF86947">
                  <w:pPr>
                    <w:snapToGrid w:val="0"/>
                    <w:jc w:val="center"/>
                    <w:rPr>
                      <w:rFonts w:hint="eastAsia"/>
                      <w:color w:val="auto"/>
                      <w:szCs w:val="21"/>
                    </w:rPr>
                  </w:pPr>
                  <w:r>
                    <w:rPr>
                      <w:rFonts w:hint="eastAsia"/>
                      <w:color w:val="auto"/>
                      <w:szCs w:val="21"/>
                      <w:lang w:val="en-US" w:eastAsia="zh-CN"/>
                    </w:rPr>
                    <w:t>废活性炭</w:t>
                  </w:r>
                </w:p>
              </w:tc>
              <w:tc>
                <w:tcPr>
                  <w:tcW w:w="847" w:type="dxa"/>
                  <w:vAlign w:val="center"/>
                </w:tcPr>
                <w:p w14:paraId="1565A57B">
                  <w:pPr>
                    <w:jc w:val="center"/>
                    <w:rPr>
                      <w:color w:val="auto"/>
                      <w:szCs w:val="21"/>
                    </w:rPr>
                  </w:pPr>
                  <w:r>
                    <w:rPr>
                      <w:color w:val="auto"/>
                      <w:szCs w:val="21"/>
                    </w:rPr>
                    <w:t>危险</w:t>
                  </w:r>
                </w:p>
                <w:p w14:paraId="4BF3C815">
                  <w:pPr>
                    <w:jc w:val="center"/>
                    <w:rPr>
                      <w:color w:val="auto"/>
                      <w:szCs w:val="21"/>
                    </w:rPr>
                  </w:pPr>
                  <w:r>
                    <w:rPr>
                      <w:color w:val="auto"/>
                      <w:szCs w:val="21"/>
                    </w:rPr>
                    <w:t>废物</w:t>
                  </w:r>
                </w:p>
              </w:tc>
              <w:tc>
                <w:tcPr>
                  <w:tcW w:w="1456" w:type="dxa"/>
                  <w:vAlign w:val="center"/>
                </w:tcPr>
                <w:p w14:paraId="6C178863">
                  <w:pPr>
                    <w:tabs>
                      <w:tab w:val="left" w:pos="677"/>
                    </w:tabs>
                    <w:jc w:val="center"/>
                    <w:rPr>
                      <w:rFonts w:hint="eastAsia" w:hAnsi="宋体"/>
                      <w:color w:val="auto"/>
                      <w:szCs w:val="21"/>
                    </w:rPr>
                  </w:pPr>
                  <w:r>
                    <w:rPr>
                      <w:rFonts w:ascii="Times New Roman" w:hAnsi="Times New Roman" w:eastAsia="宋体" w:cs="Times New Roman"/>
                      <w:color w:val="auto"/>
                      <w:szCs w:val="21"/>
                    </w:rPr>
                    <w:t>HW49</w:t>
                  </w:r>
                  <w:r>
                    <w:rPr>
                      <w:rFonts w:hint="eastAsia" w:cs="Times New Roman"/>
                      <w:color w:val="auto"/>
                      <w:szCs w:val="21"/>
                      <w:lang w:eastAsia="zh-CN"/>
                    </w:rPr>
                    <w:t>：</w:t>
                  </w:r>
                  <w:r>
                    <w:rPr>
                      <w:rFonts w:ascii="Times New Roman" w:hAnsi="Times New Roman" w:eastAsia="宋体" w:cs="Times New Roman"/>
                      <w:color w:val="auto"/>
                      <w:szCs w:val="21"/>
                    </w:rPr>
                    <w:t>900-0</w:t>
                  </w:r>
                  <w:r>
                    <w:rPr>
                      <w:rFonts w:hint="eastAsia" w:ascii="Times New Roman" w:hAnsi="Times New Roman" w:eastAsia="宋体" w:cs="Times New Roman"/>
                      <w:color w:val="auto"/>
                      <w:szCs w:val="21"/>
                    </w:rPr>
                    <w:t>39</w:t>
                  </w:r>
                  <w:r>
                    <w:rPr>
                      <w:rFonts w:ascii="Times New Roman" w:hAnsi="Times New Roman" w:eastAsia="宋体" w:cs="Times New Roman"/>
                      <w:color w:val="auto"/>
                      <w:szCs w:val="21"/>
                    </w:rPr>
                    <w:t>-49</w:t>
                  </w:r>
                </w:p>
              </w:tc>
              <w:tc>
                <w:tcPr>
                  <w:tcW w:w="1013" w:type="dxa"/>
                  <w:vAlign w:val="center"/>
                </w:tcPr>
                <w:p w14:paraId="30CAC2CB">
                  <w:pPr>
                    <w:tabs>
                      <w:tab w:val="left" w:pos="677"/>
                    </w:tabs>
                    <w:jc w:val="center"/>
                    <w:rPr>
                      <w:rFonts w:hint="eastAsia"/>
                      <w:color w:val="auto"/>
                      <w:szCs w:val="21"/>
                    </w:rPr>
                  </w:pPr>
                  <w:r>
                    <w:rPr>
                      <w:rFonts w:hint="eastAsia"/>
                      <w:color w:val="auto"/>
                      <w:szCs w:val="21"/>
                      <w:lang w:val="en-US" w:eastAsia="zh-CN"/>
                    </w:rPr>
                    <w:t>16.173t/a</w:t>
                  </w:r>
                </w:p>
              </w:tc>
              <w:tc>
                <w:tcPr>
                  <w:tcW w:w="1532" w:type="dxa"/>
                  <w:vMerge w:val="continue"/>
                  <w:vAlign w:val="center"/>
                </w:tcPr>
                <w:p w14:paraId="67A2760B">
                  <w:pPr>
                    <w:tabs>
                      <w:tab w:val="left" w:pos="677"/>
                    </w:tabs>
                    <w:jc w:val="center"/>
                    <w:rPr>
                      <w:color w:val="auto"/>
                      <w:szCs w:val="21"/>
                    </w:rPr>
                  </w:pPr>
                </w:p>
              </w:tc>
            </w:tr>
            <w:tr w14:paraId="4491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Align w:val="center"/>
                </w:tcPr>
                <w:p w14:paraId="138365D2">
                  <w:pPr>
                    <w:jc w:val="center"/>
                    <w:rPr>
                      <w:rFonts w:hint="eastAsia"/>
                      <w:color w:val="auto"/>
                      <w:szCs w:val="21"/>
                      <w:lang w:val="en-US" w:eastAsia="zh-CN"/>
                    </w:rPr>
                  </w:pPr>
                  <w:r>
                    <w:rPr>
                      <w:rFonts w:hint="eastAsia"/>
                      <w:color w:val="auto"/>
                      <w:szCs w:val="21"/>
                      <w:lang w:val="en-US" w:eastAsia="zh-CN"/>
                    </w:rPr>
                    <w:t>生产</w:t>
                  </w:r>
                </w:p>
                <w:p w14:paraId="5BAC1C38">
                  <w:pPr>
                    <w:jc w:val="center"/>
                    <w:rPr>
                      <w:rFonts w:hint="eastAsia"/>
                      <w:color w:val="auto"/>
                      <w:szCs w:val="21"/>
                      <w:lang w:val="en-US" w:eastAsia="zh-CN"/>
                    </w:rPr>
                  </w:pPr>
                  <w:r>
                    <w:rPr>
                      <w:rFonts w:hint="eastAsia"/>
                      <w:color w:val="auto"/>
                      <w:szCs w:val="21"/>
                      <w:lang w:val="en-US" w:eastAsia="zh-CN"/>
                    </w:rPr>
                    <w:t>过程</w:t>
                  </w:r>
                </w:p>
              </w:tc>
              <w:tc>
                <w:tcPr>
                  <w:tcW w:w="1247" w:type="dxa"/>
                  <w:vAlign w:val="center"/>
                </w:tcPr>
                <w:p w14:paraId="4A4E1B09">
                  <w:pPr>
                    <w:snapToGrid w:val="0"/>
                    <w:jc w:val="center"/>
                    <w:rPr>
                      <w:rFonts w:hint="eastAsia"/>
                      <w:color w:val="auto"/>
                      <w:szCs w:val="21"/>
                    </w:rPr>
                  </w:pPr>
                  <w:r>
                    <w:rPr>
                      <w:rFonts w:hint="eastAsia"/>
                      <w:color w:val="auto"/>
                      <w:szCs w:val="21"/>
                      <w:lang w:val="en-US" w:eastAsia="zh-CN"/>
                    </w:rPr>
                    <w:t>废劳保用品</w:t>
                  </w:r>
                </w:p>
              </w:tc>
              <w:tc>
                <w:tcPr>
                  <w:tcW w:w="684" w:type="dxa"/>
                  <w:vAlign w:val="center"/>
                </w:tcPr>
                <w:p w14:paraId="33E36A18">
                  <w:pPr>
                    <w:tabs>
                      <w:tab w:val="left" w:pos="677"/>
                    </w:tabs>
                    <w:jc w:val="center"/>
                    <w:rPr>
                      <w:rFonts w:hint="eastAsia" w:hAnsi="宋体"/>
                      <w:color w:val="auto"/>
                      <w:szCs w:val="21"/>
                    </w:rPr>
                  </w:pPr>
                  <w:r>
                    <w:rPr>
                      <w:rFonts w:hint="eastAsia" w:hAnsi="宋体"/>
                      <w:color w:val="auto"/>
                      <w:szCs w:val="21"/>
                    </w:rPr>
                    <w:t>固态</w:t>
                  </w:r>
                </w:p>
              </w:tc>
              <w:tc>
                <w:tcPr>
                  <w:tcW w:w="1093" w:type="dxa"/>
                  <w:vAlign w:val="center"/>
                </w:tcPr>
                <w:p w14:paraId="328FD06B">
                  <w:pPr>
                    <w:snapToGrid w:val="0"/>
                    <w:jc w:val="center"/>
                    <w:rPr>
                      <w:rFonts w:hint="eastAsia"/>
                      <w:color w:val="auto"/>
                      <w:szCs w:val="21"/>
                      <w:lang w:val="en-US" w:eastAsia="zh-CN"/>
                    </w:rPr>
                  </w:pPr>
                  <w:r>
                    <w:rPr>
                      <w:rFonts w:hint="eastAsia"/>
                      <w:color w:val="auto"/>
                      <w:szCs w:val="21"/>
                      <w:lang w:val="en-US" w:eastAsia="zh-CN"/>
                    </w:rPr>
                    <w:t>含油抹布、手套</w:t>
                  </w:r>
                </w:p>
              </w:tc>
              <w:tc>
                <w:tcPr>
                  <w:tcW w:w="847" w:type="dxa"/>
                  <w:vAlign w:val="center"/>
                </w:tcPr>
                <w:p w14:paraId="1CC6B7A2">
                  <w:pPr>
                    <w:jc w:val="center"/>
                    <w:rPr>
                      <w:color w:val="auto"/>
                      <w:szCs w:val="21"/>
                    </w:rPr>
                  </w:pPr>
                  <w:r>
                    <w:rPr>
                      <w:color w:val="auto"/>
                      <w:szCs w:val="21"/>
                    </w:rPr>
                    <w:t>危险</w:t>
                  </w:r>
                </w:p>
                <w:p w14:paraId="47317CAD">
                  <w:pPr>
                    <w:jc w:val="center"/>
                    <w:rPr>
                      <w:color w:val="auto"/>
                      <w:szCs w:val="21"/>
                    </w:rPr>
                  </w:pPr>
                  <w:r>
                    <w:rPr>
                      <w:color w:val="auto"/>
                      <w:szCs w:val="21"/>
                    </w:rPr>
                    <w:t>废物</w:t>
                  </w:r>
                </w:p>
              </w:tc>
              <w:tc>
                <w:tcPr>
                  <w:tcW w:w="1456" w:type="dxa"/>
                  <w:vAlign w:val="center"/>
                </w:tcPr>
                <w:p w14:paraId="10D07587">
                  <w:pPr>
                    <w:autoSpaceDE w:val="0"/>
                    <w:autoSpaceDN w:val="0"/>
                    <w:adjustRightInd w:val="0"/>
                    <w:jc w:val="center"/>
                    <w:rPr>
                      <w:rFonts w:ascii="Times New Roman" w:hAnsi="Times New Roman" w:eastAsia="宋体" w:cs="Times New Roman"/>
                      <w:color w:val="auto"/>
                      <w:szCs w:val="21"/>
                    </w:rPr>
                  </w:pPr>
                  <w:r>
                    <w:rPr>
                      <w:color w:val="auto"/>
                      <w:szCs w:val="21"/>
                    </w:rPr>
                    <w:t>HW49</w:t>
                  </w:r>
                  <w:r>
                    <w:rPr>
                      <w:rFonts w:hint="eastAsia"/>
                      <w:color w:val="auto"/>
                      <w:szCs w:val="21"/>
                      <w:lang w:eastAsia="zh-CN"/>
                    </w:rPr>
                    <w:t>：</w:t>
                  </w:r>
                  <w:r>
                    <w:rPr>
                      <w:color w:val="auto"/>
                      <w:szCs w:val="21"/>
                    </w:rPr>
                    <w:t>900-041-49</w:t>
                  </w:r>
                </w:p>
              </w:tc>
              <w:tc>
                <w:tcPr>
                  <w:tcW w:w="1013" w:type="dxa"/>
                  <w:vAlign w:val="center"/>
                </w:tcPr>
                <w:p w14:paraId="4467F6F6">
                  <w:pPr>
                    <w:tabs>
                      <w:tab w:val="left" w:pos="677"/>
                    </w:tabs>
                    <w:jc w:val="center"/>
                    <w:rPr>
                      <w:rFonts w:hint="eastAsia"/>
                      <w:color w:val="auto"/>
                      <w:szCs w:val="21"/>
                      <w:lang w:val="en-US" w:eastAsia="zh-CN"/>
                    </w:rPr>
                  </w:pPr>
                  <w:r>
                    <w:rPr>
                      <w:rFonts w:hint="eastAsia"/>
                      <w:color w:val="auto"/>
                      <w:szCs w:val="21"/>
                      <w:lang w:val="en-US" w:eastAsia="zh-CN"/>
                    </w:rPr>
                    <w:t>0.01t/a</w:t>
                  </w:r>
                </w:p>
              </w:tc>
              <w:tc>
                <w:tcPr>
                  <w:tcW w:w="1532" w:type="dxa"/>
                  <w:vMerge w:val="continue"/>
                  <w:vAlign w:val="center"/>
                </w:tcPr>
                <w:p w14:paraId="4B026C04">
                  <w:pPr>
                    <w:tabs>
                      <w:tab w:val="left" w:pos="677"/>
                    </w:tabs>
                    <w:jc w:val="center"/>
                    <w:rPr>
                      <w:color w:val="auto"/>
                      <w:szCs w:val="21"/>
                    </w:rPr>
                  </w:pPr>
                </w:p>
              </w:tc>
            </w:tr>
          </w:tbl>
          <w:p w14:paraId="18977871">
            <w:pPr>
              <w:pStyle w:val="2"/>
              <w:spacing w:line="440" w:lineRule="exact"/>
              <w:ind w:firstLine="420" w:firstLineChars="0"/>
              <w:rPr>
                <w:rFonts w:hAnsi="宋体"/>
                <w:b/>
                <w:color w:val="auto"/>
                <w:sz w:val="24"/>
              </w:rPr>
            </w:pPr>
            <w:r>
              <w:rPr>
                <w:rFonts w:hAnsi="宋体"/>
                <w:b/>
                <w:color w:val="auto"/>
                <w:sz w:val="24"/>
              </w:rPr>
              <w:t>（</w:t>
            </w:r>
            <w:r>
              <w:rPr>
                <w:rFonts w:hint="eastAsia" w:hAnsi="宋体"/>
                <w:b/>
                <w:color w:val="auto"/>
                <w:sz w:val="24"/>
              </w:rPr>
              <w:t>2</w:t>
            </w:r>
            <w:r>
              <w:rPr>
                <w:rFonts w:hAnsi="宋体"/>
                <w:b/>
                <w:color w:val="auto"/>
                <w:sz w:val="24"/>
              </w:rPr>
              <w:t>）处置方式评价</w:t>
            </w:r>
          </w:p>
          <w:p w14:paraId="0C2306BF">
            <w:pPr>
              <w:pStyle w:val="96"/>
              <w:ind w:firstLine="480"/>
              <w:rPr>
                <w:rFonts w:hAnsi="宋体" w:eastAsia="宋体" w:cs="Times New Roman"/>
                <w:color w:val="auto"/>
              </w:rPr>
            </w:pPr>
            <w:r>
              <w:rPr>
                <w:rFonts w:hAnsi="宋体" w:eastAsia="宋体"/>
                <w:color w:val="auto"/>
              </w:rPr>
              <w:t>本项目固废处置方式评价见表</w:t>
            </w:r>
            <w:r>
              <w:rPr>
                <w:rFonts w:eastAsia="宋体"/>
                <w:color w:val="auto"/>
              </w:rPr>
              <w:t>4-</w:t>
            </w:r>
            <w:r>
              <w:rPr>
                <w:rFonts w:hint="eastAsia" w:eastAsia="宋体"/>
                <w:color w:val="auto"/>
              </w:rPr>
              <w:t>3</w:t>
            </w:r>
            <w:r>
              <w:rPr>
                <w:rFonts w:hint="eastAsia" w:eastAsia="宋体"/>
                <w:color w:val="auto"/>
                <w:lang w:val="en-US" w:eastAsia="zh-CN"/>
              </w:rPr>
              <w:t>3</w:t>
            </w:r>
            <w:r>
              <w:rPr>
                <w:rFonts w:hAnsi="宋体" w:eastAsia="宋体"/>
                <w:color w:val="auto"/>
              </w:rPr>
              <w:t>。由表可知，本项目固废均能明确处置方式，落实处置去向。</w:t>
            </w:r>
          </w:p>
          <w:p w14:paraId="778B9A71">
            <w:pPr>
              <w:pStyle w:val="121"/>
              <w:keepNext/>
              <w:keepLines w:val="0"/>
              <w:pageBreakBefore w:val="0"/>
              <w:widowControl w:val="0"/>
              <w:kinsoku/>
              <w:wordWrap/>
              <w:overflowPunct/>
              <w:topLinePunct w:val="0"/>
              <w:autoSpaceDE/>
              <w:autoSpaceDN/>
              <w:bidi w:val="0"/>
              <w:adjustRightInd/>
              <w:snapToGrid w:val="0"/>
              <w:spacing w:before="157" w:beforeLines="50"/>
              <w:ind w:firstLine="482"/>
              <w:textAlignment w:val="auto"/>
              <w:rPr>
                <w:rFonts w:eastAsia="宋体" w:cs="Times New Roman"/>
                <w:color w:val="auto"/>
              </w:rPr>
            </w:pPr>
            <w:r>
              <w:rPr>
                <w:rFonts w:hAnsi="宋体" w:eastAsia="宋体" w:cs="Times New Roman"/>
                <w:color w:val="auto"/>
              </w:rPr>
              <w:t>表</w:t>
            </w:r>
            <w:r>
              <w:rPr>
                <w:rFonts w:eastAsia="宋体" w:cs="Times New Roman"/>
                <w:color w:val="auto"/>
              </w:rPr>
              <w:t>4</w:t>
            </w:r>
            <w:r>
              <w:rPr>
                <w:rFonts w:hint="eastAsia" w:eastAsia="宋体" w:cs="Times New Roman"/>
                <w:color w:val="auto"/>
              </w:rPr>
              <w:t>-3</w:t>
            </w:r>
            <w:r>
              <w:rPr>
                <w:rFonts w:hint="eastAsia" w:eastAsia="宋体" w:cs="Times New Roman"/>
                <w:color w:val="auto"/>
                <w:lang w:val="en-US" w:eastAsia="zh-CN"/>
              </w:rPr>
              <w:t>3</w:t>
            </w:r>
            <w:r>
              <w:rPr>
                <w:rFonts w:hint="eastAsia" w:eastAsia="宋体" w:cs="Times New Roman"/>
                <w:color w:val="auto"/>
              </w:rPr>
              <w:t xml:space="preserve"> </w:t>
            </w:r>
            <w:r>
              <w:rPr>
                <w:rFonts w:eastAsia="宋体" w:cs="Times New Roman"/>
                <w:color w:val="auto"/>
              </w:rPr>
              <w:t xml:space="preserve"> </w:t>
            </w:r>
            <w:r>
              <w:rPr>
                <w:rFonts w:hAnsi="宋体" w:eastAsia="宋体" w:cs="Times New Roman"/>
                <w:color w:val="auto"/>
              </w:rPr>
              <w:t>固废处置方式评价表</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66"/>
              <w:gridCol w:w="1876"/>
              <w:gridCol w:w="1050"/>
              <w:gridCol w:w="958"/>
              <w:gridCol w:w="1215"/>
              <w:gridCol w:w="1058"/>
              <w:gridCol w:w="1259"/>
              <w:gridCol w:w="905"/>
            </w:tblGrid>
            <w:tr w14:paraId="526E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6" w:type="dxa"/>
                  <w:vAlign w:val="center"/>
                </w:tcPr>
                <w:p w14:paraId="3CCF26C3">
                  <w:pPr>
                    <w:ind w:left="-105" w:leftChars="-50" w:right="-105" w:rightChars="-50"/>
                    <w:jc w:val="center"/>
                    <w:rPr>
                      <w:b/>
                      <w:color w:val="auto"/>
                    </w:rPr>
                  </w:pPr>
                  <w:r>
                    <w:rPr>
                      <w:rFonts w:hAnsi="宋体"/>
                      <w:b/>
                      <w:color w:val="auto"/>
                    </w:rPr>
                    <w:t>序号</w:t>
                  </w:r>
                </w:p>
              </w:tc>
              <w:tc>
                <w:tcPr>
                  <w:tcW w:w="1876" w:type="dxa"/>
                  <w:vAlign w:val="center"/>
                </w:tcPr>
                <w:p w14:paraId="08F5BCC1">
                  <w:pPr>
                    <w:ind w:left="-105" w:leftChars="-50" w:right="-105" w:rightChars="-50"/>
                    <w:jc w:val="center"/>
                    <w:rPr>
                      <w:b/>
                      <w:color w:val="auto"/>
                    </w:rPr>
                  </w:pPr>
                  <w:r>
                    <w:rPr>
                      <w:rFonts w:hAnsi="宋体"/>
                      <w:b/>
                      <w:color w:val="auto"/>
                    </w:rPr>
                    <w:t>固废名称</w:t>
                  </w:r>
                </w:p>
              </w:tc>
              <w:tc>
                <w:tcPr>
                  <w:tcW w:w="1050" w:type="dxa"/>
                  <w:vAlign w:val="center"/>
                </w:tcPr>
                <w:p w14:paraId="32B38BFB">
                  <w:pPr>
                    <w:ind w:left="-105" w:leftChars="-50" w:right="-105" w:rightChars="-50"/>
                    <w:jc w:val="center"/>
                    <w:rPr>
                      <w:b/>
                      <w:color w:val="auto"/>
                    </w:rPr>
                  </w:pPr>
                  <w:r>
                    <w:rPr>
                      <w:rFonts w:hAnsi="宋体"/>
                      <w:b/>
                      <w:color w:val="auto"/>
                    </w:rPr>
                    <w:t>产生工序</w:t>
                  </w:r>
                </w:p>
              </w:tc>
              <w:tc>
                <w:tcPr>
                  <w:tcW w:w="958" w:type="dxa"/>
                  <w:vAlign w:val="center"/>
                </w:tcPr>
                <w:p w14:paraId="2C3C8FA2">
                  <w:pPr>
                    <w:ind w:left="-105" w:leftChars="-50" w:right="-105" w:rightChars="-50"/>
                    <w:jc w:val="center"/>
                    <w:rPr>
                      <w:b/>
                      <w:color w:val="auto"/>
                    </w:rPr>
                  </w:pPr>
                  <w:r>
                    <w:rPr>
                      <w:rFonts w:hAnsi="宋体"/>
                      <w:b/>
                      <w:color w:val="auto"/>
                    </w:rPr>
                    <w:t>属性</w:t>
                  </w:r>
                </w:p>
              </w:tc>
              <w:tc>
                <w:tcPr>
                  <w:tcW w:w="1215" w:type="dxa"/>
                  <w:vAlign w:val="center"/>
                </w:tcPr>
                <w:p w14:paraId="14D31484">
                  <w:pPr>
                    <w:ind w:left="-105" w:leftChars="-50" w:right="-105" w:rightChars="-50"/>
                    <w:jc w:val="center"/>
                    <w:rPr>
                      <w:b/>
                      <w:color w:val="auto"/>
                    </w:rPr>
                  </w:pPr>
                  <w:r>
                    <w:rPr>
                      <w:rFonts w:hint="eastAsia" w:hAnsi="宋体"/>
                      <w:b/>
                      <w:color w:val="auto"/>
                      <w:lang w:val="en-US" w:eastAsia="zh-CN"/>
                    </w:rPr>
                    <w:t>固废</w:t>
                  </w:r>
                  <w:r>
                    <w:rPr>
                      <w:rFonts w:hAnsi="宋体"/>
                      <w:b/>
                      <w:color w:val="auto"/>
                    </w:rPr>
                    <w:t>代码</w:t>
                  </w:r>
                </w:p>
              </w:tc>
              <w:tc>
                <w:tcPr>
                  <w:tcW w:w="1058" w:type="dxa"/>
                  <w:vAlign w:val="center"/>
                </w:tcPr>
                <w:p w14:paraId="69A64D0A">
                  <w:pPr>
                    <w:ind w:left="-105" w:leftChars="-50" w:right="-105" w:rightChars="-50"/>
                    <w:jc w:val="center"/>
                    <w:rPr>
                      <w:b/>
                      <w:color w:val="auto"/>
                    </w:rPr>
                  </w:pPr>
                  <w:r>
                    <w:rPr>
                      <w:rFonts w:hAnsi="宋体"/>
                      <w:b/>
                      <w:color w:val="auto"/>
                    </w:rPr>
                    <w:t>预计产生量（</w:t>
                  </w:r>
                  <w:r>
                    <w:rPr>
                      <w:b/>
                      <w:color w:val="auto"/>
                    </w:rPr>
                    <w:t>t/a</w:t>
                  </w:r>
                  <w:r>
                    <w:rPr>
                      <w:rFonts w:hAnsi="宋体"/>
                      <w:b/>
                      <w:color w:val="auto"/>
                    </w:rPr>
                    <w:t>）</w:t>
                  </w:r>
                </w:p>
              </w:tc>
              <w:tc>
                <w:tcPr>
                  <w:tcW w:w="1259" w:type="dxa"/>
                  <w:vAlign w:val="center"/>
                </w:tcPr>
                <w:p w14:paraId="7072D8F8">
                  <w:pPr>
                    <w:ind w:left="-105" w:leftChars="-50" w:right="-105" w:rightChars="-50"/>
                    <w:jc w:val="center"/>
                    <w:rPr>
                      <w:b/>
                      <w:color w:val="auto"/>
                    </w:rPr>
                  </w:pPr>
                  <w:r>
                    <w:rPr>
                      <w:rFonts w:hAnsi="宋体"/>
                      <w:b/>
                      <w:color w:val="auto"/>
                    </w:rPr>
                    <w:t>利用处置方式</w:t>
                  </w:r>
                </w:p>
              </w:tc>
              <w:tc>
                <w:tcPr>
                  <w:tcW w:w="905" w:type="dxa"/>
                  <w:vAlign w:val="center"/>
                </w:tcPr>
                <w:p w14:paraId="299E0120">
                  <w:pPr>
                    <w:ind w:left="-105" w:leftChars="-50" w:right="-105" w:rightChars="-50"/>
                    <w:jc w:val="center"/>
                    <w:rPr>
                      <w:b/>
                      <w:color w:val="auto"/>
                    </w:rPr>
                  </w:pPr>
                  <w:r>
                    <w:rPr>
                      <w:rFonts w:hAnsi="宋体"/>
                      <w:b/>
                      <w:color w:val="auto"/>
                    </w:rPr>
                    <w:t>是否符合</w:t>
                  </w:r>
                </w:p>
                <w:p w14:paraId="747E2920">
                  <w:pPr>
                    <w:ind w:left="-105" w:leftChars="-50" w:right="-105" w:rightChars="-50"/>
                    <w:jc w:val="center"/>
                    <w:rPr>
                      <w:b/>
                      <w:color w:val="auto"/>
                    </w:rPr>
                  </w:pPr>
                  <w:r>
                    <w:rPr>
                      <w:rFonts w:hAnsi="宋体"/>
                      <w:b/>
                      <w:color w:val="auto"/>
                    </w:rPr>
                    <w:t>环保要求</w:t>
                  </w:r>
                </w:p>
              </w:tc>
            </w:tr>
            <w:tr w14:paraId="71B5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6" w:type="dxa"/>
                  <w:vAlign w:val="center"/>
                </w:tcPr>
                <w:p w14:paraId="0A2590FE">
                  <w:pPr>
                    <w:snapToGrid w:val="0"/>
                    <w:ind w:left="-63" w:leftChars="-30" w:right="-63" w:rightChars="-30"/>
                    <w:jc w:val="center"/>
                    <w:rPr>
                      <w:color w:val="auto"/>
                    </w:rPr>
                  </w:pPr>
                  <w:r>
                    <w:rPr>
                      <w:rFonts w:hint="eastAsia"/>
                      <w:color w:val="auto"/>
                    </w:rPr>
                    <w:t>1</w:t>
                  </w:r>
                </w:p>
              </w:tc>
              <w:tc>
                <w:tcPr>
                  <w:tcW w:w="1876" w:type="dxa"/>
                  <w:vAlign w:val="center"/>
                </w:tcPr>
                <w:p w14:paraId="3DD10C10">
                  <w:pPr>
                    <w:jc w:val="center"/>
                    <w:rPr>
                      <w:color w:val="auto"/>
                      <w:szCs w:val="21"/>
                    </w:rPr>
                  </w:pPr>
                  <w:r>
                    <w:rPr>
                      <w:rFonts w:hint="eastAsia" w:hAnsi="宋体"/>
                      <w:color w:val="auto"/>
                      <w:szCs w:val="21"/>
                    </w:rPr>
                    <w:t>一般废弃包装材料</w:t>
                  </w:r>
                </w:p>
              </w:tc>
              <w:tc>
                <w:tcPr>
                  <w:tcW w:w="1050" w:type="dxa"/>
                  <w:vAlign w:val="center"/>
                </w:tcPr>
                <w:p w14:paraId="4DA8420E">
                  <w:pPr>
                    <w:snapToGrid w:val="0"/>
                    <w:jc w:val="center"/>
                    <w:rPr>
                      <w:rFonts w:hAnsi="宋体"/>
                      <w:color w:val="auto"/>
                      <w:szCs w:val="21"/>
                    </w:rPr>
                  </w:pPr>
                  <w:r>
                    <w:rPr>
                      <w:rFonts w:hint="eastAsia"/>
                      <w:bCs/>
                      <w:color w:val="auto"/>
                      <w:szCs w:val="21"/>
                    </w:rPr>
                    <w:t>原料包装</w:t>
                  </w:r>
                </w:p>
              </w:tc>
              <w:tc>
                <w:tcPr>
                  <w:tcW w:w="958" w:type="dxa"/>
                  <w:vAlign w:val="center"/>
                </w:tcPr>
                <w:p w14:paraId="3921F83E">
                  <w:pPr>
                    <w:snapToGrid w:val="0"/>
                    <w:jc w:val="center"/>
                    <w:rPr>
                      <w:color w:val="auto"/>
                    </w:rPr>
                  </w:pPr>
                  <w:r>
                    <w:rPr>
                      <w:rFonts w:hAnsi="宋体"/>
                      <w:color w:val="auto"/>
                    </w:rPr>
                    <w:t>一般固废</w:t>
                  </w:r>
                </w:p>
              </w:tc>
              <w:tc>
                <w:tcPr>
                  <w:tcW w:w="1215" w:type="dxa"/>
                  <w:vAlign w:val="center"/>
                </w:tcPr>
                <w:p w14:paraId="316AA06A">
                  <w:pPr>
                    <w:autoSpaceDE w:val="0"/>
                    <w:autoSpaceDN w:val="0"/>
                    <w:adjustRightInd w:val="0"/>
                    <w:jc w:val="center"/>
                    <w:rPr>
                      <w:color w:val="auto"/>
                      <w:szCs w:val="21"/>
                    </w:rPr>
                  </w:pPr>
                  <w:r>
                    <w:rPr>
                      <w:rFonts w:hint="eastAsia"/>
                      <w:color w:val="auto"/>
                      <w:kern w:val="0"/>
                      <w:szCs w:val="21"/>
                      <w:lang w:val="en-US" w:eastAsia="zh-CN"/>
                    </w:rPr>
                    <w:t>/</w:t>
                  </w:r>
                </w:p>
              </w:tc>
              <w:tc>
                <w:tcPr>
                  <w:tcW w:w="1058" w:type="dxa"/>
                  <w:vAlign w:val="center"/>
                </w:tcPr>
                <w:p w14:paraId="7CF842B7">
                  <w:pPr>
                    <w:tabs>
                      <w:tab w:val="left" w:pos="677"/>
                    </w:tabs>
                    <w:jc w:val="center"/>
                    <w:rPr>
                      <w:color w:val="auto"/>
                      <w:szCs w:val="21"/>
                    </w:rPr>
                  </w:pPr>
                  <w:r>
                    <w:rPr>
                      <w:rFonts w:hint="eastAsia"/>
                      <w:color w:val="auto"/>
                      <w:szCs w:val="21"/>
                    </w:rPr>
                    <w:t>0.3t/a</w:t>
                  </w:r>
                </w:p>
              </w:tc>
              <w:tc>
                <w:tcPr>
                  <w:tcW w:w="1259" w:type="dxa"/>
                  <w:vMerge w:val="restart"/>
                  <w:vAlign w:val="center"/>
                </w:tcPr>
                <w:p w14:paraId="595B8C39">
                  <w:pPr>
                    <w:snapToGrid w:val="0"/>
                    <w:jc w:val="center"/>
                    <w:rPr>
                      <w:color w:val="auto"/>
                      <w:szCs w:val="21"/>
                    </w:rPr>
                  </w:pPr>
                  <w:r>
                    <w:rPr>
                      <w:rFonts w:hint="eastAsia"/>
                      <w:color w:val="auto"/>
                      <w:szCs w:val="21"/>
                    </w:rPr>
                    <w:t>出售至物资回收公司</w:t>
                  </w:r>
                </w:p>
              </w:tc>
              <w:tc>
                <w:tcPr>
                  <w:tcW w:w="905" w:type="dxa"/>
                  <w:vAlign w:val="center"/>
                </w:tcPr>
                <w:p w14:paraId="14702269">
                  <w:pPr>
                    <w:ind w:left="-105" w:leftChars="-50" w:right="-105" w:rightChars="-50"/>
                    <w:jc w:val="center"/>
                    <w:rPr>
                      <w:color w:val="auto"/>
                    </w:rPr>
                  </w:pPr>
                  <w:r>
                    <w:rPr>
                      <w:rFonts w:hAnsi="宋体"/>
                      <w:color w:val="auto"/>
                    </w:rPr>
                    <w:t>符合</w:t>
                  </w:r>
                </w:p>
              </w:tc>
            </w:tr>
            <w:tr w14:paraId="4536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6" w:type="dxa"/>
                  <w:vAlign w:val="center"/>
                </w:tcPr>
                <w:p w14:paraId="1CC8A086">
                  <w:pPr>
                    <w:snapToGrid w:val="0"/>
                    <w:ind w:left="-63" w:leftChars="-30" w:right="-63" w:rightChars="-30"/>
                    <w:jc w:val="center"/>
                    <w:rPr>
                      <w:color w:val="auto"/>
                    </w:rPr>
                  </w:pPr>
                  <w:r>
                    <w:rPr>
                      <w:rFonts w:hint="eastAsia"/>
                      <w:color w:val="auto"/>
                    </w:rPr>
                    <w:t>2</w:t>
                  </w:r>
                </w:p>
              </w:tc>
              <w:tc>
                <w:tcPr>
                  <w:tcW w:w="1876" w:type="dxa"/>
                  <w:vAlign w:val="center"/>
                </w:tcPr>
                <w:p w14:paraId="2F6AD095">
                  <w:pPr>
                    <w:jc w:val="center"/>
                    <w:rPr>
                      <w:rFonts w:hAnsi="宋体"/>
                      <w:color w:val="auto"/>
                      <w:szCs w:val="21"/>
                    </w:rPr>
                  </w:pPr>
                  <w:r>
                    <w:rPr>
                      <w:rFonts w:hint="eastAsia" w:hAnsi="宋体"/>
                      <w:color w:val="auto"/>
                      <w:szCs w:val="21"/>
                      <w:lang w:eastAsia="zh-CN"/>
                    </w:rPr>
                    <w:t>金属次品及</w:t>
                  </w:r>
                  <w:r>
                    <w:rPr>
                      <w:rFonts w:hint="eastAsia" w:hAnsi="宋体"/>
                      <w:color w:val="auto"/>
                      <w:szCs w:val="21"/>
                    </w:rPr>
                    <w:t>集尘灰</w:t>
                  </w:r>
                </w:p>
              </w:tc>
              <w:tc>
                <w:tcPr>
                  <w:tcW w:w="1050" w:type="dxa"/>
                  <w:vAlign w:val="center"/>
                </w:tcPr>
                <w:p w14:paraId="71F5735B">
                  <w:pPr>
                    <w:jc w:val="center"/>
                    <w:rPr>
                      <w:bCs/>
                      <w:color w:val="auto"/>
                      <w:szCs w:val="21"/>
                    </w:rPr>
                  </w:pPr>
                  <w:r>
                    <w:rPr>
                      <w:rFonts w:hint="eastAsia" w:hAnsi="宋体"/>
                      <w:color w:val="auto"/>
                      <w:szCs w:val="21"/>
                      <w:lang w:val="en-US" w:eastAsia="zh-CN"/>
                    </w:rPr>
                    <w:t>下料、机加工</w:t>
                  </w:r>
                </w:p>
              </w:tc>
              <w:tc>
                <w:tcPr>
                  <w:tcW w:w="958" w:type="dxa"/>
                  <w:vAlign w:val="center"/>
                </w:tcPr>
                <w:p w14:paraId="13A5C33A">
                  <w:pPr>
                    <w:snapToGrid w:val="0"/>
                    <w:jc w:val="center"/>
                    <w:rPr>
                      <w:rFonts w:hAnsi="宋体"/>
                      <w:color w:val="auto"/>
                    </w:rPr>
                  </w:pPr>
                  <w:r>
                    <w:rPr>
                      <w:rFonts w:hAnsi="宋体"/>
                      <w:color w:val="auto"/>
                    </w:rPr>
                    <w:t>一般固废</w:t>
                  </w:r>
                </w:p>
              </w:tc>
              <w:tc>
                <w:tcPr>
                  <w:tcW w:w="1215" w:type="dxa"/>
                  <w:vAlign w:val="center"/>
                </w:tcPr>
                <w:p w14:paraId="1C8263CE">
                  <w:pPr>
                    <w:autoSpaceDE w:val="0"/>
                    <w:autoSpaceDN w:val="0"/>
                    <w:adjustRightInd w:val="0"/>
                    <w:jc w:val="center"/>
                    <w:rPr>
                      <w:color w:val="auto"/>
                      <w:kern w:val="0"/>
                      <w:szCs w:val="21"/>
                    </w:rPr>
                  </w:pPr>
                  <w:r>
                    <w:rPr>
                      <w:rFonts w:hint="eastAsia"/>
                      <w:color w:val="auto"/>
                      <w:kern w:val="0"/>
                      <w:szCs w:val="21"/>
                      <w:lang w:val="en-US" w:eastAsia="zh-CN"/>
                    </w:rPr>
                    <w:t>/</w:t>
                  </w:r>
                </w:p>
              </w:tc>
              <w:tc>
                <w:tcPr>
                  <w:tcW w:w="1058" w:type="dxa"/>
                  <w:vAlign w:val="center"/>
                </w:tcPr>
                <w:p w14:paraId="369C6139">
                  <w:pPr>
                    <w:tabs>
                      <w:tab w:val="left" w:pos="677"/>
                    </w:tabs>
                    <w:jc w:val="center"/>
                    <w:rPr>
                      <w:color w:val="auto"/>
                      <w:szCs w:val="21"/>
                    </w:rPr>
                  </w:pPr>
                  <w:r>
                    <w:rPr>
                      <w:rFonts w:hint="eastAsia"/>
                      <w:color w:val="auto"/>
                      <w:szCs w:val="21"/>
                      <w:lang w:val="en-US" w:eastAsia="zh-CN"/>
                    </w:rPr>
                    <w:t>15.403</w:t>
                  </w:r>
                  <w:r>
                    <w:rPr>
                      <w:rFonts w:hint="eastAsia"/>
                      <w:color w:val="auto"/>
                      <w:szCs w:val="21"/>
                    </w:rPr>
                    <w:t>t/a</w:t>
                  </w:r>
                </w:p>
              </w:tc>
              <w:tc>
                <w:tcPr>
                  <w:tcW w:w="1259" w:type="dxa"/>
                  <w:vMerge w:val="continue"/>
                  <w:vAlign w:val="center"/>
                </w:tcPr>
                <w:p w14:paraId="62F69B6C">
                  <w:pPr>
                    <w:snapToGrid w:val="0"/>
                    <w:jc w:val="center"/>
                    <w:rPr>
                      <w:color w:val="auto"/>
                      <w:szCs w:val="21"/>
                    </w:rPr>
                  </w:pPr>
                </w:p>
              </w:tc>
              <w:tc>
                <w:tcPr>
                  <w:tcW w:w="905" w:type="dxa"/>
                  <w:vAlign w:val="center"/>
                </w:tcPr>
                <w:p w14:paraId="3E438611">
                  <w:pPr>
                    <w:ind w:left="-105" w:leftChars="-50" w:right="-105" w:rightChars="-50"/>
                    <w:jc w:val="center"/>
                    <w:rPr>
                      <w:rFonts w:hAnsi="宋体"/>
                      <w:color w:val="auto"/>
                    </w:rPr>
                  </w:pPr>
                  <w:r>
                    <w:rPr>
                      <w:rFonts w:hAnsi="宋体"/>
                      <w:color w:val="auto"/>
                    </w:rPr>
                    <w:t>符合</w:t>
                  </w:r>
                </w:p>
              </w:tc>
            </w:tr>
            <w:tr w14:paraId="617C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6" w:type="dxa"/>
                  <w:vAlign w:val="center"/>
                </w:tcPr>
                <w:p w14:paraId="5E0F3E57">
                  <w:pPr>
                    <w:snapToGrid w:val="0"/>
                    <w:ind w:left="-63" w:leftChars="-30" w:right="-63" w:rightChars="-30"/>
                    <w:jc w:val="center"/>
                    <w:rPr>
                      <w:color w:val="auto"/>
                    </w:rPr>
                  </w:pPr>
                  <w:r>
                    <w:rPr>
                      <w:rFonts w:hint="eastAsia"/>
                      <w:color w:val="auto"/>
                    </w:rPr>
                    <w:t>3</w:t>
                  </w:r>
                </w:p>
              </w:tc>
              <w:tc>
                <w:tcPr>
                  <w:tcW w:w="1876" w:type="dxa"/>
                  <w:vAlign w:val="center"/>
                </w:tcPr>
                <w:p w14:paraId="3EA99F8B">
                  <w:pPr>
                    <w:jc w:val="center"/>
                    <w:rPr>
                      <w:rFonts w:hAnsi="宋体"/>
                      <w:color w:val="auto"/>
                      <w:szCs w:val="21"/>
                    </w:rPr>
                  </w:pPr>
                  <w:r>
                    <w:rPr>
                      <w:rFonts w:hint="eastAsia"/>
                      <w:color w:val="auto"/>
                      <w:szCs w:val="21"/>
                    </w:rPr>
                    <w:t>废润滑油</w:t>
                  </w:r>
                </w:p>
              </w:tc>
              <w:tc>
                <w:tcPr>
                  <w:tcW w:w="1050" w:type="dxa"/>
                  <w:vAlign w:val="center"/>
                </w:tcPr>
                <w:p w14:paraId="2DA0C86C">
                  <w:pPr>
                    <w:jc w:val="center"/>
                    <w:rPr>
                      <w:bCs/>
                      <w:color w:val="auto"/>
                      <w:szCs w:val="21"/>
                    </w:rPr>
                  </w:pPr>
                  <w:r>
                    <w:rPr>
                      <w:rFonts w:hint="eastAsia"/>
                      <w:color w:val="auto"/>
                      <w:szCs w:val="21"/>
                    </w:rPr>
                    <w:t>设备使用</w:t>
                  </w:r>
                </w:p>
              </w:tc>
              <w:tc>
                <w:tcPr>
                  <w:tcW w:w="958" w:type="dxa"/>
                  <w:vAlign w:val="center"/>
                </w:tcPr>
                <w:p w14:paraId="1365CFB6">
                  <w:pPr>
                    <w:snapToGrid w:val="0"/>
                    <w:jc w:val="center"/>
                    <w:rPr>
                      <w:rFonts w:hAnsi="宋体"/>
                      <w:color w:val="auto"/>
                    </w:rPr>
                  </w:pPr>
                  <w:r>
                    <w:rPr>
                      <w:rFonts w:hAnsi="宋体"/>
                      <w:color w:val="auto"/>
                    </w:rPr>
                    <w:t>危险废物</w:t>
                  </w:r>
                </w:p>
              </w:tc>
              <w:tc>
                <w:tcPr>
                  <w:tcW w:w="1215" w:type="dxa"/>
                  <w:vAlign w:val="center"/>
                </w:tcPr>
                <w:p w14:paraId="36A589CF">
                  <w:pPr>
                    <w:tabs>
                      <w:tab w:val="left" w:pos="677"/>
                    </w:tabs>
                    <w:jc w:val="center"/>
                    <w:rPr>
                      <w:rFonts w:hint="eastAsia" w:eastAsia="宋体"/>
                      <w:color w:val="auto"/>
                      <w:kern w:val="0"/>
                      <w:szCs w:val="21"/>
                      <w:lang w:eastAsia="zh-CN"/>
                    </w:rPr>
                  </w:pPr>
                  <w:r>
                    <w:rPr>
                      <w:rFonts w:hint="eastAsia"/>
                      <w:color w:val="auto"/>
                      <w:szCs w:val="21"/>
                    </w:rPr>
                    <w:t>900-249-08</w:t>
                  </w:r>
                </w:p>
              </w:tc>
              <w:tc>
                <w:tcPr>
                  <w:tcW w:w="1058" w:type="dxa"/>
                  <w:vAlign w:val="center"/>
                </w:tcPr>
                <w:p w14:paraId="7D6BFCBC">
                  <w:pPr>
                    <w:tabs>
                      <w:tab w:val="left" w:pos="677"/>
                    </w:tabs>
                    <w:jc w:val="center"/>
                    <w:rPr>
                      <w:color w:val="auto"/>
                      <w:szCs w:val="21"/>
                    </w:rPr>
                  </w:pPr>
                  <w:r>
                    <w:rPr>
                      <w:rFonts w:hint="eastAsia"/>
                      <w:color w:val="auto"/>
                      <w:szCs w:val="21"/>
                    </w:rPr>
                    <w:t>0.1t/a</w:t>
                  </w:r>
                </w:p>
              </w:tc>
              <w:tc>
                <w:tcPr>
                  <w:tcW w:w="1259" w:type="dxa"/>
                  <w:vMerge w:val="restart"/>
                  <w:vAlign w:val="center"/>
                </w:tcPr>
                <w:p w14:paraId="131F2C80">
                  <w:pPr>
                    <w:snapToGrid w:val="0"/>
                    <w:jc w:val="center"/>
                    <w:rPr>
                      <w:color w:val="auto"/>
                      <w:szCs w:val="21"/>
                    </w:rPr>
                  </w:pPr>
                  <w:r>
                    <w:rPr>
                      <w:color w:val="auto"/>
                      <w:szCs w:val="21"/>
                    </w:rPr>
                    <w:t>委托危废处置单位进行集中处理</w:t>
                  </w:r>
                </w:p>
              </w:tc>
              <w:tc>
                <w:tcPr>
                  <w:tcW w:w="905" w:type="dxa"/>
                  <w:vAlign w:val="center"/>
                </w:tcPr>
                <w:p w14:paraId="425BEF97">
                  <w:pPr>
                    <w:ind w:left="-105" w:leftChars="-50" w:right="-105" w:rightChars="-50"/>
                    <w:jc w:val="center"/>
                    <w:rPr>
                      <w:rFonts w:hAnsi="宋体"/>
                      <w:color w:val="auto"/>
                    </w:rPr>
                  </w:pPr>
                  <w:r>
                    <w:rPr>
                      <w:rFonts w:hAnsi="宋体"/>
                      <w:color w:val="auto"/>
                    </w:rPr>
                    <w:t>符合</w:t>
                  </w:r>
                </w:p>
              </w:tc>
            </w:tr>
            <w:tr w14:paraId="79E6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6" w:type="dxa"/>
                  <w:vAlign w:val="center"/>
                </w:tcPr>
                <w:p w14:paraId="010E8732">
                  <w:pPr>
                    <w:snapToGrid w:val="0"/>
                    <w:ind w:left="-63" w:leftChars="-30" w:right="-63" w:rightChars="-30"/>
                    <w:jc w:val="center"/>
                    <w:rPr>
                      <w:rFonts w:hint="eastAsia" w:eastAsia="宋体"/>
                      <w:color w:val="auto"/>
                      <w:lang w:eastAsia="zh-CN"/>
                    </w:rPr>
                  </w:pPr>
                  <w:r>
                    <w:rPr>
                      <w:rFonts w:hint="eastAsia"/>
                      <w:color w:val="auto"/>
                      <w:lang w:val="en-US" w:eastAsia="zh-CN"/>
                    </w:rPr>
                    <w:t>4</w:t>
                  </w:r>
                </w:p>
              </w:tc>
              <w:tc>
                <w:tcPr>
                  <w:tcW w:w="1876" w:type="dxa"/>
                  <w:vAlign w:val="center"/>
                </w:tcPr>
                <w:p w14:paraId="6FB2BDB3">
                  <w:pPr>
                    <w:jc w:val="center"/>
                    <w:rPr>
                      <w:color w:val="auto"/>
                      <w:szCs w:val="21"/>
                    </w:rPr>
                  </w:pPr>
                  <w:r>
                    <w:rPr>
                      <w:rFonts w:hint="eastAsia"/>
                      <w:color w:val="auto"/>
                      <w:szCs w:val="21"/>
                    </w:rPr>
                    <w:t>废油桶</w:t>
                  </w:r>
                </w:p>
              </w:tc>
              <w:tc>
                <w:tcPr>
                  <w:tcW w:w="1050" w:type="dxa"/>
                  <w:vAlign w:val="center"/>
                </w:tcPr>
                <w:p w14:paraId="257840CD">
                  <w:pPr>
                    <w:jc w:val="center"/>
                    <w:rPr>
                      <w:bCs/>
                      <w:color w:val="auto"/>
                      <w:szCs w:val="21"/>
                    </w:rPr>
                  </w:pPr>
                  <w:r>
                    <w:rPr>
                      <w:rFonts w:hint="eastAsia"/>
                      <w:color w:val="auto"/>
                      <w:szCs w:val="21"/>
                    </w:rPr>
                    <w:t>原料包装</w:t>
                  </w:r>
                </w:p>
              </w:tc>
              <w:tc>
                <w:tcPr>
                  <w:tcW w:w="958" w:type="dxa"/>
                  <w:vAlign w:val="center"/>
                </w:tcPr>
                <w:p w14:paraId="139C92DE">
                  <w:pPr>
                    <w:snapToGrid w:val="0"/>
                    <w:jc w:val="center"/>
                    <w:rPr>
                      <w:rFonts w:hAnsi="宋体"/>
                      <w:color w:val="auto"/>
                    </w:rPr>
                  </w:pPr>
                  <w:r>
                    <w:rPr>
                      <w:rFonts w:hAnsi="宋体"/>
                      <w:color w:val="auto"/>
                    </w:rPr>
                    <w:t>危险废物</w:t>
                  </w:r>
                </w:p>
              </w:tc>
              <w:tc>
                <w:tcPr>
                  <w:tcW w:w="1215" w:type="dxa"/>
                  <w:vAlign w:val="center"/>
                </w:tcPr>
                <w:p w14:paraId="2B5BA40E">
                  <w:pPr>
                    <w:tabs>
                      <w:tab w:val="left" w:pos="677"/>
                    </w:tabs>
                    <w:jc w:val="center"/>
                    <w:rPr>
                      <w:color w:val="auto"/>
                      <w:szCs w:val="21"/>
                    </w:rPr>
                  </w:pPr>
                  <w:r>
                    <w:rPr>
                      <w:rFonts w:hint="eastAsia"/>
                      <w:color w:val="auto"/>
                      <w:szCs w:val="21"/>
                    </w:rPr>
                    <w:t>900-249-08</w:t>
                  </w:r>
                </w:p>
              </w:tc>
              <w:tc>
                <w:tcPr>
                  <w:tcW w:w="1058" w:type="dxa"/>
                  <w:vAlign w:val="center"/>
                </w:tcPr>
                <w:p w14:paraId="4826F890">
                  <w:pPr>
                    <w:tabs>
                      <w:tab w:val="left" w:pos="677"/>
                    </w:tabs>
                    <w:jc w:val="center"/>
                    <w:rPr>
                      <w:color w:val="auto"/>
                      <w:szCs w:val="21"/>
                    </w:rPr>
                  </w:pPr>
                  <w:r>
                    <w:rPr>
                      <w:rFonts w:hint="eastAsia"/>
                      <w:color w:val="auto"/>
                      <w:szCs w:val="21"/>
                    </w:rPr>
                    <w:t>0.02t/a</w:t>
                  </w:r>
                </w:p>
              </w:tc>
              <w:tc>
                <w:tcPr>
                  <w:tcW w:w="1259" w:type="dxa"/>
                  <w:vMerge w:val="continue"/>
                  <w:vAlign w:val="center"/>
                </w:tcPr>
                <w:p w14:paraId="02499F0C">
                  <w:pPr>
                    <w:snapToGrid w:val="0"/>
                    <w:jc w:val="center"/>
                    <w:rPr>
                      <w:color w:val="auto"/>
                      <w:szCs w:val="21"/>
                    </w:rPr>
                  </w:pPr>
                </w:p>
              </w:tc>
              <w:tc>
                <w:tcPr>
                  <w:tcW w:w="905" w:type="dxa"/>
                  <w:vAlign w:val="center"/>
                </w:tcPr>
                <w:p w14:paraId="64FF9F7C">
                  <w:pPr>
                    <w:ind w:left="-105" w:leftChars="-50" w:right="-105" w:rightChars="-50"/>
                    <w:jc w:val="center"/>
                    <w:rPr>
                      <w:rFonts w:hAnsi="宋体"/>
                      <w:color w:val="auto"/>
                    </w:rPr>
                  </w:pPr>
                  <w:r>
                    <w:rPr>
                      <w:rFonts w:hAnsi="宋体"/>
                      <w:color w:val="auto"/>
                    </w:rPr>
                    <w:t>符合</w:t>
                  </w:r>
                </w:p>
              </w:tc>
            </w:tr>
            <w:tr w14:paraId="1A82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6" w:type="dxa"/>
                  <w:vAlign w:val="center"/>
                </w:tcPr>
                <w:p w14:paraId="6693C0AF">
                  <w:pPr>
                    <w:snapToGrid w:val="0"/>
                    <w:ind w:left="-63" w:leftChars="-30" w:right="-63" w:rightChars="-30"/>
                    <w:jc w:val="center"/>
                    <w:rPr>
                      <w:rFonts w:hint="eastAsia" w:eastAsia="宋体"/>
                      <w:color w:val="auto"/>
                      <w:lang w:eastAsia="zh-CN"/>
                    </w:rPr>
                  </w:pPr>
                  <w:r>
                    <w:rPr>
                      <w:rFonts w:hint="eastAsia"/>
                      <w:color w:val="auto"/>
                      <w:lang w:val="en-US" w:eastAsia="zh-CN"/>
                    </w:rPr>
                    <w:t>5</w:t>
                  </w:r>
                </w:p>
              </w:tc>
              <w:tc>
                <w:tcPr>
                  <w:tcW w:w="1876" w:type="dxa"/>
                  <w:vAlign w:val="center"/>
                </w:tcPr>
                <w:p w14:paraId="0EBE3E53">
                  <w:pPr>
                    <w:jc w:val="center"/>
                    <w:rPr>
                      <w:color w:val="auto"/>
                      <w:szCs w:val="21"/>
                    </w:rPr>
                  </w:pPr>
                  <w:r>
                    <w:rPr>
                      <w:rFonts w:hint="eastAsia"/>
                      <w:color w:val="auto"/>
                      <w:szCs w:val="21"/>
                    </w:rPr>
                    <w:t>废含油抹布、劳保用品</w:t>
                  </w:r>
                </w:p>
              </w:tc>
              <w:tc>
                <w:tcPr>
                  <w:tcW w:w="1050" w:type="dxa"/>
                  <w:vAlign w:val="center"/>
                </w:tcPr>
                <w:p w14:paraId="5E449B75">
                  <w:pPr>
                    <w:snapToGrid w:val="0"/>
                    <w:jc w:val="center"/>
                    <w:rPr>
                      <w:rFonts w:hAnsi="宋体"/>
                      <w:color w:val="auto"/>
                      <w:szCs w:val="21"/>
                    </w:rPr>
                  </w:pPr>
                  <w:r>
                    <w:rPr>
                      <w:rFonts w:hint="eastAsia"/>
                      <w:color w:val="auto"/>
                      <w:szCs w:val="21"/>
                    </w:rPr>
                    <w:t>设备使用</w:t>
                  </w:r>
                </w:p>
              </w:tc>
              <w:tc>
                <w:tcPr>
                  <w:tcW w:w="958" w:type="dxa"/>
                  <w:vAlign w:val="center"/>
                </w:tcPr>
                <w:p w14:paraId="6B645628">
                  <w:pPr>
                    <w:snapToGrid w:val="0"/>
                    <w:jc w:val="center"/>
                    <w:rPr>
                      <w:rFonts w:hAnsi="宋体"/>
                      <w:color w:val="auto"/>
                    </w:rPr>
                  </w:pPr>
                  <w:r>
                    <w:rPr>
                      <w:rFonts w:hint="eastAsia"/>
                      <w:color w:val="auto"/>
                      <w:szCs w:val="21"/>
                    </w:rPr>
                    <w:t>危险废物</w:t>
                  </w:r>
                </w:p>
              </w:tc>
              <w:tc>
                <w:tcPr>
                  <w:tcW w:w="1215" w:type="dxa"/>
                  <w:vAlign w:val="center"/>
                </w:tcPr>
                <w:p w14:paraId="24431319">
                  <w:pPr>
                    <w:snapToGrid w:val="0"/>
                    <w:jc w:val="center"/>
                    <w:rPr>
                      <w:color w:val="auto"/>
                      <w:szCs w:val="21"/>
                    </w:rPr>
                  </w:pPr>
                  <w:r>
                    <w:rPr>
                      <w:rFonts w:hint="eastAsia"/>
                      <w:color w:val="auto"/>
                      <w:szCs w:val="21"/>
                    </w:rPr>
                    <w:t>900-041-49</w:t>
                  </w:r>
                </w:p>
              </w:tc>
              <w:tc>
                <w:tcPr>
                  <w:tcW w:w="1058" w:type="dxa"/>
                  <w:vAlign w:val="center"/>
                </w:tcPr>
                <w:p w14:paraId="53402113">
                  <w:pPr>
                    <w:snapToGrid w:val="0"/>
                    <w:jc w:val="center"/>
                    <w:rPr>
                      <w:color w:val="auto"/>
                      <w:szCs w:val="21"/>
                    </w:rPr>
                  </w:pPr>
                  <w:r>
                    <w:rPr>
                      <w:rFonts w:hint="eastAsia"/>
                      <w:color w:val="auto"/>
                      <w:szCs w:val="21"/>
                    </w:rPr>
                    <w:t>0.01t/a</w:t>
                  </w:r>
                </w:p>
              </w:tc>
              <w:tc>
                <w:tcPr>
                  <w:tcW w:w="1259" w:type="dxa"/>
                  <w:vMerge w:val="continue"/>
                  <w:vAlign w:val="center"/>
                </w:tcPr>
                <w:p w14:paraId="05AF68BF">
                  <w:pPr>
                    <w:snapToGrid w:val="0"/>
                    <w:jc w:val="center"/>
                    <w:rPr>
                      <w:color w:val="auto"/>
                      <w:szCs w:val="21"/>
                    </w:rPr>
                  </w:pPr>
                </w:p>
              </w:tc>
              <w:tc>
                <w:tcPr>
                  <w:tcW w:w="905" w:type="dxa"/>
                  <w:vAlign w:val="center"/>
                </w:tcPr>
                <w:p w14:paraId="4DD3D97C">
                  <w:pPr>
                    <w:ind w:left="-105" w:leftChars="-50" w:right="-105" w:rightChars="-50"/>
                    <w:jc w:val="center"/>
                    <w:rPr>
                      <w:rFonts w:hAnsi="宋体"/>
                      <w:color w:val="auto"/>
                    </w:rPr>
                  </w:pPr>
                  <w:r>
                    <w:rPr>
                      <w:rFonts w:hAnsi="宋体"/>
                      <w:color w:val="auto"/>
                    </w:rPr>
                    <w:t>符合</w:t>
                  </w:r>
                </w:p>
              </w:tc>
            </w:tr>
            <w:tr w14:paraId="7E6D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66" w:type="dxa"/>
                  <w:vAlign w:val="center"/>
                </w:tcPr>
                <w:p w14:paraId="69C012F3">
                  <w:pPr>
                    <w:snapToGrid w:val="0"/>
                    <w:ind w:left="-63" w:leftChars="-30" w:right="-63" w:rightChars="-30"/>
                    <w:jc w:val="center"/>
                    <w:rPr>
                      <w:rFonts w:hint="eastAsia" w:eastAsia="宋体"/>
                      <w:color w:val="auto"/>
                      <w:lang w:eastAsia="zh-CN"/>
                    </w:rPr>
                  </w:pPr>
                  <w:r>
                    <w:rPr>
                      <w:rFonts w:hint="eastAsia"/>
                      <w:color w:val="auto"/>
                      <w:lang w:val="en-US" w:eastAsia="zh-CN"/>
                    </w:rPr>
                    <w:t>6</w:t>
                  </w:r>
                </w:p>
              </w:tc>
              <w:tc>
                <w:tcPr>
                  <w:tcW w:w="1876" w:type="dxa"/>
                  <w:vAlign w:val="center"/>
                </w:tcPr>
                <w:p w14:paraId="78FDBBE1">
                  <w:pPr>
                    <w:jc w:val="center"/>
                    <w:rPr>
                      <w:color w:val="auto"/>
                      <w:szCs w:val="21"/>
                    </w:rPr>
                  </w:pPr>
                  <w:r>
                    <w:rPr>
                      <w:rFonts w:hint="eastAsia"/>
                      <w:color w:val="auto"/>
                      <w:szCs w:val="21"/>
                    </w:rPr>
                    <w:t>废活性炭</w:t>
                  </w:r>
                </w:p>
              </w:tc>
              <w:tc>
                <w:tcPr>
                  <w:tcW w:w="1050" w:type="dxa"/>
                  <w:vAlign w:val="center"/>
                </w:tcPr>
                <w:p w14:paraId="0B26FB6B">
                  <w:pPr>
                    <w:jc w:val="center"/>
                    <w:rPr>
                      <w:color w:val="auto"/>
                      <w:szCs w:val="21"/>
                    </w:rPr>
                  </w:pPr>
                  <w:r>
                    <w:rPr>
                      <w:rFonts w:hint="eastAsia"/>
                      <w:color w:val="auto"/>
                      <w:szCs w:val="21"/>
                    </w:rPr>
                    <w:t>废气处理</w:t>
                  </w:r>
                </w:p>
              </w:tc>
              <w:tc>
                <w:tcPr>
                  <w:tcW w:w="958" w:type="dxa"/>
                  <w:vAlign w:val="center"/>
                </w:tcPr>
                <w:p w14:paraId="6EAA9A38">
                  <w:pPr>
                    <w:snapToGrid w:val="0"/>
                    <w:jc w:val="center"/>
                    <w:rPr>
                      <w:rFonts w:hAnsi="宋体"/>
                      <w:color w:val="auto"/>
                    </w:rPr>
                  </w:pPr>
                  <w:r>
                    <w:rPr>
                      <w:rFonts w:hAnsi="宋体"/>
                      <w:color w:val="auto"/>
                    </w:rPr>
                    <w:t>危险废物</w:t>
                  </w:r>
                </w:p>
              </w:tc>
              <w:tc>
                <w:tcPr>
                  <w:tcW w:w="1215" w:type="dxa"/>
                  <w:vAlign w:val="center"/>
                </w:tcPr>
                <w:p w14:paraId="7D4536E4">
                  <w:pPr>
                    <w:tabs>
                      <w:tab w:val="left" w:pos="677"/>
                    </w:tabs>
                    <w:jc w:val="center"/>
                    <w:rPr>
                      <w:color w:val="auto"/>
                      <w:szCs w:val="21"/>
                    </w:rPr>
                  </w:pPr>
                  <w:r>
                    <w:rPr>
                      <w:color w:val="auto"/>
                      <w:szCs w:val="21"/>
                    </w:rPr>
                    <w:t>900-0</w:t>
                  </w:r>
                  <w:r>
                    <w:rPr>
                      <w:rFonts w:hint="eastAsia"/>
                      <w:color w:val="auto"/>
                      <w:szCs w:val="21"/>
                    </w:rPr>
                    <w:t>39</w:t>
                  </w:r>
                  <w:r>
                    <w:rPr>
                      <w:color w:val="auto"/>
                      <w:szCs w:val="21"/>
                    </w:rPr>
                    <w:t>-49</w:t>
                  </w:r>
                </w:p>
              </w:tc>
              <w:tc>
                <w:tcPr>
                  <w:tcW w:w="1058" w:type="dxa"/>
                  <w:vAlign w:val="center"/>
                </w:tcPr>
                <w:p w14:paraId="4FEACA14">
                  <w:pPr>
                    <w:tabs>
                      <w:tab w:val="left" w:pos="677"/>
                    </w:tabs>
                    <w:jc w:val="center"/>
                    <w:rPr>
                      <w:color w:val="auto"/>
                      <w:szCs w:val="21"/>
                    </w:rPr>
                  </w:pPr>
                  <w:r>
                    <w:rPr>
                      <w:rFonts w:hint="eastAsia"/>
                      <w:color w:val="auto"/>
                      <w:szCs w:val="21"/>
                      <w:lang w:val="en-US" w:eastAsia="zh-CN"/>
                    </w:rPr>
                    <w:t>16.173t/a</w:t>
                  </w:r>
                </w:p>
              </w:tc>
              <w:tc>
                <w:tcPr>
                  <w:tcW w:w="1259" w:type="dxa"/>
                  <w:vMerge w:val="continue"/>
                  <w:vAlign w:val="center"/>
                </w:tcPr>
                <w:p w14:paraId="06583005">
                  <w:pPr>
                    <w:snapToGrid w:val="0"/>
                    <w:jc w:val="center"/>
                    <w:rPr>
                      <w:color w:val="auto"/>
                      <w:szCs w:val="21"/>
                    </w:rPr>
                  </w:pPr>
                </w:p>
              </w:tc>
              <w:tc>
                <w:tcPr>
                  <w:tcW w:w="905" w:type="dxa"/>
                  <w:vAlign w:val="center"/>
                </w:tcPr>
                <w:p w14:paraId="12E8D273">
                  <w:pPr>
                    <w:ind w:left="-105" w:leftChars="-50" w:right="-105" w:rightChars="-50"/>
                    <w:jc w:val="center"/>
                    <w:rPr>
                      <w:rFonts w:hAnsi="宋体"/>
                      <w:color w:val="auto"/>
                    </w:rPr>
                  </w:pPr>
                  <w:r>
                    <w:rPr>
                      <w:rFonts w:hAnsi="宋体"/>
                      <w:color w:val="auto"/>
                    </w:rPr>
                    <w:t>符合</w:t>
                  </w:r>
                </w:p>
              </w:tc>
            </w:tr>
          </w:tbl>
          <w:p w14:paraId="08DA1D45">
            <w:pPr>
              <w:pStyle w:val="2"/>
              <w:spacing w:line="440" w:lineRule="exact"/>
              <w:ind w:firstLine="0" w:firstLineChars="0"/>
              <w:rPr>
                <w:rFonts w:hint="eastAsia" w:hAnsi="宋体"/>
                <w:b/>
                <w:bCs/>
                <w:color w:val="4F81BD" w:themeColor="accent1"/>
                <w:szCs w:val="21"/>
                <w14:textFill>
                  <w14:solidFill>
                    <w14:schemeClr w14:val="accent1"/>
                  </w14:solidFill>
                </w14:textFill>
              </w:rPr>
            </w:pPr>
            <w:r>
              <w:rPr>
                <w:rFonts w:hint="eastAsia" w:hAnsi="宋体"/>
                <w:b/>
                <w:bCs/>
                <w:color w:val="auto"/>
                <w:szCs w:val="21"/>
              </w:rPr>
              <w:t xml:space="preserve">   </w:t>
            </w:r>
          </w:p>
          <w:p w14:paraId="1895A184">
            <w:pPr>
              <w:pStyle w:val="2"/>
              <w:spacing w:line="440" w:lineRule="exact"/>
              <w:ind w:firstLine="0" w:firstLineChars="0"/>
              <w:rPr>
                <w:b/>
                <w:color w:val="auto"/>
                <w:sz w:val="24"/>
              </w:rPr>
            </w:pPr>
            <w:r>
              <w:rPr>
                <w:rFonts w:hAnsi="宋体"/>
                <w:b/>
                <w:color w:val="auto"/>
                <w:sz w:val="24"/>
              </w:rPr>
              <w:t>（</w:t>
            </w:r>
            <w:r>
              <w:rPr>
                <w:b/>
                <w:color w:val="auto"/>
                <w:sz w:val="24"/>
              </w:rPr>
              <w:t>3</w:t>
            </w:r>
            <w:r>
              <w:rPr>
                <w:rFonts w:hAnsi="宋体"/>
                <w:b/>
                <w:color w:val="auto"/>
                <w:sz w:val="24"/>
              </w:rPr>
              <w:t>）环境管理要求</w:t>
            </w:r>
          </w:p>
          <w:p w14:paraId="7203141E">
            <w:pPr>
              <w:spacing w:line="440" w:lineRule="exact"/>
              <w:ind w:firstLine="480" w:firstLineChars="200"/>
              <w:rPr>
                <w:snapToGrid w:val="0"/>
                <w:color w:val="auto"/>
                <w:kern w:val="0"/>
                <w:sz w:val="24"/>
              </w:rPr>
            </w:pPr>
            <w:r>
              <w:rPr>
                <w:snapToGrid w:val="0"/>
                <w:color w:val="auto"/>
                <w:kern w:val="0"/>
                <w:sz w:val="24"/>
              </w:rPr>
              <w:fldChar w:fldCharType="begin"/>
            </w:r>
            <w:r>
              <w:rPr>
                <w:rFonts w:hint="eastAsia"/>
                <w:snapToGrid w:val="0"/>
                <w:color w:val="auto"/>
                <w:kern w:val="0"/>
                <w:sz w:val="24"/>
              </w:rPr>
              <w:instrText xml:space="preserve">= 1 \* GB3</w:instrText>
            </w:r>
            <w:r>
              <w:rPr>
                <w:snapToGrid w:val="0"/>
                <w:color w:val="auto"/>
                <w:kern w:val="0"/>
                <w:sz w:val="24"/>
              </w:rPr>
              <w:fldChar w:fldCharType="separate"/>
            </w:r>
            <w:r>
              <w:rPr>
                <w:rFonts w:hint="eastAsia"/>
                <w:snapToGrid w:val="0"/>
                <w:color w:val="auto"/>
                <w:kern w:val="0"/>
                <w:sz w:val="24"/>
              </w:rPr>
              <w:t>①</w:t>
            </w:r>
            <w:r>
              <w:rPr>
                <w:snapToGrid w:val="0"/>
                <w:color w:val="auto"/>
                <w:kern w:val="0"/>
                <w:sz w:val="24"/>
              </w:rPr>
              <w:fldChar w:fldCharType="end"/>
            </w:r>
            <w:r>
              <w:rPr>
                <w:rFonts w:hint="eastAsia"/>
                <w:snapToGrid w:val="0"/>
                <w:color w:val="auto"/>
                <w:kern w:val="0"/>
                <w:sz w:val="24"/>
              </w:rPr>
              <w:t>一般固废环境影响分析</w:t>
            </w:r>
          </w:p>
          <w:p w14:paraId="37869C37">
            <w:pPr>
              <w:spacing w:line="440" w:lineRule="exact"/>
              <w:ind w:firstLine="480" w:firstLineChars="200"/>
              <w:rPr>
                <w:color w:val="auto"/>
                <w:sz w:val="24"/>
              </w:rPr>
            </w:pPr>
            <w:r>
              <w:rPr>
                <w:color w:val="auto"/>
                <w:sz w:val="24"/>
              </w:rPr>
              <w:t>本项目</w:t>
            </w:r>
            <w:r>
              <w:rPr>
                <w:rFonts w:hint="eastAsia"/>
                <w:color w:val="auto"/>
                <w:sz w:val="24"/>
              </w:rPr>
              <w:t>拟在</w:t>
            </w:r>
            <w:r>
              <w:rPr>
                <w:rFonts w:hint="eastAsia"/>
                <w:color w:val="auto"/>
                <w:sz w:val="24"/>
                <w:lang w:val="en-US" w:eastAsia="zh-CN"/>
              </w:rPr>
              <w:t>1</w:t>
            </w:r>
            <w:r>
              <w:rPr>
                <w:rFonts w:hint="eastAsia"/>
                <w:color w:val="auto"/>
                <w:sz w:val="24"/>
              </w:rPr>
              <w:t>F车间东</w:t>
            </w:r>
            <w:r>
              <w:rPr>
                <w:rFonts w:hint="eastAsia"/>
                <w:color w:val="auto"/>
                <w:sz w:val="24"/>
                <w:lang w:eastAsia="zh-CN"/>
              </w:rPr>
              <w:t>北</w:t>
            </w:r>
            <w:r>
              <w:rPr>
                <w:rFonts w:hint="eastAsia"/>
                <w:color w:val="auto"/>
                <w:sz w:val="24"/>
              </w:rPr>
              <w:t>侧设置一个固废分类中心和固废仓库</w:t>
            </w:r>
            <w:r>
              <w:rPr>
                <w:color w:val="auto"/>
                <w:sz w:val="24"/>
              </w:rPr>
              <w:t>，</w:t>
            </w:r>
            <w:r>
              <w:rPr>
                <w:rFonts w:hint="eastAsia"/>
                <w:color w:val="auto"/>
                <w:sz w:val="24"/>
              </w:rPr>
              <w:t>其</w:t>
            </w:r>
            <w:r>
              <w:rPr>
                <w:color w:val="auto"/>
                <w:sz w:val="24"/>
              </w:rPr>
              <w:t>必须按照</w:t>
            </w:r>
            <w:r>
              <w:rPr>
                <w:rFonts w:hint="eastAsia"/>
                <w:color w:val="auto"/>
                <w:kern w:val="0"/>
                <w:sz w:val="24"/>
              </w:rPr>
              <w:t>《一般工业固体废物贮存和填埋污染控制标准》 （GB18599-2020）</w:t>
            </w:r>
            <w:r>
              <w:rPr>
                <w:color w:val="auto"/>
                <w:sz w:val="24"/>
              </w:rPr>
              <w:t>有关要求设置贮存场所，严禁乱堆乱放和随便倾倒。固废在运输过程中要防止散落地面，以免产生“二次污染”。</w:t>
            </w:r>
          </w:p>
          <w:p w14:paraId="312E7781">
            <w:pPr>
              <w:spacing w:line="440" w:lineRule="exact"/>
              <w:ind w:firstLine="480" w:firstLineChars="200"/>
              <w:rPr>
                <w:color w:val="auto"/>
                <w:sz w:val="24"/>
              </w:rPr>
            </w:pPr>
            <w:r>
              <w:rPr>
                <w:rFonts w:hint="eastAsia"/>
                <w:color w:val="auto"/>
                <w:sz w:val="24"/>
              </w:rPr>
              <w:t>固废分类中心</w:t>
            </w:r>
            <w:r>
              <w:rPr>
                <w:color w:val="auto"/>
                <w:sz w:val="24"/>
              </w:rPr>
              <w:t>在空间上应按照存放区和管理区两部分进行设置。</w:t>
            </w:r>
          </w:p>
          <w:p w14:paraId="7C42A805">
            <w:pPr>
              <w:spacing w:line="440" w:lineRule="exact"/>
              <w:ind w:firstLine="480" w:firstLineChars="200"/>
              <w:rPr>
                <w:color w:val="auto"/>
                <w:sz w:val="24"/>
              </w:rPr>
            </w:pPr>
            <w:r>
              <w:rPr>
                <w:color w:val="auto"/>
                <w:sz w:val="24"/>
              </w:rPr>
              <w:t>存放区：划分应按照一般工业固体废物的类别进行，一般工业固体废物原则上不超过三大类：可再生资源、可燃性一般固废和其他工业固废（企业根据实际需要，可以对各大类进行细分类）。</w:t>
            </w:r>
          </w:p>
          <w:p w14:paraId="025243F4">
            <w:pPr>
              <w:spacing w:line="440" w:lineRule="exact"/>
              <w:ind w:firstLine="480" w:firstLineChars="200"/>
              <w:rPr>
                <w:b/>
                <w:bCs/>
                <w:color w:val="auto"/>
                <w:sz w:val="24"/>
              </w:rPr>
            </w:pPr>
            <w:r>
              <w:rPr>
                <w:color w:val="auto"/>
                <w:sz w:val="24"/>
              </w:rPr>
              <w:t>管理区：主要由分类屋管理员及操作人员使用，并作为必要的设备存放间使用，管理区的设置以具体项目固废</w:t>
            </w:r>
            <w:r>
              <w:rPr>
                <w:rFonts w:hint="eastAsia"/>
                <w:color w:val="auto"/>
                <w:sz w:val="24"/>
              </w:rPr>
              <w:t>暂存间</w:t>
            </w:r>
            <w:r>
              <w:rPr>
                <w:color w:val="auto"/>
                <w:sz w:val="24"/>
              </w:rPr>
              <w:t>大小、设备配置以及工业企业的需求进行统筹考虑。</w:t>
            </w:r>
          </w:p>
          <w:p w14:paraId="1C32B72E">
            <w:pPr>
              <w:spacing w:line="440" w:lineRule="exact"/>
              <w:ind w:firstLine="480" w:firstLineChars="200"/>
              <w:rPr>
                <w:snapToGrid w:val="0"/>
                <w:color w:val="auto"/>
                <w:kern w:val="0"/>
                <w:sz w:val="24"/>
              </w:rPr>
            </w:pPr>
            <w:r>
              <w:rPr>
                <w:rFonts w:hint="eastAsia"/>
                <w:color w:val="auto"/>
                <w:sz w:val="24"/>
              </w:rPr>
              <w:t>本项目一般工业固废月产生量约为</w:t>
            </w:r>
            <w:r>
              <w:rPr>
                <w:rFonts w:hint="eastAsia"/>
                <w:color w:val="auto"/>
                <w:sz w:val="24"/>
                <w:lang w:val="en-US" w:eastAsia="zh-CN"/>
              </w:rPr>
              <w:t>1.3</w:t>
            </w:r>
            <w:r>
              <w:rPr>
                <w:rFonts w:hint="eastAsia"/>
                <w:color w:val="auto"/>
                <w:sz w:val="24"/>
              </w:rPr>
              <w:t>t，企业固废分类中心位于</w:t>
            </w:r>
            <w:r>
              <w:rPr>
                <w:rFonts w:hint="eastAsia"/>
                <w:color w:val="auto"/>
                <w:sz w:val="24"/>
                <w:lang w:val="en-US" w:eastAsia="zh-CN"/>
              </w:rPr>
              <w:t>1</w:t>
            </w:r>
            <w:r>
              <w:rPr>
                <w:rFonts w:hint="eastAsia"/>
                <w:color w:val="auto"/>
                <w:sz w:val="24"/>
              </w:rPr>
              <w:t>F车间</w:t>
            </w:r>
            <w:r>
              <w:rPr>
                <w:rFonts w:hint="eastAsia"/>
                <w:color w:val="auto"/>
                <w:sz w:val="24"/>
                <w:lang w:eastAsia="zh-CN"/>
              </w:rPr>
              <w:t>东北</w:t>
            </w:r>
            <w:r>
              <w:rPr>
                <w:rFonts w:hint="eastAsia"/>
                <w:color w:val="auto"/>
                <w:sz w:val="24"/>
              </w:rPr>
              <w:t>侧，面积为50m</w:t>
            </w:r>
            <w:r>
              <w:rPr>
                <w:rFonts w:hint="eastAsia"/>
                <w:color w:val="auto"/>
                <w:sz w:val="24"/>
                <w:vertAlign w:val="superscript"/>
              </w:rPr>
              <w:t>2</w:t>
            </w:r>
            <w:r>
              <w:rPr>
                <w:rFonts w:hint="eastAsia"/>
                <w:color w:val="auto"/>
                <w:sz w:val="24"/>
              </w:rPr>
              <w:t>（根据工业企业产生的固体废物的可压缩性不同，在建设固废分类中心时，要将固废产生量与固废的可压缩性等因素进行综合性考虑）。本项目固废仓库面积约为50m</w:t>
            </w:r>
            <w:r>
              <w:rPr>
                <w:rFonts w:hint="eastAsia"/>
                <w:color w:val="auto"/>
                <w:sz w:val="24"/>
                <w:vertAlign w:val="superscript"/>
              </w:rPr>
              <w:t>2</w:t>
            </w:r>
            <w:r>
              <w:rPr>
                <w:rFonts w:hint="eastAsia"/>
                <w:color w:val="auto"/>
                <w:sz w:val="24"/>
              </w:rPr>
              <w:t>。</w:t>
            </w:r>
          </w:p>
          <w:p w14:paraId="5FF1FAA3">
            <w:pPr>
              <w:spacing w:line="440" w:lineRule="exact"/>
              <w:ind w:firstLine="435"/>
              <w:rPr>
                <w:color w:val="auto"/>
              </w:rPr>
            </w:pPr>
            <w:r>
              <w:rPr>
                <w:rFonts w:hint="eastAsia"/>
                <w:color w:val="auto"/>
                <w:sz w:val="24"/>
              </w:rPr>
              <w:t>固废分类中心应按照GB2894标准设置安全标志，按照GB 15562.2标准设置环境保护图形标志。工业企业产废端（产废源头，如生产车间）向一般废物暂存点运输应配备相应的运输车。固废分类中心内应配置适用于各类工业固体废物的收纳容器（吨袋、金属网框、固废收集桶等（根据具体情况选配））以及初步的处理设备（压缩机、夹包机、堆高机、打包机、切割机等（一种或几种）），具体设备配置应企业实际情况为准。分类建设应当考虑防雪压塌因素，并配备灭火器等防火措施。按照国家相关标准规定，结合企业实际进行标志标语配置。</w:t>
            </w:r>
          </w:p>
          <w:p w14:paraId="256FCE66">
            <w:pPr>
              <w:spacing w:line="440" w:lineRule="exact"/>
              <w:ind w:firstLine="480" w:firstLineChars="200"/>
              <w:rPr>
                <w:snapToGrid w:val="0"/>
                <w:color w:val="auto"/>
                <w:kern w:val="0"/>
                <w:sz w:val="24"/>
              </w:rPr>
            </w:pPr>
            <w:r>
              <w:rPr>
                <w:rFonts w:hint="eastAsia"/>
                <w:color w:val="auto"/>
                <w:sz w:val="24"/>
              </w:rPr>
              <w:t>暂存的一般固废定期由物资回收单位回收处置，根据调查，项目所在地附近能够处置本项目产生的一般废物的处置公司情况如下表4-3</w:t>
            </w:r>
            <w:r>
              <w:rPr>
                <w:rFonts w:hint="eastAsia"/>
                <w:color w:val="auto"/>
                <w:sz w:val="24"/>
                <w:lang w:val="en-US" w:eastAsia="zh-CN"/>
              </w:rPr>
              <w:t>4</w:t>
            </w:r>
            <w:r>
              <w:rPr>
                <w:rFonts w:hint="eastAsia"/>
                <w:color w:val="auto"/>
                <w:sz w:val="24"/>
              </w:rPr>
              <w:t>所示。</w:t>
            </w:r>
          </w:p>
          <w:p w14:paraId="0FE6C3ED">
            <w:pPr>
              <w:spacing w:line="440" w:lineRule="exact"/>
              <w:ind w:firstLine="482"/>
              <w:jc w:val="center"/>
              <w:rPr>
                <w:b/>
                <w:color w:val="auto"/>
                <w:szCs w:val="21"/>
              </w:rPr>
            </w:pPr>
            <w:r>
              <w:rPr>
                <w:b/>
                <w:color w:val="auto"/>
                <w:szCs w:val="21"/>
              </w:rPr>
              <w:t>表</w:t>
            </w:r>
            <w:r>
              <w:rPr>
                <w:rFonts w:hint="eastAsia"/>
                <w:b/>
                <w:color w:val="auto"/>
                <w:szCs w:val="21"/>
              </w:rPr>
              <w:t>4-3</w:t>
            </w:r>
            <w:r>
              <w:rPr>
                <w:rFonts w:hint="eastAsia"/>
                <w:b/>
                <w:color w:val="auto"/>
                <w:szCs w:val="21"/>
                <w:lang w:val="en-US" w:eastAsia="zh-CN"/>
              </w:rPr>
              <w:t>4</w:t>
            </w:r>
            <w:r>
              <w:rPr>
                <w:rFonts w:hint="eastAsia"/>
                <w:b/>
                <w:color w:val="auto"/>
                <w:szCs w:val="21"/>
              </w:rPr>
              <w:t xml:space="preserve"> 项目周边物资回收公司情况</w:t>
            </w:r>
          </w:p>
          <w:tbl>
            <w:tblPr>
              <w:tblStyle w:val="37"/>
              <w:tblW w:w="8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9"/>
              <w:gridCol w:w="4135"/>
              <w:gridCol w:w="3643"/>
            </w:tblGrid>
            <w:tr w14:paraId="1CDD4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4" w:type="dxa"/>
                  <w:vAlign w:val="center"/>
                </w:tcPr>
                <w:p w14:paraId="3C45CE2E">
                  <w:pPr>
                    <w:jc w:val="center"/>
                    <w:rPr>
                      <w:b/>
                      <w:bCs/>
                      <w:color w:val="auto"/>
                      <w:szCs w:val="21"/>
                    </w:rPr>
                  </w:pPr>
                  <w:r>
                    <w:rPr>
                      <w:rFonts w:hAnsi="宋体"/>
                      <w:b/>
                      <w:bCs/>
                      <w:color w:val="auto"/>
                      <w:szCs w:val="21"/>
                    </w:rPr>
                    <w:t>序号</w:t>
                  </w:r>
                </w:p>
              </w:tc>
              <w:tc>
                <w:tcPr>
                  <w:tcW w:w="3868" w:type="dxa"/>
                  <w:vAlign w:val="center"/>
                </w:tcPr>
                <w:p w14:paraId="7A0B6B91">
                  <w:pPr>
                    <w:jc w:val="center"/>
                    <w:rPr>
                      <w:b/>
                      <w:bCs/>
                      <w:color w:val="auto"/>
                      <w:szCs w:val="21"/>
                    </w:rPr>
                  </w:pPr>
                  <w:r>
                    <w:rPr>
                      <w:rFonts w:hAnsi="宋体"/>
                      <w:b/>
                      <w:bCs/>
                      <w:color w:val="auto"/>
                      <w:szCs w:val="21"/>
                    </w:rPr>
                    <w:t>公司名称</w:t>
                  </w:r>
                </w:p>
              </w:tc>
              <w:tc>
                <w:tcPr>
                  <w:tcW w:w="3408" w:type="dxa"/>
                  <w:vAlign w:val="center"/>
                </w:tcPr>
                <w:p w14:paraId="328C2666">
                  <w:pPr>
                    <w:jc w:val="center"/>
                    <w:rPr>
                      <w:b/>
                      <w:color w:val="auto"/>
                      <w:szCs w:val="21"/>
                    </w:rPr>
                  </w:pPr>
                  <w:r>
                    <w:rPr>
                      <w:rFonts w:hint="eastAsia" w:hAnsi="宋体"/>
                      <w:b/>
                      <w:bCs/>
                      <w:color w:val="auto"/>
                      <w:szCs w:val="21"/>
                    </w:rPr>
                    <w:t>公司地址</w:t>
                  </w:r>
                </w:p>
              </w:tc>
            </w:tr>
            <w:tr w14:paraId="3B661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4" w:type="dxa"/>
                  <w:vAlign w:val="center"/>
                </w:tcPr>
                <w:p w14:paraId="5C0D6FD7">
                  <w:pPr>
                    <w:snapToGrid w:val="0"/>
                    <w:jc w:val="center"/>
                    <w:rPr>
                      <w:bCs/>
                      <w:color w:val="auto"/>
                      <w:szCs w:val="21"/>
                    </w:rPr>
                  </w:pPr>
                  <w:r>
                    <w:rPr>
                      <w:bCs/>
                      <w:color w:val="auto"/>
                      <w:szCs w:val="21"/>
                    </w:rPr>
                    <w:t>1</w:t>
                  </w:r>
                </w:p>
              </w:tc>
              <w:tc>
                <w:tcPr>
                  <w:tcW w:w="3868" w:type="dxa"/>
                  <w:vAlign w:val="center"/>
                </w:tcPr>
                <w:p w14:paraId="6DBA2B47">
                  <w:pPr>
                    <w:jc w:val="center"/>
                    <w:rPr>
                      <w:bCs/>
                      <w:color w:val="auto"/>
                      <w:szCs w:val="21"/>
                    </w:rPr>
                  </w:pPr>
                  <w:r>
                    <w:rPr>
                      <w:rFonts w:hint="eastAsia" w:hAnsi="宋体"/>
                      <w:color w:val="auto"/>
                      <w:szCs w:val="21"/>
                    </w:rPr>
                    <w:t>安吉县立兴废旧物资回收有限公司</w:t>
                  </w:r>
                </w:p>
              </w:tc>
              <w:tc>
                <w:tcPr>
                  <w:tcW w:w="3408" w:type="dxa"/>
                  <w:vAlign w:val="center"/>
                </w:tcPr>
                <w:p w14:paraId="7FAE1BEF">
                  <w:pPr>
                    <w:jc w:val="center"/>
                    <w:rPr>
                      <w:color w:val="auto"/>
                      <w:szCs w:val="21"/>
                    </w:rPr>
                  </w:pPr>
                  <w:r>
                    <w:rPr>
                      <w:rFonts w:hint="eastAsia"/>
                      <w:color w:val="auto"/>
                      <w:szCs w:val="21"/>
                    </w:rPr>
                    <w:t>浙江省湖州市安吉县皈山乡孝源村</w:t>
                  </w:r>
                </w:p>
              </w:tc>
            </w:tr>
            <w:tr w14:paraId="10964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4" w:type="dxa"/>
                  <w:vAlign w:val="center"/>
                </w:tcPr>
                <w:p w14:paraId="13B1C90F">
                  <w:pPr>
                    <w:snapToGrid w:val="0"/>
                    <w:jc w:val="center"/>
                    <w:rPr>
                      <w:bCs/>
                      <w:color w:val="auto"/>
                      <w:szCs w:val="21"/>
                    </w:rPr>
                  </w:pPr>
                  <w:r>
                    <w:rPr>
                      <w:rFonts w:hint="eastAsia"/>
                      <w:bCs/>
                      <w:color w:val="auto"/>
                      <w:szCs w:val="21"/>
                    </w:rPr>
                    <w:t>2</w:t>
                  </w:r>
                </w:p>
              </w:tc>
              <w:tc>
                <w:tcPr>
                  <w:tcW w:w="3868" w:type="dxa"/>
                  <w:vAlign w:val="center"/>
                </w:tcPr>
                <w:p w14:paraId="224A84B4">
                  <w:pPr>
                    <w:jc w:val="center"/>
                    <w:rPr>
                      <w:color w:val="auto"/>
                      <w:szCs w:val="21"/>
                    </w:rPr>
                  </w:pPr>
                  <w:r>
                    <w:rPr>
                      <w:rFonts w:hint="eastAsia" w:hAnsi="宋体"/>
                      <w:color w:val="auto"/>
                      <w:szCs w:val="21"/>
                    </w:rPr>
                    <w:t>安吉华吉再生资源回收有限公司</w:t>
                  </w:r>
                </w:p>
              </w:tc>
              <w:tc>
                <w:tcPr>
                  <w:tcW w:w="3408" w:type="dxa"/>
                  <w:vAlign w:val="center"/>
                </w:tcPr>
                <w:p w14:paraId="7878DEC3">
                  <w:pPr>
                    <w:jc w:val="center"/>
                    <w:rPr>
                      <w:color w:val="auto"/>
                      <w:szCs w:val="21"/>
                    </w:rPr>
                  </w:pPr>
                  <w:r>
                    <w:rPr>
                      <w:rFonts w:hint="eastAsia"/>
                      <w:color w:val="auto"/>
                      <w:szCs w:val="21"/>
                    </w:rPr>
                    <w:t xml:space="preserve"> 浙江省湖州市安吉县递铺街道塘铺工业园区1幢</w:t>
                  </w:r>
                </w:p>
              </w:tc>
            </w:tr>
            <w:tr w14:paraId="0D875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4" w:type="dxa"/>
                  <w:vAlign w:val="center"/>
                </w:tcPr>
                <w:p w14:paraId="2821ACC3">
                  <w:pPr>
                    <w:snapToGrid w:val="0"/>
                    <w:jc w:val="center"/>
                    <w:rPr>
                      <w:bCs/>
                      <w:color w:val="auto"/>
                      <w:szCs w:val="21"/>
                    </w:rPr>
                  </w:pPr>
                  <w:r>
                    <w:rPr>
                      <w:rFonts w:hint="eastAsia"/>
                      <w:bCs/>
                      <w:color w:val="auto"/>
                      <w:szCs w:val="21"/>
                    </w:rPr>
                    <w:t>3</w:t>
                  </w:r>
                </w:p>
              </w:tc>
              <w:tc>
                <w:tcPr>
                  <w:tcW w:w="3868" w:type="dxa"/>
                  <w:vAlign w:val="center"/>
                </w:tcPr>
                <w:p w14:paraId="598B7149">
                  <w:pPr>
                    <w:jc w:val="center"/>
                    <w:rPr>
                      <w:bCs/>
                      <w:color w:val="auto"/>
                      <w:szCs w:val="21"/>
                    </w:rPr>
                  </w:pPr>
                  <w:r>
                    <w:rPr>
                      <w:rFonts w:hint="eastAsia" w:hAnsi="宋体"/>
                      <w:color w:val="auto"/>
                      <w:szCs w:val="21"/>
                    </w:rPr>
                    <w:t>安吉县利鸣再生资源回收利用有限公司</w:t>
                  </w:r>
                </w:p>
              </w:tc>
              <w:tc>
                <w:tcPr>
                  <w:tcW w:w="3408" w:type="dxa"/>
                  <w:vAlign w:val="center"/>
                </w:tcPr>
                <w:p w14:paraId="4D929324">
                  <w:pPr>
                    <w:jc w:val="center"/>
                    <w:rPr>
                      <w:color w:val="auto"/>
                      <w:szCs w:val="21"/>
                    </w:rPr>
                  </w:pPr>
                  <w:r>
                    <w:rPr>
                      <w:rFonts w:hint="eastAsia"/>
                      <w:color w:val="auto"/>
                      <w:szCs w:val="21"/>
                    </w:rPr>
                    <w:t>浙江湖州递铺镇城北路18号</w:t>
                  </w:r>
                </w:p>
              </w:tc>
            </w:tr>
            <w:tr w14:paraId="57161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44" w:type="dxa"/>
                  <w:vAlign w:val="center"/>
                </w:tcPr>
                <w:p w14:paraId="3230B67C">
                  <w:pPr>
                    <w:snapToGrid w:val="0"/>
                    <w:jc w:val="center"/>
                    <w:rPr>
                      <w:bCs/>
                      <w:color w:val="auto"/>
                      <w:szCs w:val="21"/>
                    </w:rPr>
                  </w:pPr>
                  <w:r>
                    <w:rPr>
                      <w:rFonts w:hint="eastAsia"/>
                      <w:bCs/>
                      <w:color w:val="auto"/>
                      <w:szCs w:val="21"/>
                    </w:rPr>
                    <w:t>4</w:t>
                  </w:r>
                </w:p>
              </w:tc>
              <w:tc>
                <w:tcPr>
                  <w:tcW w:w="3868" w:type="dxa"/>
                  <w:vAlign w:val="center"/>
                </w:tcPr>
                <w:p w14:paraId="34B9965B">
                  <w:pPr>
                    <w:jc w:val="center"/>
                    <w:rPr>
                      <w:rFonts w:hAnsi="宋体"/>
                      <w:color w:val="auto"/>
                      <w:szCs w:val="21"/>
                    </w:rPr>
                  </w:pPr>
                  <w:r>
                    <w:rPr>
                      <w:rFonts w:hint="eastAsia" w:hAnsi="宋体"/>
                      <w:color w:val="auto"/>
                      <w:szCs w:val="21"/>
                    </w:rPr>
                    <w:t>安吉县旺盛废旧物资经营有限公司公司</w:t>
                  </w:r>
                </w:p>
              </w:tc>
              <w:tc>
                <w:tcPr>
                  <w:tcW w:w="3408" w:type="dxa"/>
                  <w:vAlign w:val="center"/>
                </w:tcPr>
                <w:p w14:paraId="37CD4E17">
                  <w:pPr>
                    <w:jc w:val="center"/>
                    <w:rPr>
                      <w:color w:val="auto"/>
                      <w:szCs w:val="21"/>
                    </w:rPr>
                  </w:pPr>
                  <w:r>
                    <w:rPr>
                      <w:rFonts w:hint="eastAsia"/>
                      <w:color w:val="auto"/>
                      <w:szCs w:val="21"/>
                    </w:rPr>
                    <w:t>湖州孝丰镇下汤工业区</w:t>
                  </w:r>
                </w:p>
              </w:tc>
            </w:tr>
          </w:tbl>
          <w:p w14:paraId="17725917">
            <w:pPr>
              <w:spacing w:line="480" w:lineRule="exact"/>
              <w:ind w:firstLine="480"/>
              <w:jc w:val="left"/>
              <w:rPr>
                <w:color w:val="auto"/>
                <w:sz w:val="24"/>
              </w:rPr>
            </w:pPr>
            <w:r>
              <w:rPr>
                <w:rFonts w:hint="eastAsia"/>
                <w:color w:val="auto"/>
                <w:sz w:val="24"/>
              </w:rPr>
              <w:t>本次评价建议对于产生的一般固废可委托</w:t>
            </w:r>
            <w:r>
              <w:rPr>
                <w:rFonts w:hint="eastAsia" w:hAnsi="宋体"/>
                <w:color w:val="auto"/>
                <w:sz w:val="24"/>
              </w:rPr>
              <w:t>上述物资回收公司</w:t>
            </w:r>
            <w:r>
              <w:rPr>
                <w:rFonts w:hint="eastAsia"/>
                <w:color w:val="auto"/>
                <w:sz w:val="24"/>
              </w:rPr>
              <w:t>或其他物资回收单位进行处理。</w:t>
            </w:r>
            <w:r>
              <w:rPr>
                <w:rFonts w:hint="eastAsia"/>
                <w:bCs/>
                <w:color w:val="auto"/>
                <w:sz w:val="24"/>
              </w:rPr>
              <w:t>由于本项目一般固废产生量较小，处理单位有余量处置</w:t>
            </w:r>
            <w:r>
              <w:rPr>
                <w:rFonts w:hint="eastAsia"/>
                <w:color w:val="auto"/>
                <w:sz w:val="24"/>
              </w:rPr>
              <w:t>。</w:t>
            </w:r>
          </w:p>
          <w:p w14:paraId="2E392871">
            <w:pPr>
              <w:pStyle w:val="96"/>
              <w:ind w:firstLine="480"/>
              <w:rPr>
                <w:rFonts w:eastAsia="宋体"/>
                <w:color w:val="auto"/>
              </w:rPr>
            </w:pPr>
            <w:r>
              <w:rPr>
                <w:rFonts w:hint="eastAsia"/>
                <w:color w:val="auto"/>
              </w:rPr>
              <w:fldChar w:fldCharType="begin"/>
            </w:r>
            <w:r>
              <w:rPr>
                <w:color w:val="auto"/>
              </w:rPr>
              <w:instrText xml:space="preserve"> = 2 \* GB3 </w:instrText>
            </w:r>
            <w:r>
              <w:rPr>
                <w:rFonts w:hint="eastAsia"/>
                <w:color w:val="auto"/>
              </w:rPr>
              <w:fldChar w:fldCharType="separate"/>
            </w:r>
            <w:r>
              <w:rPr>
                <w:rFonts w:hint="eastAsia" w:ascii="宋体" w:hAnsi="宋体" w:cs="宋体"/>
                <w:color w:val="auto"/>
              </w:rPr>
              <w:t>②</w:t>
            </w:r>
            <w:r>
              <w:rPr>
                <w:rFonts w:hint="eastAsia" w:ascii="宋体" w:hAnsi="宋体" w:cs="宋体"/>
                <w:color w:val="auto"/>
              </w:rPr>
              <w:fldChar w:fldCharType="end"/>
            </w:r>
            <w:r>
              <w:rPr>
                <w:rFonts w:eastAsia="宋体"/>
                <w:color w:val="auto"/>
              </w:rPr>
              <w:t>危险废物环境影响分析</w:t>
            </w:r>
          </w:p>
          <w:p w14:paraId="65A4F5C0">
            <w:pPr>
              <w:pStyle w:val="96"/>
              <w:ind w:firstLine="480"/>
              <w:rPr>
                <w:rFonts w:eastAsia="宋体"/>
                <w:color w:val="auto"/>
              </w:rPr>
            </w:pPr>
            <w:r>
              <w:rPr>
                <w:rFonts w:hint="eastAsia" w:eastAsia="宋体"/>
                <w:color w:val="auto"/>
              </w:rPr>
              <w:t>a</w:t>
            </w:r>
            <w:r>
              <w:rPr>
                <w:rFonts w:hAnsi="宋体" w:eastAsia="宋体"/>
                <w:color w:val="auto"/>
              </w:rPr>
              <w:t>、</w:t>
            </w:r>
            <w:r>
              <w:rPr>
                <w:rFonts w:hint="eastAsia" w:hAnsi="宋体" w:eastAsia="宋体"/>
                <w:color w:val="auto"/>
              </w:rPr>
              <w:t>危险废物</w:t>
            </w:r>
            <w:r>
              <w:rPr>
                <w:rFonts w:hAnsi="宋体" w:eastAsia="宋体"/>
                <w:color w:val="auto"/>
              </w:rPr>
              <w:t>贮存场所（设施）管理要求。</w:t>
            </w:r>
          </w:p>
          <w:p w14:paraId="59EFA07F">
            <w:pPr>
              <w:pStyle w:val="96"/>
              <w:ind w:firstLine="480"/>
              <w:rPr>
                <w:rFonts w:hAnsi="宋体" w:eastAsia="宋体"/>
                <w:color w:val="auto"/>
              </w:rPr>
            </w:pPr>
            <w:r>
              <w:rPr>
                <w:rFonts w:hAnsi="宋体" w:eastAsia="宋体"/>
                <w:color w:val="auto"/>
              </w:rPr>
              <w:t>要求建设单位做好固废在区块内的临时储存工作，严格</w:t>
            </w:r>
            <w:r>
              <w:rPr>
                <w:rFonts w:hint="eastAsia" w:hAnsi="宋体" w:eastAsia="宋体"/>
                <w:color w:val="auto"/>
              </w:rPr>
              <w:t>按照《危险废物贮存污染控制标准》 (GB18597-2023) 中的内容对危废暂存场所进行建设，将危险废物分类转入容器内，并粘贴危险废物标签，并做好相应的纪录；对相应的暂存场应建设基础防渗设施、防风、防雨、防晒并配备照明设施等，设置台账管理制度等:此外危废仓库应配置相应的消防设施以应对突发环境事件。</w:t>
            </w:r>
            <w:r>
              <w:rPr>
                <w:rFonts w:hAnsi="宋体" w:eastAsia="宋体"/>
                <w:color w:val="auto"/>
              </w:rPr>
              <w:t>暂存场所应建设基础防渗、防风、防雨、防晒及照明设施等。</w:t>
            </w:r>
          </w:p>
          <w:p w14:paraId="0DF49331">
            <w:pPr>
              <w:spacing w:line="440" w:lineRule="exact"/>
              <w:ind w:firstLine="480" w:firstLineChars="200"/>
              <w:rPr>
                <w:color w:val="auto"/>
                <w:sz w:val="24"/>
              </w:rPr>
            </w:pPr>
            <w:r>
              <w:rPr>
                <w:rFonts w:hAnsi="宋体"/>
                <w:color w:val="auto"/>
                <w:sz w:val="24"/>
              </w:rPr>
              <w:t>本项目所涉及的危废具有毒性</w:t>
            </w:r>
            <w:r>
              <w:rPr>
                <w:rFonts w:hint="eastAsia" w:hAnsi="宋体"/>
                <w:color w:val="auto"/>
                <w:sz w:val="24"/>
              </w:rPr>
              <w:t>和易燃性</w:t>
            </w:r>
            <w:r>
              <w:rPr>
                <w:rFonts w:hAnsi="宋体"/>
                <w:color w:val="auto"/>
                <w:sz w:val="24"/>
              </w:rPr>
              <w:t>，同时采用一个危废仓库进行暂存可行。各类危废应分类堆放，存放容器外表标明各类危废名称，存放容器必须加盖密闭，防止泄漏，另外危废仓库实行专人负责制，严禁无关人员进出，同时设置警示标志。</w:t>
            </w:r>
          </w:p>
          <w:p w14:paraId="4FA7EAC8">
            <w:pPr>
              <w:spacing w:line="440" w:lineRule="exact"/>
              <w:ind w:firstLine="480" w:firstLineChars="200"/>
              <w:rPr>
                <w:color w:val="auto"/>
                <w:sz w:val="24"/>
              </w:rPr>
            </w:pPr>
            <w:r>
              <w:rPr>
                <w:rFonts w:hAnsi="宋体"/>
                <w:color w:val="auto"/>
                <w:sz w:val="24"/>
              </w:rPr>
              <w:t>选址合理性：</w:t>
            </w:r>
            <w:r>
              <w:rPr>
                <w:color w:val="auto"/>
                <w:sz w:val="24"/>
              </w:rPr>
              <w:t>危废仓库所在区域为</w:t>
            </w:r>
            <w:r>
              <w:rPr>
                <w:rFonts w:hint="eastAsia"/>
                <w:color w:val="auto"/>
                <w:sz w:val="24"/>
              </w:rPr>
              <w:t>2F车间西</w:t>
            </w:r>
            <w:r>
              <w:rPr>
                <w:color w:val="auto"/>
                <w:sz w:val="24"/>
              </w:rPr>
              <w:t>侧。危废仓库周边无职工宿舍楼及居民等敏感点，因此本项目危废仓库的选址有利于危废的运输线路的优化，也不会对内部生产功能区及周边环境造成影响，因此选址是合理的。</w:t>
            </w:r>
          </w:p>
          <w:p w14:paraId="041E62FF">
            <w:pPr>
              <w:pStyle w:val="96"/>
              <w:ind w:firstLine="480"/>
              <w:rPr>
                <w:rFonts w:eastAsia="宋体"/>
                <w:color w:val="auto"/>
              </w:rPr>
            </w:pPr>
            <w:r>
              <w:rPr>
                <w:rFonts w:hAnsi="宋体" w:eastAsia="宋体"/>
                <w:color w:val="auto"/>
              </w:rPr>
              <w:t>贮存能力分析：危废仓库总面积</w:t>
            </w:r>
            <w:r>
              <w:rPr>
                <w:rFonts w:hint="eastAsia" w:eastAsia="宋体"/>
                <w:color w:val="auto"/>
              </w:rPr>
              <w:t>10</w:t>
            </w:r>
            <w:r>
              <w:rPr>
                <w:rFonts w:eastAsia="宋体"/>
                <w:color w:val="auto"/>
              </w:rPr>
              <w:t>m</w:t>
            </w:r>
            <w:r>
              <w:rPr>
                <w:rFonts w:eastAsia="宋体"/>
                <w:color w:val="auto"/>
                <w:vertAlign w:val="superscript"/>
              </w:rPr>
              <w:t>2</w:t>
            </w:r>
            <w:r>
              <w:rPr>
                <w:rFonts w:hint="eastAsia" w:hAnsi="宋体" w:eastAsia="宋体"/>
                <w:color w:val="auto"/>
              </w:rPr>
              <w:t>（包含过道面积），</w:t>
            </w:r>
            <w:r>
              <w:rPr>
                <w:rFonts w:hAnsi="宋体" w:eastAsia="宋体"/>
                <w:color w:val="auto"/>
              </w:rPr>
              <w:t>其中约</w:t>
            </w:r>
            <w:r>
              <w:rPr>
                <w:rFonts w:hint="eastAsia" w:hAnsi="宋体" w:eastAsia="宋体"/>
                <w:color w:val="auto"/>
                <w:lang w:val="en-US" w:eastAsia="zh-CN"/>
              </w:rPr>
              <w:t>8</w:t>
            </w:r>
            <w:r>
              <w:rPr>
                <w:rFonts w:hint="eastAsia" w:hAnsi="宋体" w:eastAsia="宋体"/>
                <w:color w:val="auto"/>
              </w:rPr>
              <w:t>m</w:t>
            </w:r>
            <w:r>
              <w:rPr>
                <w:rFonts w:hint="eastAsia" w:hAnsi="宋体" w:eastAsia="宋体"/>
                <w:color w:val="auto"/>
                <w:vertAlign w:val="superscript"/>
              </w:rPr>
              <w:t>2</w:t>
            </w:r>
            <w:r>
              <w:rPr>
                <w:rFonts w:hint="eastAsia" w:hAnsi="宋体" w:eastAsia="宋体"/>
                <w:color w:val="auto"/>
              </w:rPr>
              <w:t>存放废活性炭，采用塑料箱装，码放</w:t>
            </w:r>
            <w:r>
              <w:rPr>
                <w:rFonts w:hAnsi="宋体" w:eastAsia="宋体"/>
                <w:color w:val="auto"/>
              </w:rPr>
              <w:t>，</w:t>
            </w:r>
            <w:r>
              <w:rPr>
                <w:rFonts w:hint="eastAsia" w:hAnsi="宋体" w:eastAsia="宋体"/>
                <w:color w:val="auto"/>
              </w:rPr>
              <w:t>最多可存放</w:t>
            </w:r>
            <w:r>
              <w:rPr>
                <w:rFonts w:hint="eastAsia" w:hAnsi="宋体" w:eastAsia="宋体"/>
                <w:color w:val="auto"/>
                <w:lang w:val="en-US" w:eastAsia="zh-CN"/>
              </w:rPr>
              <w:t>8</w:t>
            </w:r>
            <w:r>
              <w:rPr>
                <w:rFonts w:hint="eastAsia" w:hAnsi="宋体" w:eastAsia="宋体"/>
                <w:color w:val="auto"/>
              </w:rPr>
              <w:t>t，1</w:t>
            </w:r>
            <w:r>
              <w:rPr>
                <w:rFonts w:eastAsia="宋体"/>
                <w:color w:val="auto"/>
              </w:rPr>
              <w:t>m</w:t>
            </w:r>
            <w:r>
              <w:rPr>
                <w:rFonts w:eastAsia="宋体"/>
                <w:color w:val="auto"/>
                <w:vertAlign w:val="superscript"/>
              </w:rPr>
              <w:t>2</w:t>
            </w:r>
            <w:r>
              <w:rPr>
                <w:rFonts w:hint="eastAsia" w:hAnsi="宋体" w:eastAsia="宋体"/>
                <w:color w:val="auto"/>
              </w:rPr>
              <w:t>存放废润滑油和废油桶，桶装，最多可存放</w:t>
            </w:r>
            <w:r>
              <w:rPr>
                <w:rFonts w:hint="eastAsia" w:hAnsi="宋体" w:eastAsia="宋体"/>
                <w:color w:val="auto"/>
                <w:lang w:val="en-US" w:eastAsia="zh-CN"/>
              </w:rPr>
              <w:t>1.0</w:t>
            </w:r>
            <w:r>
              <w:rPr>
                <w:rFonts w:hint="eastAsia" w:hAnsi="宋体" w:eastAsia="宋体"/>
                <w:color w:val="auto"/>
              </w:rPr>
              <w:t>t，</w:t>
            </w:r>
            <w:r>
              <w:rPr>
                <w:rFonts w:hint="eastAsia" w:eastAsia="宋体"/>
                <w:color w:val="auto"/>
              </w:rPr>
              <w:t>1</w:t>
            </w:r>
            <w:r>
              <w:rPr>
                <w:rFonts w:eastAsia="宋体"/>
                <w:color w:val="auto"/>
              </w:rPr>
              <w:t>m</w:t>
            </w:r>
            <w:r>
              <w:rPr>
                <w:rFonts w:eastAsia="宋体"/>
                <w:color w:val="auto"/>
                <w:vertAlign w:val="superscript"/>
              </w:rPr>
              <w:t>2</w:t>
            </w:r>
            <w:r>
              <w:rPr>
                <w:rFonts w:hint="eastAsia" w:hAnsi="宋体" w:eastAsia="宋体"/>
                <w:color w:val="auto"/>
              </w:rPr>
              <w:t>存放废含油抹布、劳保用品，采用袋装</w:t>
            </w:r>
            <w:r>
              <w:rPr>
                <w:rFonts w:hAnsi="宋体" w:eastAsia="宋体"/>
                <w:color w:val="auto"/>
              </w:rPr>
              <w:t>，</w:t>
            </w:r>
            <w:r>
              <w:rPr>
                <w:rFonts w:hint="eastAsia" w:hAnsi="宋体" w:eastAsia="宋体"/>
                <w:color w:val="auto"/>
              </w:rPr>
              <w:t>最多可存放1.0t，危废贮</w:t>
            </w:r>
            <w:r>
              <w:rPr>
                <w:rFonts w:hAnsi="宋体" w:eastAsia="宋体"/>
                <w:color w:val="auto"/>
              </w:rPr>
              <w:t>存场所基本情况表</w:t>
            </w:r>
            <w:r>
              <w:rPr>
                <w:rFonts w:hint="eastAsia" w:eastAsia="宋体"/>
                <w:color w:val="auto"/>
              </w:rPr>
              <w:t>4</w:t>
            </w:r>
            <w:r>
              <w:rPr>
                <w:rFonts w:eastAsia="宋体"/>
                <w:color w:val="auto"/>
              </w:rPr>
              <w:t>-</w:t>
            </w:r>
            <w:r>
              <w:rPr>
                <w:rFonts w:hint="eastAsia" w:eastAsia="宋体"/>
                <w:color w:val="auto"/>
              </w:rPr>
              <w:t>3</w:t>
            </w:r>
            <w:r>
              <w:rPr>
                <w:rFonts w:hint="eastAsia" w:eastAsia="宋体"/>
                <w:color w:val="auto"/>
                <w:lang w:val="en-US" w:eastAsia="zh-CN"/>
              </w:rPr>
              <w:t>5</w:t>
            </w:r>
            <w:r>
              <w:rPr>
                <w:rFonts w:hAnsi="宋体" w:eastAsia="宋体"/>
                <w:color w:val="auto"/>
              </w:rPr>
              <w:t>，在贮存周期为</w:t>
            </w:r>
            <w:r>
              <w:rPr>
                <w:rFonts w:hint="eastAsia" w:eastAsia="宋体"/>
                <w:color w:val="auto"/>
              </w:rPr>
              <w:t>6</w:t>
            </w:r>
            <w:r>
              <w:rPr>
                <w:rFonts w:hAnsi="宋体" w:eastAsia="宋体"/>
                <w:color w:val="auto"/>
              </w:rPr>
              <w:t>个月的情况下，本项目的危废仓库能够满足暂存要求。</w:t>
            </w:r>
          </w:p>
          <w:p w14:paraId="7E03085C">
            <w:pPr>
              <w:pStyle w:val="121"/>
              <w:keepNext/>
              <w:snapToGrid w:val="0"/>
              <w:spacing w:line="440" w:lineRule="exact"/>
              <w:ind w:firstLine="480"/>
              <w:rPr>
                <w:rFonts w:hAnsi="宋体" w:eastAsia="宋体" w:cs="Times New Roman"/>
                <w:color w:val="auto"/>
              </w:rPr>
            </w:pPr>
            <w:r>
              <w:rPr>
                <w:rFonts w:hAnsi="宋体" w:eastAsia="宋体" w:cs="Times New Roman"/>
                <w:color w:val="auto"/>
              </w:rPr>
              <w:t>表</w:t>
            </w:r>
            <w:r>
              <w:rPr>
                <w:rFonts w:eastAsia="宋体" w:cs="Times New Roman"/>
                <w:color w:val="auto"/>
              </w:rPr>
              <w:t>4</w:t>
            </w:r>
            <w:r>
              <w:rPr>
                <w:rFonts w:hint="eastAsia" w:eastAsia="宋体" w:cs="Times New Roman"/>
                <w:color w:val="auto"/>
              </w:rPr>
              <w:t>-3</w:t>
            </w:r>
            <w:r>
              <w:rPr>
                <w:rFonts w:hint="eastAsia" w:eastAsia="宋体" w:cs="Times New Roman"/>
                <w:color w:val="auto"/>
                <w:lang w:val="en-US" w:eastAsia="zh-CN"/>
              </w:rPr>
              <w:t>5</w:t>
            </w:r>
            <w:r>
              <w:rPr>
                <w:rFonts w:eastAsia="宋体" w:cs="Times New Roman"/>
                <w:color w:val="auto"/>
              </w:rPr>
              <w:t xml:space="preserve">  </w:t>
            </w:r>
            <w:r>
              <w:rPr>
                <w:rFonts w:hAnsi="宋体" w:eastAsia="宋体" w:cs="Times New Roman"/>
                <w:color w:val="auto"/>
              </w:rPr>
              <w:t>危险废物贮存场所（设施）基本情况表</w:t>
            </w:r>
          </w:p>
          <w:tbl>
            <w:tblPr>
              <w:tblStyle w:val="37"/>
              <w:tblW w:w="878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318"/>
              <w:gridCol w:w="990"/>
              <w:gridCol w:w="1277"/>
              <w:gridCol w:w="1312"/>
              <w:gridCol w:w="561"/>
              <w:gridCol w:w="751"/>
              <w:gridCol w:w="708"/>
              <w:gridCol w:w="720"/>
              <w:gridCol w:w="683"/>
            </w:tblGrid>
            <w:tr w14:paraId="333256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tcBorders>
                    <w:top w:val="single" w:color="auto" w:sz="8" w:space="0"/>
                    <w:left w:val="single" w:color="auto" w:sz="4" w:space="0"/>
                    <w:bottom w:val="single" w:color="auto" w:sz="4" w:space="0"/>
                  </w:tcBorders>
                  <w:vAlign w:val="center"/>
                </w:tcPr>
                <w:p w14:paraId="3F6059BA">
                  <w:pPr>
                    <w:topLinePunct/>
                    <w:adjustRightInd w:val="0"/>
                    <w:snapToGrid w:val="0"/>
                    <w:jc w:val="center"/>
                    <w:rPr>
                      <w:b/>
                      <w:color w:val="auto"/>
                      <w:kern w:val="0"/>
                      <w:szCs w:val="21"/>
                    </w:rPr>
                  </w:pPr>
                  <w:r>
                    <w:rPr>
                      <w:b/>
                      <w:color w:val="auto"/>
                      <w:kern w:val="0"/>
                      <w:szCs w:val="21"/>
                    </w:rPr>
                    <w:t>序号</w:t>
                  </w:r>
                </w:p>
              </w:tc>
              <w:tc>
                <w:tcPr>
                  <w:tcW w:w="1318" w:type="dxa"/>
                </w:tcPr>
                <w:p w14:paraId="32317A2B">
                  <w:pPr>
                    <w:topLinePunct/>
                    <w:adjustRightInd w:val="0"/>
                    <w:snapToGrid w:val="0"/>
                    <w:jc w:val="center"/>
                    <w:rPr>
                      <w:b/>
                      <w:color w:val="auto"/>
                      <w:kern w:val="0"/>
                      <w:szCs w:val="21"/>
                    </w:rPr>
                  </w:pPr>
                  <w:r>
                    <w:rPr>
                      <w:b/>
                      <w:color w:val="auto"/>
                      <w:kern w:val="0"/>
                      <w:szCs w:val="21"/>
                    </w:rPr>
                    <w:t>贮存场所（设施）名称</w:t>
                  </w:r>
                </w:p>
              </w:tc>
              <w:tc>
                <w:tcPr>
                  <w:tcW w:w="990" w:type="dxa"/>
                  <w:vAlign w:val="center"/>
                </w:tcPr>
                <w:p w14:paraId="42AC2864">
                  <w:pPr>
                    <w:topLinePunct/>
                    <w:adjustRightInd w:val="0"/>
                    <w:snapToGrid w:val="0"/>
                    <w:jc w:val="center"/>
                    <w:rPr>
                      <w:b/>
                      <w:color w:val="auto"/>
                      <w:kern w:val="0"/>
                      <w:szCs w:val="21"/>
                    </w:rPr>
                  </w:pPr>
                  <w:r>
                    <w:rPr>
                      <w:b/>
                      <w:color w:val="auto"/>
                      <w:kern w:val="0"/>
                      <w:szCs w:val="21"/>
                    </w:rPr>
                    <w:t>危险废物名称</w:t>
                  </w:r>
                </w:p>
              </w:tc>
              <w:tc>
                <w:tcPr>
                  <w:tcW w:w="1277" w:type="dxa"/>
                  <w:vAlign w:val="center"/>
                </w:tcPr>
                <w:p w14:paraId="23BEB526">
                  <w:pPr>
                    <w:topLinePunct/>
                    <w:adjustRightInd w:val="0"/>
                    <w:snapToGrid w:val="0"/>
                    <w:jc w:val="center"/>
                    <w:rPr>
                      <w:b/>
                      <w:color w:val="auto"/>
                      <w:kern w:val="0"/>
                      <w:szCs w:val="21"/>
                    </w:rPr>
                  </w:pPr>
                  <w:r>
                    <w:rPr>
                      <w:b/>
                      <w:color w:val="auto"/>
                      <w:kern w:val="0"/>
                      <w:szCs w:val="21"/>
                    </w:rPr>
                    <w:t>危险废物</w:t>
                  </w:r>
                </w:p>
                <w:p w14:paraId="49EE07D6">
                  <w:pPr>
                    <w:topLinePunct/>
                    <w:adjustRightInd w:val="0"/>
                    <w:snapToGrid w:val="0"/>
                    <w:jc w:val="center"/>
                    <w:rPr>
                      <w:b/>
                      <w:color w:val="auto"/>
                      <w:kern w:val="0"/>
                      <w:szCs w:val="21"/>
                    </w:rPr>
                  </w:pPr>
                  <w:r>
                    <w:rPr>
                      <w:b/>
                      <w:color w:val="auto"/>
                      <w:kern w:val="0"/>
                      <w:szCs w:val="21"/>
                    </w:rPr>
                    <w:t>类别</w:t>
                  </w:r>
                </w:p>
              </w:tc>
              <w:tc>
                <w:tcPr>
                  <w:tcW w:w="1312" w:type="dxa"/>
                  <w:vAlign w:val="center"/>
                </w:tcPr>
                <w:p w14:paraId="783B239C">
                  <w:pPr>
                    <w:topLinePunct/>
                    <w:adjustRightInd w:val="0"/>
                    <w:snapToGrid w:val="0"/>
                    <w:jc w:val="center"/>
                    <w:rPr>
                      <w:b/>
                      <w:color w:val="auto"/>
                      <w:kern w:val="0"/>
                      <w:szCs w:val="21"/>
                    </w:rPr>
                  </w:pPr>
                  <w:r>
                    <w:rPr>
                      <w:b/>
                      <w:color w:val="auto"/>
                      <w:kern w:val="0"/>
                      <w:szCs w:val="21"/>
                    </w:rPr>
                    <w:t>危险废物代码</w:t>
                  </w:r>
                </w:p>
              </w:tc>
              <w:tc>
                <w:tcPr>
                  <w:tcW w:w="561" w:type="dxa"/>
                  <w:vAlign w:val="center"/>
                </w:tcPr>
                <w:p w14:paraId="522F0415">
                  <w:pPr>
                    <w:topLinePunct/>
                    <w:adjustRightInd w:val="0"/>
                    <w:snapToGrid w:val="0"/>
                    <w:jc w:val="center"/>
                    <w:rPr>
                      <w:b/>
                      <w:color w:val="auto"/>
                      <w:kern w:val="0"/>
                      <w:szCs w:val="21"/>
                    </w:rPr>
                  </w:pPr>
                  <w:r>
                    <w:rPr>
                      <w:b/>
                      <w:color w:val="auto"/>
                      <w:kern w:val="0"/>
                      <w:szCs w:val="21"/>
                    </w:rPr>
                    <w:t>位置</w:t>
                  </w:r>
                </w:p>
              </w:tc>
              <w:tc>
                <w:tcPr>
                  <w:tcW w:w="751" w:type="dxa"/>
                  <w:vAlign w:val="center"/>
                </w:tcPr>
                <w:p w14:paraId="6C3BE736">
                  <w:pPr>
                    <w:topLinePunct/>
                    <w:adjustRightInd w:val="0"/>
                    <w:snapToGrid w:val="0"/>
                    <w:jc w:val="center"/>
                    <w:rPr>
                      <w:b/>
                      <w:color w:val="auto"/>
                      <w:kern w:val="0"/>
                      <w:szCs w:val="21"/>
                    </w:rPr>
                  </w:pPr>
                  <w:r>
                    <w:rPr>
                      <w:b/>
                      <w:color w:val="auto"/>
                      <w:kern w:val="0"/>
                      <w:szCs w:val="21"/>
                    </w:rPr>
                    <w:t>占地</w:t>
                  </w:r>
                </w:p>
                <w:p w14:paraId="1C800337">
                  <w:pPr>
                    <w:topLinePunct/>
                    <w:adjustRightInd w:val="0"/>
                    <w:snapToGrid w:val="0"/>
                    <w:jc w:val="center"/>
                    <w:rPr>
                      <w:b/>
                      <w:color w:val="auto"/>
                      <w:kern w:val="0"/>
                      <w:szCs w:val="21"/>
                    </w:rPr>
                  </w:pPr>
                  <w:r>
                    <w:rPr>
                      <w:b/>
                      <w:color w:val="auto"/>
                      <w:kern w:val="0"/>
                      <w:szCs w:val="21"/>
                    </w:rPr>
                    <w:t>面积</w:t>
                  </w:r>
                </w:p>
              </w:tc>
              <w:tc>
                <w:tcPr>
                  <w:tcW w:w="708" w:type="dxa"/>
                  <w:vAlign w:val="center"/>
                </w:tcPr>
                <w:p w14:paraId="05300E83">
                  <w:pPr>
                    <w:topLinePunct/>
                    <w:adjustRightInd w:val="0"/>
                    <w:snapToGrid w:val="0"/>
                    <w:jc w:val="center"/>
                    <w:rPr>
                      <w:b/>
                      <w:color w:val="auto"/>
                      <w:kern w:val="0"/>
                      <w:szCs w:val="21"/>
                    </w:rPr>
                  </w:pPr>
                  <w:r>
                    <w:rPr>
                      <w:b/>
                      <w:color w:val="auto"/>
                      <w:kern w:val="0"/>
                      <w:szCs w:val="21"/>
                    </w:rPr>
                    <w:t>贮存</w:t>
                  </w:r>
                </w:p>
                <w:p w14:paraId="2A8A73B8">
                  <w:pPr>
                    <w:topLinePunct/>
                    <w:adjustRightInd w:val="0"/>
                    <w:snapToGrid w:val="0"/>
                    <w:jc w:val="center"/>
                    <w:rPr>
                      <w:b/>
                      <w:color w:val="auto"/>
                      <w:kern w:val="0"/>
                      <w:szCs w:val="21"/>
                    </w:rPr>
                  </w:pPr>
                  <w:r>
                    <w:rPr>
                      <w:b/>
                      <w:color w:val="auto"/>
                      <w:kern w:val="0"/>
                      <w:szCs w:val="21"/>
                    </w:rPr>
                    <w:t>方式</w:t>
                  </w:r>
                </w:p>
              </w:tc>
              <w:tc>
                <w:tcPr>
                  <w:tcW w:w="720" w:type="dxa"/>
                  <w:vAlign w:val="center"/>
                </w:tcPr>
                <w:p w14:paraId="21FA9F04">
                  <w:pPr>
                    <w:topLinePunct/>
                    <w:adjustRightInd w:val="0"/>
                    <w:snapToGrid w:val="0"/>
                    <w:jc w:val="center"/>
                    <w:rPr>
                      <w:b/>
                      <w:color w:val="auto"/>
                      <w:kern w:val="0"/>
                      <w:szCs w:val="21"/>
                    </w:rPr>
                  </w:pPr>
                  <w:r>
                    <w:rPr>
                      <w:b/>
                      <w:color w:val="auto"/>
                      <w:kern w:val="0"/>
                      <w:szCs w:val="21"/>
                    </w:rPr>
                    <w:t>贮存</w:t>
                  </w:r>
                </w:p>
                <w:p w14:paraId="168D7B17">
                  <w:pPr>
                    <w:topLinePunct/>
                    <w:adjustRightInd w:val="0"/>
                    <w:snapToGrid w:val="0"/>
                    <w:jc w:val="center"/>
                    <w:rPr>
                      <w:b/>
                      <w:color w:val="auto"/>
                      <w:kern w:val="0"/>
                      <w:szCs w:val="21"/>
                    </w:rPr>
                  </w:pPr>
                  <w:r>
                    <w:rPr>
                      <w:b/>
                      <w:color w:val="auto"/>
                      <w:kern w:val="0"/>
                      <w:szCs w:val="21"/>
                    </w:rPr>
                    <w:t>能力</w:t>
                  </w:r>
                </w:p>
              </w:tc>
              <w:tc>
                <w:tcPr>
                  <w:tcW w:w="683" w:type="dxa"/>
                  <w:tcBorders>
                    <w:top w:val="single" w:color="auto" w:sz="8" w:space="0"/>
                    <w:bottom w:val="single" w:color="auto" w:sz="4" w:space="0"/>
                    <w:right w:val="single" w:color="auto" w:sz="4" w:space="0"/>
                  </w:tcBorders>
                  <w:vAlign w:val="center"/>
                </w:tcPr>
                <w:p w14:paraId="4CF0A8F9">
                  <w:pPr>
                    <w:topLinePunct/>
                    <w:adjustRightInd w:val="0"/>
                    <w:snapToGrid w:val="0"/>
                    <w:jc w:val="center"/>
                    <w:rPr>
                      <w:b/>
                      <w:color w:val="auto"/>
                      <w:kern w:val="0"/>
                      <w:szCs w:val="21"/>
                    </w:rPr>
                  </w:pPr>
                  <w:r>
                    <w:rPr>
                      <w:b/>
                      <w:color w:val="auto"/>
                      <w:kern w:val="0"/>
                      <w:szCs w:val="21"/>
                    </w:rPr>
                    <w:t>贮存</w:t>
                  </w:r>
                </w:p>
                <w:p w14:paraId="6C9DD390">
                  <w:pPr>
                    <w:topLinePunct/>
                    <w:adjustRightInd w:val="0"/>
                    <w:snapToGrid w:val="0"/>
                    <w:jc w:val="center"/>
                    <w:rPr>
                      <w:b/>
                      <w:color w:val="auto"/>
                      <w:kern w:val="0"/>
                      <w:szCs w:val="21"/>
                    </w:rPr>
                  </w:pPr>
                  <w:r>
                    <w:rPr>
                      <w:b/>
                      <w:color w:val="auto"/>
                      <w:kern w:val="0"/>
                      <w:szCs w:val="21"/>
                    </w:rPr>
                    <w:t>周期</w:t>
                  </w:r>
                </w:p>
              </w:tc>
            </w:tr>
            <w:tr w14:paraId="7AFBCD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tcBorders>
                    <w:top w:val="single" w:color="auto" w:sz="4" w:space="0"/>
                    <w:left w:val="single" w:color="auto" w:sz="4" w:space="0"/>
                    <w:bottom w:val="single" w:color="auto" w:sz="4" w:space="0"/>
                  </w:tcBorders>
                  <w:vAlign w:val="center"/>
                </w:tcPr>
                <w:p w14:paraId="6CC1AFB3">
                  <w:pPr>
                    <w:topLinePunct/>
                    <w:adjustRightInd w:val="0"/>
                    <w:snapToGrid w:val="0"/>
                    <w:jc w:val="center"/>
                    <w:rPr>
                      <w:rFonts w:hint="eastAsia" w:eastAsia="宋体"/>
                      <w:color w:val="auto"/>
                      <w:kern w:val="0"/>
                      <w:szCs w:val="21"/>
                      <w:lang w:eastAsia="zh-CN"/>
                    </w:rPr>
                  </w:pPr>
                  <w:r>
                    <w:rPr>
                      <w:rFonts w:hint="eastAsia"/>
                      <w:color w:val="auto"/>
                      <w:kern w:val="0"/>
                      <w:szCs w:val="21"/>
                      <w:lang w:val="en-US" w:eastAsia="zh-CN"/>
                    </w:rPr>
                    <w:t>1</w:t>
                  </w:r>
                </w:p>
              </w:tc>
              <w:tc>
                <w:tcPr>
                  <w:tcW w:w="1318" w:type="dxa"/>
                  <w:vMerge w:val="restart"/>
                  <w:vAlign w:val="center"/>
                </w:tcPr>
                <w:p w14:paraId="20175EF8">
                  <w:pPr>
                    <w:topLinePunct/>
                    <w:adjustRightInd w:val="0"/>
                    <w:snapToGrid w:val="0"/>
                    <w:jc w:val="center"/>
                    <w:rPr>
                      <w:color w:val="auto"/>
                      <w:kern w:val="0"/>
                      <w:szCs w:val="21"/>
                    </w:rPr>
                  </w:pPr>
                </w:p>
              </w:tc>
              <w:tc>
                <w:tcPr>
                  <w:tcW w:w="990" w:type="dxa"/>
                  <w:vAlign w:val="center"/>
                </w:tcPr>
                <w:p w14:paraId="466191F6">
                  <w:pPr>
                    <w:snapToGrid w:val="0"/>
                    <w:jc w:val="center"/>
                    <w:rPr>
                      <w:color w:val="auto"/>
                      <w:szCs w:val="21"/>
                    </w:rPr>
                  </w:pPr>
                  <w:r>
                    <w:rPr>
                      <w:color w:val="auto"/>
                      <w:szCs w:val="21"/>
                    </w:rPr>
                    <w:t>废润</w:t>
                  </w:r>
                </w:p>
                <w:p w14:paraId="65CA9827">
                  <w:pPr>
                    <w:snapToGrid w:val="0"/>
                    <w:jc w:val="center"/>
                    <w:rPr>
                      <w:color w:val="auto"/>
                      <w:szCs w:val="21"/>
                    </w:rPr>
                  </w:pPr>
                  <w:r>
                    <w:rPr>
                      <w:color w:val="auto"/>
                      <w:szCs w:val="21"/>
                    </w:rPr>
                    <w:t>滑油</w:t>
                  </w:r>
                </w:p>
              </w:tc>
              <w:tc>
                <w:tcPr>
                  <w:tcW w:w="1277" w:type="dxa"/>
                  <w:vAlign w:val="center"/>
                </w:tcPr>
                <w:p w14:paraId="35C2A8FC">
                  <w:pPr>
                    <w:jc w:val="left"/>
                    <w:rPr>
                      <w:color w:val="auto"/>
                      <w:szCs w:val="21"/>
                    </w:rPr>
                  </w:pPr>
                  <w:r>
                    <w:rPr>
                      <w:rFonts w:hint="eastAsia"/>
                      <w:color w:val="auto"/>
                      <w:szCs w:val="21"/>
                    </w:rPr>
                    <w:t>HW08废矿物油和含矿物油废物</w:t>
                  </w:r>
                </w:p>
              </w:tc>
              <w:tc>
                <w:tcPr>
                  <w:tcW w:w="1312" w:type="dxa"/>
                  <w:vAlign w:val="center"/>
                </w:tcPr>
                <w:p w14:paraId="7D7B4559">
                  <w:pPr>
                    <w:topLinePunct/>
                    <w:adjustRightInd w:val="0"/>
                    <w:snapToGrid w:val="0"/>
                    <w:jc w:val="center"/>
                    <w:rPr>
                      <w:color w:val="auto"/>
                      <w:szCs w:val="21"/>
                    </w:rPr>
                  </w:pPr>
                  <w:r>
                    <w:rPr>
                      <w:rFonts w:hint="eastAsia"/>
                      <w:color w:val="auto"/>
                    </w:rPr>
                    <w:t>900-249-08</w:t>
                  </w:r>
                </w:p>
              </w:tc>
              <w:tc>
                <w:tcPr>
                  <w:tcW w:w="561" w:type="dxa"/>
                  <w:vMerge w:val="restart"/>
                  <w:vAlign w:val="center"/>
                </w:tcPr>
                <w:p w14:paraId="7FC75DAF">
                  <w:pPr>
                    <w:topLinePunct/>
                    <w:adjustRightInd w:val="0"/>
                    <w:snapToGrid w:val="0"/>
                    <w:jc w:val="center"/>
                    <w:rPr>
                      <w:color w:val="auto"/>
                      <w:kern w:val="0"/>
                      <w:szCs w:val="21"/>
                    </w:rPr>
                  </w:pPr>
                </w:p>
              </w:tc>
              <w:tc>
                <w:tcPr>
                  <w:tcW w:w="751" w:type="dxa"/>
                  <w:vMerge w:val="restart"/>
                  <w:vAlign w:val="center"/>
                </w:tcPr>
                <w:p w14:paraId="239A75D7">
                  <w:pPr>
                    <w:topLinePunct/>
                    <w:adjustRightInd w:val="0"/>
                    <w:snapToGrid w:val="0"/>
                    <w:jc w:val="center"/>
                    <w:rPr>
                      <w:color w:val="auto"/>
                      <w:kern w:val="0"/>
                      <w:szCs w:val="21"/>
                    </w:rPr>
                  </w:pPr>
                </w:p>
              </w:tc>
              <w:tc>
                <w:tcPr>
                  <w:tcW w:w="708" w:type="dxa"/>
                  <w:vMerge w:val="restart"/>
                  <w:vAlign w:val="center"/>
                </w:tcPr>
                <w:p w14:paraId="5F97B15D">
                  <w:pPr>
                    <w:topLinePunct/>
                    <w:adjustRightInd w:val="0"/>
                    <w:snapToGrid w:val="0"/>
                    <w:jc w:val="center"/>
                    <w:rPr>
                      <w:color w:val="auto"/>
                      <w:kern w:val="0"/>
                      <w:szCs w:val="21"/>
                    </w:rPr>
                  </w:pPr>
                </w:p>
              </w:tc>
              <w:tc>
                <w:tcPr>
                  <w:tcW w:w="720" w:type="dxa"/>
                  <w:vAlign w:val="center"/>
                </w:tcPr>
                <w:p w14:paraId="2B7F9EE0">
                  <w:pPr>
                    <w:topLinePunct/>
                    <w:adjustRightInd w:val="0"/>
                    <w:snapToGrid w:val="0"/>
                    <w:jc w:val="center"/>
                    <w:rPr>
                      <w:color w:val="auto"/>
                      <w:kern w:val="0"/>
                      <w:szCs w:val="21"/>
                    </w:rPr>
                  </w:pPr>
                  <w:r>
                    <w:rPr>
                      <w:rFonts w:hint="eastAsia"/>
                      <w:color w:val="auto"/>
                      <w:kern w:val="0"/>
                      <w:szCs w:val="21"/>
                      <w:lang w:val="en-US" w:eastAsia="zh-CN"/>
                    </w:rPr>
                    <w:t>1.0</w:t>
                  </w:r>
                  <w:r>
                    <w:rPr>
                      <w:rFonts w:hint="eastAsia"/>
                      <w:color w:val="auto"/>
                      <w:kern w:val="0"/>
                      <w:szCs w:val="21"/>
                    </w:rPr>
                    <w:t>t</w:t>
                  </w:r>
                </w:p>
              </w:tc>
              <w:tc>
                <w:tcPr>
                  <w:tcW w:w="683" w:type="dxa"/>
                  <w:tcBorders>
                    <w:top w:val="single" w:color="auto" w:sz="4" w:space="0"/>
                    <w:bottom w:val="single" w:color="auto" w:sz="4" w:space="0"/>
                    <w:right w:val="single" w:color="auto" w:sz="4" w:space="0"/>
                  </w:tcBorders>
                  <w:vAlign w:val="center"/>
                </w:tcPr>
                <w:p w14:paraId="295227B3">
                  <w:pPr>
                    <w:topLinePunct/>
                    <w:adjustRightInd w:val="0"/>
                    <w:snapToGrid w:val="0"/>
                    <w:jc w:val="center"/>
                    <w:rPr>
                      <w:color w:val="auto"/>
                      <w:kern w:val="0"/>
                      <w:szCs w:val="21"/>
                    </w:rPr>
                  </w:pPr>
                  <w:r>
                    <w:rPr>
                      <w:rFonts w:hint="eastAsia"/>
                      <w:color w:val="auto"/>
                      <w:kern w:val="0"/>
                      <w:szCs w:val="21"/>
                    </w:rPr>
                    <w:t>150d</w:t>
                  </w:r>
                </w:p>
              </w:tc>
            </w:tr>
            <w:tr w14:paraId="590B39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tcBorders>
                    <w:top w:val="single" w:color="auto" w:sz="4" w:space="0"/>
                    <w:left w:val="single" w:color="auto" w:sz="4" w:space="0"/>
                    <w:bottom w:val="single" w:color="auto" w:sz="4" w:space="0"/>
                  </w:tcBorders>
                  <w:vAlign w:val="center"/>
                </w:tcPr>
                <w:p w14:paraId="6D2B61C0">
                  <w:pPr>
                    <w:topLinePunct/>
                    <w:adjustRightInd w:val="0"/>
                    <w:snapToGrid w:val="0"/>
                    <w:jc w:val="center"/>
                    <w:rPr>
                      <w:rFonts w:hint="eastAsia" w:eastAsia="宋体"/>
                      <w:color w:val="auto"/>
                      <w:kern w:val="0"/>
                      <w:szCs w:val="21"/>
                      <w:lang w:eastAsia="zh-CN"/>
                    </w:rPr>
                  </w:pPr>
                  <w:r>
                    <w:rPr>
                      <w:rFonts w:hint="eastAsia"/>
                      <w:color w:val="auto"/>
                      <w:kern w:val="0"/>
                      <w:szCs w:val="21"/>
                      <w:lang w:val="en-US" w:eastAsia="zh-CN"/>
                    </w:rPr>
                    <w:t>2</w:t>
                  </w:r>
                </w:p>
              </w:tc>
              <w:tc>
                <w:tcPr>
                  <w:tcW w:w="1318" w:type="dxa"/>
                  <w:vMerge w:val="continue"/>
                  <w:vAlign w:val="center"/>
                </w:tcPr>
                <w:p w14:paraId="40824A73">
                  <w:pPr>
                    <w:topLinePunct/>
                    <w:adjustRightInd w:val="0"/>
                    <w:snapToGrid w:val="0"/>
                    <w:jc w:val="center"/>
                    <w:rPr>
                      <w:color w:val="auto"/>
                      <w:kern w:val="0"/>
                      <w:szCs w:val="21"/>
                    </w:rPr>
                  </w:pPr>
                </w:p>
              </w:tc>
              <w:tc>
                <w:tcPr>
                  <w:tcW w:w="990" w:type="dxa"/>
                  <w:vAlign w:val="center"/>
                </w:tcPr>
                <w:p w14:paraId="61A6D695">
                  <w:pPr>
                    <w:snapToGrid w:val="0"/>
                    <w:jc w:val="left"/>
                    <w:rPr>
                      <w:color w:val="auto"/>
                      <w:szCs w:val="21"/>
                    </w:rPr>
                  </w:pPr>
                  <w:r>
                    <w:rPr>
                      <w:rFonts w:hint="eastAsia"/>
                      <w:color w:val="auto"/>
                      <w:szCs w:val="21"/>
                    </w:rPr>
                    <w:t>废含油抹布、劳保用品</w:t>
                  </w:r>
                </w:p>
              </w:tc>
              <w:tc>
                <w:tcPr>
                  <w:tcW w:w="1277" w:type="dxa"/>
                  <w:vAlign w:val="center"/>
                </w:tcPr>
                <w:p w14:paraId="35AA6339">
                  <w:pPr>
                    <w:snapToGrid w:val="0"/>
                    <w:jc w:val="center"/>
                    <w:rPr>
                      <w:color w:val="auto"/>
                      <w:szCs w:val="21"/>
                    </w:rPr>
                  </w:pPr>
                  <w:r>
                    <w:rPr>
                      <w:rFonts w:hint="eastAsia"/>
                      <w:color w:val="auto"/>
                      <w:szCs w:val="21"/>
                    </w:rPr>
                    <w:t>HW49</w:t>
                  </w:r>
                </w:p>
                <w:p w14:paraId="321691E3">
                  <w:pPr>
                    <w:snapToGrid w:val="0"/>
                    <w:jc w:val="center"/>
                    <w:rPr>
                      <w:color w:val="auto"/>
                      <w:szCs w:val="21"/>
                    </w:rPr>
                  </w:pPr>
                  <w:r>
                    <w:rPr>
                      <w:rFonts w:hint="eastAsia"/>
                      <w:color w:val="auto"/>
                      <w:szCs w:val="21"/>
                    </w:rPr>
                    <w:t>其他废物</w:t>
                  </w:r>
                </w:p>
              </w:tc>
              <w:tc>
                <w:tcPr>
                  <w:tcW w:w="1312" w:type="dxa"/>
                  <w:vAlign w:val="center"/>
                </w:tcPr>
                <w:p w14:paraId="26167CD0">
                  <w:pPr>
                    <w:snapToGrid w:val="0"/>
                    <w:jc w:val="center"/>
                    <w:rPr>
                      <w:color w:val="auto"/>
                    </w:rPr>
                  </w:pPr>
                  <w:r>
                    <w:rPr>
                      <w:rFonts w:hint="eastAsia"/>
                      <w:color w:val="auto"/>
                      <w:szCs w:val="21"/>
                    </w:rPr>
                    <w:t>900-041-49</w:t>
                  </w:r>
                </w:p>
              </w:tc>
              <w:tc>
                <w:tcPr>
                  <w:tcW w:w="561" w:type="dxa"/>
                  <w:vMerge w:val="continue"/>
                  <w:vAlign w:val="center"/>
                </w:tcPr>
                <w:p w14:paraId="75CDB0A5">
                  <w:pPr>
                    <w:topLinePunct/>
                    <w:adjustRightInd w:val="0"/>
                    <w:snapToGrid w:val="0"/>
                    <w:jc w:val="center"/>
                    <w:rPr>
                      <w:color w:val="auto"/>
                      <w:kern w:val="0"/>
                      <w:szCs w:val="21"/>
                    </w:rPr>
                  </w:pPr>
                </w:p>
              </w:tc>
              <w:tc>
                <w:tcPr>
                  <w:tcW w:w="751" w:type="dxa"/>
                  <w:vMerge w:val="continue"/>
                  <w:vAlign w:val="center"/>
                </w:tcPr>
                <w:p w14:paraId="24DC24AB">
                  <w:pPr>
                    <w:topLinePunct/>
                    <w:adjustRightInd w:val="0"/>
                    <w:snapToGrid w:val="0"/>
                    <w:jc w:val="center"/>
                    <w:rPr>
                      <w:color w:val="auto"/>
                      <w:kern w:val="0"/>
                      <w:szCs w:val="21"/>
                    </w:rPr>
                  </w:pPr>
                </w:p>
              </w:tc>
              <w:tc>
                <w:tcPr>
                  <w:tcW w:w="708" w:type="dxa"/>
                  <w:vMerge w:val="continue"/>
                  <w:vAlign w:val="center"/>
                </w:tcPr>
                <w:p w14:paraId="1E953AD5">
                  <w:pPr>
                    <w:topLinePunct/>
                    <w:adjustRightInd w:val="0"/>
                    <w:snapToGrid w:val="0"/>
                    <w:jc w:val="center"/>
                    <w:rPr>
                      <w:color w:val="auto"/>
                      <w:kern w:val="0"/>
                      <w:szCs w:val="21"/>
                    </w:rPr>
                  </w:pPr>
                </w:p>
              </w:tc>
              <w:tc>
                <w:tcPr>
                  <w:tcW w:w="720" w:type="dxa"/>
                  <w:vAlign w:val="center"/>
                </w:tcPr>
                <w:p w14:paraId="4A7E49CD">
                  <w:pPr>
                    <w:snapToGrid w:val="0"/>
                    <w:jc w:val="center"/>
                    <w:rPr>
                      <w:color w:val="auto"/>
                      <w:kern w:val="0"/>
                      <w:szCs w:val="21"/>
                    </w:rPr>
                  </w:pPr>
                  <w:r>
                    <w:rPr>
                      <w:rFonts w:hint="eastAsia"/>
                      <w:color w:val="auto"/>
                      <w:szCs w:val="21"/>
                    </w:rPr>
                    <w:t>1.0t</w:t>
                  </w:r>
                </w:p>
              </w:tc>
              <w:tc>
                <w:tcPr>
                  <w:tcW w:w="683" w:type="dxa"/>
                  <w:tcBorders>
                    <w:top w:val="single" w:color="auto" w:sz="4" w:space="0"/>
                    <w:bottom w:val="single" w:color="auto" w:sz="4" w:space="0"/>
                    <w:right w:val="single" w:color="auto" w:sz="4" w:space="0"/>
                  </w:tcBorders>
                  <w:vAlign w:val="center"/>
                </w:tcPr>
                <w:p w14:paraId="7E78729C">
                  <w:pPr>
                    <w:snapToGrid w:val="0"/>
                    <w:jc w:val="center"/>
                    <w:rPr>
                      <w:color w:val="auto"/>
                      <w:kern w:val="0"/>
                      <w:szCs w:val="21"/>
                    </w:rPr>
                  </w:pPr>
                  <w:r>
                    <w:rPr>
                      <w:rFonts w:hint="eastAsia"/>
                      <w:color w:val="auto"/>
                      <w:szCs w:val="21"/>
                    </w:rPr>
                    <w:t>150d</w:t>
                  </w:r>
                </w:p>
              </w:tc>
            </w:tr>
            <w:tr w14:paraId="18F2C5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tcBorders>
                    <w:top w:val="single" w:color="auto" w:sz="4" w:space="0"/>
                    <w:left w:val="single" w:color="auto" w:sz="4" w:space="0"/>
                    <w:bottom w:val="single" w:color="auto" w:sz="4" w:space="0"/>
                  </w:tcBorders>
                  <w:vAlign w:val="center"/>
                </w:tcPr>
                <w:p w14:paraId="6021F892">
                  <w:pPr>
                    <w:topLinePunct/>
                    <w:adjustRightInd w:val="0"/>
                    <w:snapToGrid w:val="0"/>
                    <w:jc w:val="center"/>
                    <w:rPr>
                      <w:rFonts w:hint="eastAsia" w:eastAsia="宋体"/>
                      <w:color w:val="auto"/>
                      <w:kern w:val="0"/>
                      <w:szCs w:val="21"/>
                      <w:lang w:eastAsia="zh-CN"/>
                    </w:rPr>
                  </w:pPr>
                  <w:r>
                    <w:rPr>
                      <w:rFonts w:hint="eastAsia"/>
                      <w:color w:val="auto"/>
                      <w:kern w:val="0"/>
                      <w:szCs w:val="21"/>
                      <w:lang w:val="en-US" w:eastAsia="zh-CN"/>
                    </w:rPr>
                    <w:t>3</w:t>
                  </w:r>
                </w:p>
              </w:tc>
              <w:tc>
                <w:tcPr>
                  <w:tcW w:w="1318" w:type="dxa"/>
                  <w:vMerge w:val="continue"/>
                  <w:vAlign w:val="center"/>
                </w:tcPr>
                <w:p w14:paraId="27A16FE6">
                  <w:pPr>
                    <w:topLinePunct/>
                    <w:adjustRightInd w:val="0"/>
                    <w:snapToGrid w:val="0"/>
                    <w:jc w:val="center"/>
                    <w:rPr>
                      <w:color w:val="auto"/>
                      <w:kern w:val="0"/>
                      <w:szCs w:val="21"/>
                    </w:rPr>
                  </w:pPr>
                </w:p>
              </w:tc>
              <w:tc>
                <w:tcPr>
                  <w:tcW w:w="990" w:type="dxa"/>
                  <w:vAlign w:val="center"/>
                </w:tcPr>
                <w:p w14:paraId="68756DA3">
                  <w:pPr>
                    <w:snapToGrid w:val="0"/>
                    <w:jc w:val="center"/>
                    <w:rPr>
                      <w:color w:val="auto"/>
                      <w:szCs w:val="21"/>
                    </w:rPr>
                  </w:pPr>
                  <w:r>
                    <w:rPr>
                      <w:rFonts w:hint="eastAsia"/>
                      <w:color w:val="auto"/>
                      <w:szCs w:val="21"/>
                    </w:rPr>
                    <w:t>废油桶</w:t>
                  </w:r>
                </w:p>
              </w:tc>
              <w:tc>
                <w:tcPr>
                  <w:tcW w:w="1277" w:type="dxa"/>
                  <w:vAlign w:val="center"/>
                </w:tcPr>
                <w:p w14:paraId="11375537">
                  <w:pPr>
                    <w:jc w:val="left"/>
                    <w:rPr>
                      <w:color w:val="auto"/>
                      <w:kern w:val="0"/>
                      <w:szCs w:val="21"/>
                    </w:rPr>
                  </w:pPr>
                  <w:r>
                    <w:rPr>
                      <w:rFonts w:hint="eastAsia"/>
                      <w:color w:val="auto"/>
                      <w:szCs w:val="21"/>
                    </w:rPr>
                    <w:t>HW08废矿物油和含矿物油废物</w:t>
                  </w:r>
                </w:p>
              </w:tc>
              <w:tc>
                <w:tcPr>
                  <w:tcW w:w="1312" w:type="dxa"/>
                  <w:vAlign w:val="center"/>
                </w:tcPr>
                <w:p w14:paraId="19A08F17">
                  <w:pPr>
                    <w:topLinePunct/>
                    <w:adjustRightInd w:val="0"/>
                    <w:snapToGrid w:val="0"/>
                    <w:jc w:val="center"/>
                    <w:rPr>
                      <w:rFonts w:hAnsi="宋体"/>
                      <w:color w:val="auto"/>
                      <w:szCs w:val="21"/>
                    </w:rPr>
                  </w:pPr>
                  <w:r>
                    <w:rPr>
                      <w:rFonts w:hint="eastAsia"/>
                      <w:color w:val="auto"/>
                    </w:rPr>
                    <w:t>900-249-08</w:t>
                  </w:r>
                </w:p>
              </w:tc>
              <w:tc>
                <w:tcPr>
                  <w:tcW w:w="561" w:type="dxa"/>
                  <w:vMerge w:val="continue"/>
                  <w:vAlign w:val="center"/>
                </w:tcPr>
                <w:p w14:paraId="6BD17751">
                  <w:pPr>
                    <w:topLinePunct/>
                    <w:adjustRightInd w:val="0"/>
                    <w:snapToGrid w:val="0"/>
                    <w:jc w:val="center"/>
                    <w:rPr>
                      <w:color w:val="auto"/>
                      <w:szCs w:val="21"/>
                    </w:rPr>
                  </w:pPr>
                </w:p>
              </w:tc>
              <w:tc>
                <w:tcPr>
                  <w:tcW w:w="751" w:type="dxa"/>
                  <w:vMerge w:val="continue"/>
                  <w:vAlign w:val="center"/>
                </w:tcPr>
                <w:p w14:paraId="03A7999D">
                  <w:pPr>
                    <w:topLinePunct/>
                    <w:adjustRightInd w:val="0"/>
                    <w:snapToGrid w:val="0"/>
                    <w:jc w:val="center"/>
                    <w:rPr>
                      <w:color w:val="auto"/>
                      <w:kern w:val="0"/>
                      <w:szCs w:val="21"/>
                    </w:rPr>
                  </w:pPr>
                </w:p>
              </w:tc>
              <w:tc>
                <w:tcPr>
                  <w:tcW w:w="708" w:type="dxa"/>
                  <w:vMerge w:val="continue"/>
                  <w:vAlign w:val="center"/>
                </w:tcPr>
                <w:p w14:paraId="36077C66">
                  <w:pPr>
                    <w:topLinePunct/>
                    <w:adjustRightInd w:val="0"/>
                    <w:snapToGrid w:val="0"/>
                    <w:jc w:val="center"/>
                    <w:rPr>
                      <w:color w:val="auto"/>
                      <w:kern w:val="0"/>
                      <w:szCs w:val="21"/>
                    </w:rPr>
                  </w:pPr>
                </w:p>
              </w:tc>
              <w:tc>
                <w:tcPr>
                  <w:tcW w:w="720" w:type="dxa"/>
                  <w:vAlign w:val="center"/>
                </w:tcPr>
                <w:p w14:paraId="0A10D7D0">
                  <w:pPr>
                    <w:topLinePunct/>
                    <w:adjustRightInd w:val="0"/>
                    <w:snapToGrid w:val="0"/>
                    <w:jc w:val="center"/>
                    <w:rPr>
                      <w:color w:val="auto"/>
                      <w:kern w:val="0"/>
                      <w:szCs w:val="21"/>
                    </w:rPr>
                  </w:pPr>
                  <w:r>
                    <w:rPr>
                      <w:rFonts w:hint="eastAsia"/>
                      <w:color w:val="auto"/>
                      <w:kern w:val="0"/>
                      <w:szCs w:val="21"/>
                    </w:rPr>
                    <w:t>0.1t</w:t>
                  </w:r>
                </w:p>
              </w:tc>
              <w:tc>
                <w:tcPr>
                  <w:tcW w:w="683" w:type="dxa"/>
                  <w:tcBorders>
                    <w:top w:val="single" w:color="auto" w:sz="4" w:space="0"/>
                    <w:bottom w:val="single" w:color="auto" w:sz="4" w:space="0"/>
                    <w:right w:val="single" w:color="auto" w:sz="4" w:space="0"/>
                  </w:tcBorders>
                  <w:vAlign w:val="center"/>
                </w:tcPr>
                <w:p w14:paraId="4FF7AFE5">
                  <w:pPr>
                    <w:topLinePunct/>
                    <w:adjustRightInd w:val="0"/>
                    <w:snapToGrid w:val="0"/>
                    <w:jc w:val="center"/>
                    <w:rPr>
                      <w:color w:val="auto"/>
                      <w:kern w:val="0"/>
                      <w:szCs w:val="21"/>
                    </w:rPr>
                  </w:pPr>
                  <w:r>
                    <w:rPr>
                      <w:rFonts w:hint="eastAsia"/>
                      <w:color w:val="auto"/>
                      <w:kern w:val="0"/>
                      <w:szCs w:val="21"/>
                    </w:rPr>
                    <w:t>150d</w:t>
                  </w:r>
                </w:p>
              </w:tc>
            </w:tr>
            <w:tr w14:paraId="3DCE99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dxa"/>
                  <w:tcBorders>
                    <w:top w:val="single" w:color="auto" w:sz="4" w:space="0"/>
                    <w:left w:val="single" w:color="auto" w:sz="4" w:space="0"/>
                    <w:bottom w:val="single" w:color="auto" w:sz="4" w:space="0"/>
                  </w:tcBorders>
                  <w:vAlign w:val="center"/>
                </w:tcPr>
                <w:p w14:paraId="6832DE27">
                  <w:pPr>
                    <w:topLinePunct/>
                    <w:adjustRightInd w:val="0"/>
                    <w:snapToGrid w:val="0"/>
                    <w:jc w:val="center"/>
                    <w:rPr>
                      <w:rFonts w:hint="eastAsia" w:eastAsia="宋体"/>
                      <w:color w:val="auto"/>
                      <w:kern w:val="0"/>
                      <w:szCs w:val="21"/>
                      <w:lang w:eastAsia="zh-CN"/>
                    </w:rPr>
                  </w:pPr>
                  <w:r>
                    <w:rPr>
                      <w:rFonts w:hint="eastAsia"/>
                      <w:color w:val="auto"/>
                      <w:kern w:val="0"/>
                      <w:szCs w:val="21"/>
                      <w:lang w:val="en-US" w:eastAsia="zh-CN"/>
                    </w:rPr>
                    <w:t>4</w:t>
                  </w:r>
                </w:p>
              </w:tc>
              <w:tc>
                <w:tcPr>
                  <w:tcW w:w="1318" w:type="dxa"/>
                  <w:vMerge w:val="continue"/>
                  <w:vAlign w:val="center"/>
                </w:tcPr>
                <w:p w14:paraId="58513D71">
                  <w:pPr>
                    <w:topLinePunct/>
                    <w:adjustRightInd w:val="0"/>
                    <w:snapToGrid w:val="0"/>
                    <w:jc w:val="center"/>
                    <w:rPr>
                      <w:color w:val="auto"/>
                      <w:kern w:val="0"/>
                      <w:szCs w:val="21"/>
                    </w:rPr>
                  </w:pPr>
                </w:p>
              </w:tc>
              <w:tc>
                <w:tcPr>
                  <w:tcW w:w="990" w:type="dxa"/>
                  <w:vAlign w:val="center"/>
                </w:tcPr>
                <w:p w14:paraId="37C9EE32">
                  <w:pPr>
                    <w:snapToGrid w:val="0"/>
                    <w:jc w:val="center"/>
                    <w:rPr>
                      <w:color w:val="auto"/>
                      <w:szCs w:val="21"/>
                    </w:rPr>
                  </w:pPr>
                  <w:r>
                    <w:rPr>
                      <w:rFonts w:hint="eastAsia"/>
                      <w:color w:val="auto"/>
                      <w:szCs w:val="21"/>
                    </w:rPr>
                    <w:t>废活</w:t>
                  </w:r>
                </w:p>
                <w:p w14:paraId="4A87E0D2">
                  <w:pPr>
                    <w:snapToGrid w:val="0"/>
                    <w:jc w:val="center"/>
                    <w:rPr>
                      <w:color w:val="auto"/>
                      <w:szCs w:val="21"/>
                    </w:rPr>
                  </w:pPr>
                  <w:r>
                    <w:rPr>
                      <w:rFonts w:hint="eastAsia"/>
                      <w:color w:val="auto"/>
                      <w:szCs w:val="21"/>
                    </w:rPr>
                    <w:t>性炭</w:t>
                  </w:r>
                </w:p>
              </w:tc>
              <w:tc>
                <w:tcPr>
                  <w:tcW w:w="1277" w:type="dxa"/>
                  <w:vAlign w:val="center"/>
                </w:tcPr>
                <w:p w14:paraId="5BDB9A5E">
                  <w:pPr>
                    <w:topLinePunct/>
                    <w:adjustRightInd w:val="0"/>
                    <w:snapToGrid w:val="0"/>
                    <w:jc w:val="center"/>
                    <w:rPr>
                      <w:color w:val="auto"/>
                      <w:szCs w:val="21"/>
                    </w:rPr>
                  </w:pPr>
                  <w:r>
                    <w:rPr>
                      <w:color w:val="auto"/>
                      <w:szCs w:val="21"/>
                    </w:rPr>
                    <w:t>HW49</w:t>
                  </w:r>
                </w:p>
                <w:p w14:paraId="16B34A6A">
                  <w:pPr>
                    <w:topLinePunct/>
                    <w:adjustRightInd w:val="0"/>
                    <w:snapToGrid w:val="0"/>
                    <w:jc w:val="center"/>
                    <w:rPr>
                      <w:rFonts w:hAnsi="宋体"/>
                      <w:color w:val="auto"/>
                      <w:szCs w:val="21"/>
                    </w:rPr>
                  </w:pPr>
                  <w:r>
                    <w:rPr>
                      <w:color w:val="auto"/>
                      <w:szCs w:val="21"/>
                    </w:rPr>
                    <w:t>其他废物</w:t>
                  </w:r>
                </w:p>
              </w:tc>
              <w:tc>
                <w:tcPr>
                  <w:tcW w:w="1312" w:type="dxa"/>
                  <w:vAlign w:val="center"/>
                </w:tcPr>
                <w:p w14:paraId="11F93FC4">
                  <w:pPr>
                    <w:topLinePunct/>
                    <w:adjustRightInd w:val="0"/>
                    <w:snapToGrid w:val="0"/>
                    <w:jc w:val="center"/>
                    <w:rPr>
                      <w:color w:val="auto"/>
                      <w:szCs w:val="21"/>
                    </w:rPr>
                  </w:pPr>
                  <w:r>
                    <w:rPr>
                      <w:color w:val="auto"/>
                      <w:szCs w:val="21"/>
                    </w:rPr>
                    <w:t>900-0</w:t>
                  </w:r>
                  <w:r>
                    <w:rPr>
                      <w:rFonts w:hint="eastAsia"/>
                      <w:color w:val="auto"/>
                      <w:szCs w:val="21"/>
                    </w:rPr>
                    <w:t>39</w:t>
                  </w:r>
                  <w:r>
                    <w:rPr>
                      <w:color w:val="auto"/>
                      <w:szCs w:val="21"/>
                    </w:rPr>
                    <w:t>-49</w:t>
                  </w:r>
                </w:p>
              </w:tc>
              <w:tc>
                <w:tcPr>
                  <w:tcW w:w="561" w:type="dxa"/>
                  <w:vMerge w:val="continue"/>
                  <w:vAlign w:val="center"/>
                </w:tcPr>
                <w:p w14:paraId="3476E4AB">
                  <w:pPr>
                    <w:topLinePunct/>
                    <w:adjustRightInd w:val="0"/>
                    <w:snapToGrid w:val="0"/>
                    <w:jc w:val="center"/>
                    <w:rPr>
                      <w:color w:val="auto"/>
                      <w:szCs w:val="21"/>
                    </w:rPr>
                  </w:pPr>
                </w:p>
              </w:tc>
              <w:tc>
                <w:tcPr>
                  <w:tcW w:w="751" w:type="dxa"/>
                  <w:vMerge w:val="continue"/>
                  <w:vAlign w:val="center"/>
                </w:tcPr>
                <w:p w14:paraId="346E93CA">
                  <w:pPr>
                    <w:topLinePunct/>
                    <w:adjustRightInd w:val="0"/>
                    <w:snapToGrid w:val="0"/>
                    <w:jc w:val="center"/>
                    <w:rPr>
                      <w:color w:val="auto"/>
                      <w:kern w:val="0"/>
                      <w:szCs w:val="21"/>
                    </w:rPr>
                  </w:pPr>
                </w:p>
              </w:tc>
              <w:tc>
                <w:tcPr>
                  <w:tcW w:w="708" w:type="dxa"/>
                  <w:vMerge w:val="continue"/>
                  <w:vAlign w:val="center"/>
                </w:tcPr>
                <w:p w14:paraId="10CAE7B3">
                  <w:pPr>
                    <w:topLinePunct/>
                    <w:adjustRightInd w:val="0"/>
                    <w:snapToGrid w:val="0"/>
                    <w:jc w:val="center"/>
                    <w:rPr>
                      <w:color w:val="auto"/>
                      <w:kern w:val="0"/>
                      <w:szCs w:val="21"/>
                    </w:rPr>
                  </w:pPr>
                </w:p>
              </w:tc>
              <w:tc>
                <w:tcPr>
                  <w:tcW w:w="720" w:type="dxa"/>
                  <w:vAlign w:val="center"/>
                </w:tcPr>
                <w:p w14:paraId="7FE4785B">
                  <w:pPr>
                    <w:topLinePunct/>
                    <w:adjustRightInd w:val="0"/>
                    <w:snapToGrid w:val="0"/>
                    <w:jc w:val="center"/>
                    <w:rPr>
                      <w:color w:val="auto"/>
                      <w:kern w:val="0"/>
                      <w:szCs w:val="21"/>
                    </w:rPr>
                  </w:pPr>
                  <w:r>
                    <w:rPr>
                      <w:rFonts w:hint="eastAsia"/>
                      <w:color w:val="auto"/>
                      <w:kern w:val="0"/>
                      <w:szCs w:val="21"/>
                      <w:lang w:val="en-US" w:eastAsia="zh-CN"/>
                    </w:rPr>
                    <w:t>8</w:t>
                  </w:r>
                  <w:r>
                    <w:rPr>
                      <w:rFonts w:hint="eastAsia"/>
                      <w:color w:val="auto"/>
                      <w:kern w:val="0"/>
                      <w:szCs w:val="21"/>
                    </w:rPr>
                    <w:t>.0t</w:t>
                  </w:r>
                </w:p>
              </w:tc>
              <w:tc>
                <w:tcPr>
                  <w:tcW w:w="683" w:type="dxa"/>
                  <w:tcBorders>
                    <w:top w:val="single" w:color="auto" w:sz="4" w:space="0"/>
                    <w:bottom w:val="single" w:color="auto" w:sz="4" w:space="0"/>
                    <w:right w:val="single" w:color="auto" w:sz="4" w:space="0"/>
                  </w:tcBorders>
                  <w:vAlign w:val="center"/>
                </w:tcPr>
                <w:p w14:paraId="56BED57D">
                  <w:pPr>
                    <w:topLinePunct/>
                    <w:adjustRightInd w:val="0"/>
                    <w:snapToGrid w:val="0"/>
                    <w:jc w:val="center"/>
                    <w:rPr>
                      <w:color w:val="auto"/>
                      <w:kern w:val="0"/>
                      <w:szCs w:val="21"/>
                    </w:rPr>
                  </w:pPr>
                  <w:r>
                    <w:rPr>
                      <w:rFonts w:hint="eastAsia"/>
                      <w:color w:val="auto"/>
                      <w:kern w:val="0"/>
                      <w:szCs w:val="21"/>
                    </w:rPr>
                    <w:t>150d</w:t>
                  </w:r>
                </w:p>
              </w:tc>
            </w:tr>
          </w:tbl>
          <w:p w14:paraId="385620D0">
            <w:pPr>
              <w:pStyle w:val="96"/>
              <w:spacing w:line="430" w:lineRule="exact"/>
              <w:ind w:firstLine="480"/>
              <w:rPr>
                <w:rFonts w:hAnsi="宋体" w:eastAsia="宋体"/>
                <w:color w:val="auto"/>
              </w:rPr>
            </w:pPr>
            <w:r>
              <w:rPr>
                <w:rFonts w:hint="eastAsia" w:eastAsia="宋体"/>
                <w:color w:val="auto"/>
              </w:rPr>
              <w:t>b</w:t>
            </w:r>
            <w:r>
              <w:rPr>
                <w:rFonts w:hAnsi="宋体" w:eastAsia="宋体"/>
                <w:color w:val="auto"/>
              </w:rPr>
              <w:t>、危废运输过程管理要求。</w:t>
            </w:r>
          </w:p>
          <w:p w14:paraId="2E9B463B">
            <w:pPr>
              <w:pStyle w:val="96"/>
              <w:spacing w:line="430" w:lineRule="exact"/>
              <w:ind w:firstLine="480"/>
              <w:rPr>
                <w:rFonts w:eastAsia="宋体"/>
                <w:color w:val="auto"/>
              </w:rPr>
            </w:pPr>
            <w:r>
              <w:rPr>
                <w:rFonts w:hAnsi="宋体" w:eastAsia="宋体"/>
                <w:color w:val="auto"/>
              </w:rPr>
              <w:t>本项目危险废物运输路线尽量避开居民小区、学校、水源保护区等敏感目标，同时制定相应的事故应急预案并配备必要的事故应急物质，做好风险防范工作。只要加强运输管理，不会对运输沿线敏感目标产生较大影响。</w:t>
            </w:r>
          </w:p>
          <w:p w14:paraId="251A3778">
            <w:pPr>
              <w:pStyle w:val="96"/>
              <w:spacing w:line="430" w:lineRule="exact"/>
              <w:ind w:firstLine="480"/>
              <w:rPr>
                <w:rFonts w:hAnsi="宋体" w:eastAsia="宋体"/>
                <w:color w:val="auto"/>
              </w:rPr>
            </w:pPr>
            <w:r>
              <w:rPr>
                <w:rFonts w:hint="eastAsia" w:eastAsia="宋体"/>
                <w:color w:val="auto"/>
              </w:rPr>
              <w:t>c</w:t>
            </w:r>
            <w:r>
              <w:rPr>
                <w:rFonts w:hAnsi="宋体" w:eastAsia="宋体"/>
                <w:color w:val="auto"/>
              </w:rPr>
              <w:t>、危废委托利用或处置管理要求。</w:t>
            </w:r>
          </w:p>
          <w:p w14:paraId="0D34979B">
            <w:pPr>
              <w:pStyle w:val="4"/>
              <w:shd w:val="clear" w:color="auto" w:fill="FFFFFF"/>
              <w:spacing w:before="0" w:after="0" w:line="430" w:lineRule="exact"/>
              <w:ind w:left="0" w:firstLine="0"/>
              <w:rPr>
                <w:b/>
                <w:bCs/>
                <w:color w:val="auto"/>
                <w:szCs w:val="21"/>
              </w:rPr>
            </w:pPr>
            <w:r>
              <w:rPr>
                <w:rFonts w:hint="eastAsia"/>
                <w:color w:val="auto"/>
                <w:sz w:val="24"/>
              </w:rPr>
              <w:t xml:space="preserve">    </w:t>
            </w:r>
            <w:bookmarkStart w:id="13" w:name="_Toc21862"/>
            <w:r>
              <w:rPr>
                <w:rFonts w:hAnsi="宋体" w:eastAsia="宋体"/>
                <w:b w:val="0"/>
                <w:bCs w:val="0"/>
                <w:color w:val="auto"/>
                <w:kern w:val="2"/>
                <w:sz w:val="24"/>
                <w:szCs w:val="24"/>
              </w:rPr>
              <w:t>暂存的危废定期由资质单位无害化处置，根据浙江省</w:t>
            </w:r>
            <w:r>
              <w:rPr>
                <w:rFonts w:hint="eastAsia" w:hAnsi="宋体" w:eastAsia="宋体"/>
                <w:b w:val="0"/>
                <w:bCs w:val="0"/>
                <w:color w:val="auto"/>
                <w:kern w:val="2"/>
                <w:sz w:val="24"/>
                <w:szCs w:val="24"/>
              </w:rPr>
              <w:t>生态环境</w:t>
            </w:r>
            <w:r>
              <w:rPr>
                <w:rFonts w:hAnsi="宋体" w:eastAsia="宋体"/>
                <w:b w:val="0"/>
                <w:bCs w:val="0"/>
                <w:color w:val="auto"/>
                <w:kern w:val="2"/>
                <w:sz w:val="24"/>
                <w:szCs w:val="24"/>
              </w:rPr>
              <w:t>厅公布的浙江省危险废物经营单位名单，列举部分附近地区能够处置本项目产生的危险废物的处置公司情况如下表</w:t>
            </w:r>
            <w:r>
              <w:rPr>
                <w:rFonts w:hint="eastAsia" w:hAnsi="宋体" w:eastAsia="宋体"/>
                <w:b w:val="0"/>
                <w:bCs w:val="0"/>
                <w:color w:val="auto"/>
                <w:kern w:val="2"/>
                <w:sz w:val="24"/>
                <w:szCs w:val="24"/>
              </w:rPr>
              <w:t>4</w:t>
            </w:r>
            <w:r>
              <w:rPr>
                <w:rFonts w:hAnsi="宋体" w:eastAsia="宋体"/>
                <w:b w:val="0"/>
                <w:bCs w:val="0"/>
                <w:color w:val="auto"/>
                <w:kern w:val="2"/>
                <w:sz w:val="24"/>
                <w:szCs w:val="24"/>
              </w:rPr>
              <w:t>-</w:t>
            </w:r>
            <w:r>
              <w:rPr>
                <w:rFonts w:hint="eastAsia" w:hAnsi="宋体" w:eastAsia="宋体"/>
                <w:b w:val="0"/>
                <w:bCs w:val="0"/>
                <w:color w:val="auto"/>
                <w:kern w:val="2"/>
                <w:sz w:val="24"/>
                <w:szCs w:val="24"/>
              </w:rPr>
              <w:t>3</w:t>
            </w:r>
            <w:r>
              <w:rPr>
                <w:rFonts w:hint="eastAsia" w:hAnsi="宋体" w:eastAsia="宋体"/>
                <w:b w:val="0"/>
                <w:bCs w:val="0"/>
                <w:color w:val="auto"/>
                <w:kern w:val="2"/>
                <w:sz w:val="24"/>
                <w:szCs w:val="24"/>
                <w:lang w:val="en-US" w:eastAsia="zh-CN"/>
              </w:rPr>
              <w:t>6</w:t>
            </w:r>
            <w:r>
              <w:rPr>
                <w:rFonts w:hAnsi="宋体" w:eastAsia="宋体"/>
                <w:b w:val="0"/>
                <w:bCs w:val="0"/>
                <w:color w:val="auto"/>
                <w:kern w:val="2"/>
                <w:sz w:val="24"/>
                <w:szCs w:val="24"/>
              </w:rPr>
              <w:t>所示。</w:t>
            </w:r>
            <w:bookmarkEnd w:id="13"/>
          </w:p>
          <w:p w14:paraId="575AC814">
            <w:pPr>
              <w:spacing w:line="440" w:lineRule="exact"/>
              <w:ind w:firstLine="480"/>
              <w:jc w:val="center"/>
              <w:rPr>
                <w:b/>
                <w:bCs/>
                <w:color w:val="auto"/>
                <w:szCs w:val="21"/>
              </w:rPr>
            </w:pPr>
            <w:r>
              <w:rPr>
                <w:b/>
                <w:bCs/>
                <w:color w:val="auto"/>
                <w:szCs w:val="21"/>
              </w:rPr>
              <w:t>表</w:t>
            </w:r>
            <w:r>
              <w:rPr>
                <w:rFonts w:hint="eastAsia"/>
                <w:b/>
                <w:bCs/>
                <w:color w:val="auto"/>
                <w:szCs w:val="21"/>
              </w:rPr>
              <w:t>4</w:t>
            </w:r>
            <w:r>
              <w:rPr>
                <w:b/>
                <w:bCs/>
                <w:color w:val="auto"/>
                <w:szCs w:val="21"/>
              </w:rPr>
              <w:t>-</w:t>
            </w:r>
            <w:r>
              <w:rPr>
                <w:rFonts w:hint="eastAsia"/>
                <w:b/>
                <w:bCs/>
                <w:color w:val="auto"/>
                <w:szCs w:val="21"/>
              </w:rPr>
              <w:t>3</w:t>
            </w:r>
            <w:r>
              <w:rPr>
                <w:rFonts w:hint="eastAsia"/>
                <w:b/>
                <w:bCs/>
                <w:color w:val="auto"/>
                <w:szCs w:val="21"/>
                <w:lang w:val="en-US" w:eastAsia="zh-CN"/>
              </w:rPr>
              <w:t>6</w:t>
            </w:r>
            <w:r>
              <w:rPr>
                <w:b/>
                <w:bCs/>
                <w:color w:val="auto"/>
                <w:szCs w:val="21"/>
              </w:rPr>
              <w:t xml:space="preserve"> </w:t>
            </w:r>
            <w:r>
              <w:rPr>
                <w:rFonts w:hint="eastAsia"/>
                <w:b/>
                <w:bCs/>
                <w:color w:val="auto"/>
                <w:szCs w:val="21"/>
              </w:rPr>
              <w:t xml:space="preserve"> </w:t>
            </w:r>
            <w:r>
              <w:rPr>
                <w:b/>
                <w:bCs/>
                <w:color w:val="auto"/>
                <w:szCs w:val="21"/>
              </w:rPr>
              <w:t>项目周边危废公司情况</w:t>
            </w:r>
          </w:p>
          <w:tbl>
            <w:tblPr>
              <w:tblStyle w:val="37"/>
              <w:tblW w:w="8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2"/>
              <w:gridCol w:w="1134"/>
              <w:gridCol w:w="1134"/>
              <w:gridCol w:w="992"/>
              <w:gridCol w:w="2268"/>
              <w:gridCol w:w="1095"/>
              <w:gridCol w:w="878"/>
              <w:gridCol w:w="754"/>
            </w:tblGrid>
            <w:tr w14:paraId="6822C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32" w:type="dxa"/>
                  <w:vAlign w:val="center"/>
                </w:tcPr>
                <w:p w14:paraId="043A8BD8">
                  <w:pPr>
                    <w:jc w:val="center"/>
                    <w:rPr>
                      <w:b/>
                      <w:bCs/>
                      <w:color w:val="auto"/>
                      <w:szCs w:val="21"/>
                    </w:rPr>
                  </w:pPr>
                  <w:r>
                    <w:rPr>
                      <w:rFonts w:hint="eastAsia"/>
                      <w:b/>
                      <w:bCs/>
                      <w:color w:val="auto"/>
                      <w:szCs w:val="21"/>
                    </w:rPr>
                    <w:t>序号</w:t>
                  </w:r>
                </w:p>
              </w:tc>
              <w:tc>
                <w:tcPr>
                  <w:tcW w:w="1134" w:type="dxa"/>
                  <w:vAlign w:val="center"/>
                </w:tcPr>
                <w:p w14:paraId="337BFAE5">
                  <w:pPr>
                    <w:jc w:val="center"/>
                    <w:rPr>
                      <w:b/>
                      <w:bCs/>
                      <w:color w:val="auto"/>
                      <w:szCs w:val="21"/>
                    </w:rPr>
                  </w:pPr>
                  <w:r>
                    <w:rPr>
                      <w:rFonts w:hint="eastAsia"/>
                      <w:b/>
                      <w:bCs/>
                      <w:color w:val="auto"/>
                      <w:szCs w:val="21"/>
                    </w:rPr>
                    <w:t>公司名称</w:t>
                  </w:r>
                </w:p>
              </w:tc>
              <w:tc>
                <w:tcPr>
                  <w:tcW w:w="1134" w:type="dxa"/>
                  <w:vAlign w:val="center"/>
                </w:tcPr>
                <w:p w14:paraId="342FD4C4">
                  <w:pPr>
                    <w:jc w:val="center"/>
                    <w:rPr>
                      <w:b/>
                      <w:bCs/>
                      <w:color w:val="auto"/>
                      <w:szCs w:val="21"/>
                    </w:rPr>
                  </w:pPr>
                  <w:r>
                    <w:rPr>
                      <w:rFonts w:hint="eastAsia"/>
                      <w:b/>
                      <w:bCs/>
                      <w:color w:val="auto"/>
                      <w:szCs w:val="21"/>
                    </w:rPr>
                    <w:t>经营地址</w:t>
                  </w:r>
                </w:p>
              </w:tc>
              <w:tc>
                <w:tcPr>
                  <w:tcW w:w="992" w:type="dxa"/>
                  <w:vAlign w:val="center"/>
                </w:tcPr>
                <w:p w14:paraId="45EC52D5">
                  <w:pPr>
                    <w:jc w:val="left"/>
                    <w:rPr>
                      <w:b/>
                      <w:bCs/>
                      <w:color w:val="auto"/>
                      <w:szCs w:val="21"/>
                    </w:rPr>
                  </w:pPr>
                  <w:r>
                    <w:rPr>
                      <w:rFonts w:hint="eastAsia"/>
                      <w:b/>
                      <w:bCs/>
                      <w:color w:val="auto"/>
                      <w:szCs w:val="21"/>
                    </w:rPr>
                    <w:t>危废经营许可证号</w:t>
                  </w:r>
                </w:p>
              </w:tc>
              <w:tc>
                <w:tcPr>
                  <w:tcW w:w="2268" w:type="dxa"/>
                  <w:vAlign w:val="center"/>
                </w:tcPr>
                <w:p w14:paraId="2E78DF89">
                  <w:pPr>
                    <w:jc w:val="center"/>
                    <w:rPr>
                      <w:b/>
                      <w:bCs/>
                      <w:color w:val="auto"/>
                      <w:szCs w:val="21"/>
                    </w:rPr>
                  </w:pPr>
                  <w:r>
                    <w:rPr>
                      <w:rFonts w:hint="eastAsia"/>
                      <w:b/>
                      <w:bCs/>
                      <w:color w:val="auto"/>
                      <w:szCs w:val="21"/>
                    </w:rPr>
                    <w:t>资质类别</w:t>
                  </w:r>
                </w:p>
              </w:tc>
              <w:tc>
                <w:tcPr>
                  <w:tcW w:w="1095" w:type="dxa"/>
                  <w:tcBorders>
                    <w:right w:val="single" w:color="auto" w:sz="4" w:space="0"/>
                  </w:tcBorders>
                  <w:vAlign w:val="center"/>
                </w:tcPr>
                <w:p w14:paraId="0B1C4472">
                  <w:pPr>
                    <w:jc w:val="center"/>
                    <w:rPr>
                      <w:b/>
                      <w:bCs/>
                      <w:color w:val="auto"/>
                      <w:szCs w:val="21"/>
                    </w:rPr>
                  </w:pPr>
                  <w:r>
                    <w:rPr>
                      <w:rFonts w:hint="eastAsia"/>
                      <w:b/>
                      <w:bCs/>
                      <w:color w:val="auto"/>
                      <w:szCs w:val="21"/>
                    </w:rPr>
                    <w:t>处置</w:t>
                  </w:r>
                </w:p>
                <w:p w14:paraId="57223E16">
                  <w:pPr>
                    <w:jc w:val="center"/>
                    <w:rPr>
                      <w:b/>
                      <w:bCs/>
                      <w:color w:val="auto"/>
                      <w:szCs w:val="21"/>
                    </w:rPr>
                  </w:pPr>
                  <w:r>
                    <w:rPr>
                      <w:rFonts w:hint="eastAsia"/>
                      <w:b/>
                      <w:bCs/>
                      <w:color w:val="auto"/>
                      <w:szCs w:val="21"/>
                    </w:rPr>
                    <w:t>能力</w:t>
                  </w:r>
                </w:p>
              </w:tc>
              <w:tc>
                <w:tcPr>
                  <w:tcW w:w="878" w:type="dxa"/>
                  <w:tcBorders>
                    <w:left w:val="single" w:color="auto" w:sz="4" w:space="0"/>
                    <w:right w:val="single" w:color="auto" w:sz="4" w:space="0"/>
                  </w:tcBorders>
                  <w:vAlign w:val="center"/>
                </w:tcPr>
                <w:p w14:paraId="698E41AE">
                  <w:pPr>
                    <w:jc w:val="center"/>
                    <w:rPr>
                      <w:b/>
                      <w:bCs/>
                      <w:color w:val="auto"/>
                      <w:szCs w:val="21"/>
                    </w:rPr>
                  </w:pPr>
                  <w:r>
                    <w:rPr>
                      <w:rFonts w:hint="eastAsia"/>
                      <w:b/>
                      <w:bCs/>
                      <w:color w:val="auto"/>
                      <w:szCs w:val="21"/>
                    </w:rPr>
                    <w:t>许可证有效期</w:t>
                  </w:r>
                </w:p>
              </w:tc>
              <w:tc>
                <w:tcPr>
                  <w:tcW w:w="754" w:type="dxa"/>
                  <w:tcBorders>
                    <w:left w:val="single" w:color="auto" w:sz="4" w:space="0"/>
                  </w:tcBorders>
                  <w:vAlign w:val="center"/>
                </w:tcPr>
                <w:p w14:paraId="71601305">
                  <w:pPr>
                    <w:jc w:val="center"/>
                    <w:rPr>
                      <w:b/>
                      <w:bCs/>
                      <w:color w:val="auto"/>
                      <w:szCs w:val="21"/>
                    </w:rPr>
                  </w:pPr>
                  <w:r>
                    <w:rPr>
                      <w:rFonts w:hint="eastAsia"/>
                      <w:b/>
                      <w:bCs/>
                      <w:color w:val="auto"/>
                      <w:szCs w:val="21"/>
                    </w:rPr>
                    <w:t>颁发日期</w:t>
                  </w:r>
                </w:p>
              </w:tc>
            </w:tr>
            <w:tr w14:paraId="11A7C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532" w:type="dxa"/>
                  <w:vAlign w:val="center"/>
                </w:tcPr>
                <w:p w14:paraId="6594FEA5">
                  <w:pPr>
                    <w:jc w:val="center"/>
                    <w:rPr>
                      <w:color w:val="auto"/>
                      <w:szCs w:val="21"/>
                    </w:rPr>
                  </w:pPr>
                  <w:r>
                    <w:rPr>
                      <w:rFonts w:hint="eastAsia"/>
                      <w:color w:val="auto"/>
                      <w:szCs w:val="21"/>
                    </w:rPr>
                    <w:t>1</w:t>
                  </w:r>
                </w:p>
              </w:tc>
              <w:tc>
                <w:tcPr>
                  <w:tcW w:w="1134" w:type="dxa"/>
                  <w:vAlign w:val="center"/>
                </w:tcPr>
                <w:p w14:paraId="13D78FAC">
                  <w:pPr>
                    <w:jc w:val="left"/>
                    <w:rPr>
                      <w:color w:val="auto"/>
                      <w:szCs w:val="21"/>
                    </w:rPr>
                  </w:pPr>
                  <w:r>
                    <w:rPr>
                      <w:rFonts w:hint="eastAsia"/>
                      <w:color w:val="auto"/>
                      <w:szCs w:val="21"/>
                    </w:rPr>
                    <w:t>安吉纳海环境有限公司</w:t>
                  </w:r>
                </w:p>
              </w:tc>
              <w:tc>
                <w:tcPr>
                  <w:tcW w:w="1134" w:type="dxa"/>
                  <w:vAlign w:val="center"/>
                </w:tcPr>
                <w:p w14:paraId="5E1235E2">
                  <w:pPr>
                    <w:jc w:val="left"/>
                    <w:rPr>
                      <w:color w:val="auto"/>
                      <w:szCs w:val="21"/>
                    </w:rPr>
                  </w:pPr>
                  <w:r>
                    <w:rPr>
                      <w:rFonts w:hint="eastAsia"/>
                      <w:color w:val="auto"/>
                      <w:szCs w:val="21"/>
                    </w:rPr>
                    <w:t>安吉县递铺街道马家渡村</w:t>
                  </w:r>
                </w:p>
              </w:tc>
              <w:tc>
                <w:tcPr>
                  <w:tcW w:w="992" w:type="dxa"/>
                  <w:vAlign w:val="center"/>
                </w:tcPr>
                <w:p w14:paraId="4327C358">
                  <w:pPr>
                    <w:jc w:val="left"/>
                    <w:rPr>
                      <w:color w:val="auto"/>
                      <w:szCs w:val="21"/>
                    </w:rPr>
                  </w:pPr>
                  <w:r>
                    <w:rPr>
                      <w:rFonts w:hint="eastAsia"/>
                      <w:color w:val="auto"/>
                      <w:szCs w:val="21"/>
                    </w:rPr>
                    <w:t>3305000125</w:t>
                  </w:r>
                </w:p>
              </w:tc>
              <w:tc>
                <w:tcPr>
                  <w:tcW w:w="2268" w:type="dxa"/>
                  <w:vAlign w:val="center"/>
                </w:tcPr>
                <w:p w14:paraId="3E6E8557">
                  <w:pPr>
                    <w:jc w:val="left"/>
                    <w:rPr>
                      <w:color w:val="auto"/>
                      <w:szCs w:val="21"/>
                    </w:rPr>
                  </w:pPr>
                  <w:r>
                    <w:rPr>
                      <w:rFonts w:hint="eastAsia"/>
                      <w:color w:val="auto"/>
                      <w:szCs w:val="21"/>
                    </w:rPr>
                    <w:t>HW17、HW22、HW23</w:t>
                  </w:r>
                </w:p>
                <w:p w14:paraId="3C3C284D">
                  <w:pPr>
                    <w:jc w:val="left"/>
                    <w:rPr>
                      <w:color w:val="auto"/>
                      <w:szCs w:val="21"/>
                    </w:rPr>
                  </w:pPr>
                  <w:r>
                    <w:rPr>
                      <w:rFonts w:hint="eastAsia"/>
                      <w:color w:val="auto"/>
                      <w:szCs w:val="21"/>
                    </w:rPr>
                    <w:t>HW46、HW49、HW18</w:t>
                  </w:r>
                </w:p>
                <w:p w14:paraId="7C3B82C0">
                  <w:pPr>
                    <w:jc w:val="left"/>
                    <w:rPr>
                      <w:color w:val="auto"/>
                      <w:szCs w:val="21"/>
                    </w:rPr>
                  </w:pPr>
                  <w:r>
                    <w:rPr>
                      <w:rFonts w:hint="eastAsia"/>
                      <w:color w:val="auto"/>
                      <w:szCs w:val="21"/>
                    </w:rPr>
                    <w:t>HW02、HW04、HW06</w:t>
                  </w:r>
                </w:p>
                <w:p w14:paraId="60E51B82">
                  <w:pPr>
                    <w:jc w:val="left"/>
                    <w:rPr>
                      <w:color w:val="auto"/>
                      <w:szCs w:val="21"/>
                    </w:rPr>
                  </w:pPr>
                  <w:r>
                    <w:rPr>
                      <w:rFonts w:hint="eastAsia"/>
                      <w:color w:val="auto"/>
                      <w:szCs w:val="21"/>
                    </w:rPr>
                    <w:t>HW08、HW09、HW11</w:t>
                  </w:r>
                </w:p>
                <w:p w14:paraId="505B2AA6">
                  <w:pPr>
                    <w:jc w:val="left"/>
                    <w:rPr>
                      <w:color w:val="auto"/>
                      <w:szCs w:val="21"/>
                    </w:rPr>
                  </w:pPr>
                  <w:r>
                    <w:rPr>
                      <w:rFonts w:hint="eastAsia"/>
                      <w:color w:val="auto"/>
                      <w:szCs w:val="21"/>
                    </w:rPr>
                    <w:t>HW12、HW13、HW37</w:t>
                  </w:r>
                </w:p>
                <w:p w14:paraId="6F76F42B">
                  <w:pPr>
                    <w:jc w:val="left"/>
                    <w:rPr>
                      <w:color w:val="auto"/>
                      <w:szCs w:val="21"/>
                    </w:rPr>
                  </w:pPr>
                  <w:r>
                    <w:rPr>
                      <w:rFonts w:hint="eastAsia"/>
                      <w:color w:val="auto"/>
                      <w:szCs w:val="21"/>
                    </w:rPr>
                    <w:t>HW38、HW39、HW46、 HW49</w:t>
                  </w:r>
                </w:p>
              </w:tc>
              <w:tc>
                <w:tcPr>
                  <w:tcW w:w="1095" w:type="dxa"/>
                  <w:tcBorders>
                    <w:right w:val="single" w:color="auto" w:sz="4" w:space="0"/>
                  </w:tcBorders>
                  <w:vAlign w:val="center"/>
                </w:tcPr>
                <w:p w14:paraId="24C9F226">
                  <w:pPr>
                    <w:rPr>
                      <w:color w:val="auto"/>
                      <w:szCs w:val="21"/>
                    </w:rPr>
                  </w:pPr>
                  <w:r>
                    <w:rPr>
                      <w:rFonts w:hint="eastAsia"/>
                      <w:color w:val="auto"/>
                      <w:szCs w:val="21"/>
                    </w:rPr>
                    <w:t>80000 t/a</w:t>
                  </w:r>
                </w:p>
              </w:tc>
              <w:tc>
                <w:tcPr>
                  <w:tcW w:w="878" w:type="dxa"/>
                  <w:tcBorders>
                    <w:left w:val="single" w:color="auto" w:sz="4" w:space="0"/>
                    <w:right w:val="single" w:color="auto" w:sz="4" w:space="0"/>
                  </w:tcBorders>
                  <w:vAlign w:val="center"/>
                </w:tcPr>
                <w:p w14:paraId="0840E459">
                  <w:pPr>
                    <w:jc w:val="center"/>
                    <w:rPr>
                      <w:color w:val="auto"/>
                      <w:szCs w:val="21"/>
                    </w:rPr>
                  </w:pPr>
                  <w:r>
                    <w:rPr>
                      <w:rFonts w:hint="eastAsia"/>
                      <w:color w:val="auto"/>
                      <w:szCs w:val="21"/>
                    </w:rPr>
                    <w:t>5年</w:t>
                  </w:r>
                </w:p>
              </w:tc>
              <w:tc>
                <w:tcPr>
                  <w:tcW w:w="754" w:type="dxa"/>
                  <w:tcBorders>
                    <w:left w:val="single" w:color="auto" w:sz="4" w:space="0"/>
                  </w:tcBorders>
                  <w:vAlign w:val="center"/>
                </w:tcPr>
                <w:p w14:paraId="2EDAE473">
                  <w:pPr>
                    <w:jc w:val="left"/>
                    <w:rPr>
                      <w:color w:val="auto"/>
                      <w:szCs w:val="21"/>
                    </w:rPr>
                  </w:pPr>
                  <w:r>
                    <w:rPr>
                      <w:rFonts w:hint="eastAsia"/>
                      <w:color w:val="auto"/>
                      <w:szCs w:val="21"/>
                    </w:rPr>
                    <w:t>2021年12月13日</w:t>
                  </w:r>
                </w:p>
              </w:tc>
            </w:tr>
            <w:tr w14:paraId="1D459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532" w:type="dxa"/>
                  <w:vAlign w:val="center"/>
                </w:tcPr>
                <w:p w14:paraId="6BE9E125">
                  <w:pPr>
                    <w:jc w:val="center"/>
                    <w:rPr>
                      <w:color w:val="auto"/>
                      <w:szCs w:val="21"/>
                    </w:rPr>
                  </w:pPr>
                  <w:r>
                    <w:rPr>
                      <w:rFonts w:hint="eastAsia"/>
                      <w:color w:val="auto"/>
                      <w:szCs w:val="21"/>
                    </w:rPr>
                    <w:t>2</w:t>
                  </w:r>
                </w:p>
              </w:tc>
              <w:tc>
                <w:tcPr>
                  <w:tcW w:w="1134" w:type="dxa"/>
                  <w:vAlign w:val="center"/>
                </w:tcPr>
                <w:p w14:paraId="1412ADA2">
                  <w:pPr>
                    <w:jc w:val="left"/>
                    <w:rPr>
                      <w:color w:val="auto"/>
                      <w:szCs w:val="21"/>
                    </w:rPr>
                  </w:pPr>
                  <w:r>
                    <w:rPr>
                      <w:rFonts w:hint="eastAsia"/>
                      <w:color w:val="auto"/>
                      <w:szCs w:val="21"/>
                    </w:rPr>
                    <w:t>浙江悦胜环境科技有限公司</w:t>
                  </w:r>
                </w:p>
              </w:tc>
              <w:tc>
                <w:tcPr>
                  <w:tcW w:w="1134" w:type="dxa"/>
                  <w:vAlign w:val="center"/>
                </w:tcPr>
                <w:p w14:paraId="6F31A05B">
                  <w:pPr>
                    <w:jc w:val="left"/>
                    <w:rPr>
                      <w:color w:val="auto"/>
                      <w:szCs w:val="21"/>
                    </w:rPr>
                  </w:pPr>
                  <w:r>
                    <w:rPr>
                      <w:rFonts w:hint="eastAsia"/>
                      <w:color w:val="auto"/>
                      <w:szCs w:val="21"/>
                    </w:rPr>
                    <w:t>安吉县递铺街道康山村1幢三层</w:t>
                  </w:r>
                </w:p>
              </w:tc>
              <w:tc>
                <w:tcPr>
                  <w:tcW w:w="992" w:type="dxa"/>
                  <w:vAlign w:val="center"/>
                </w:tcPr>
                <w:p w14:paraId="41C6DF53">
                  <w:pPr>
                    <w:jc w:val="left"/>
                    <w:rPr>
                      <w:color w:val="auto"/>
                      <w:szCs w:val="21"/>
                    </w:rPr>
                  </w:pPr>
                  <w:r>
                    <w:rPr>
                      <w:rFonts w:hint="eastAsia"/>
                      <w:color w:val="auto"/>
                      <w:szCs w:val="21"/>
                    </w:rPr>
                    <w:t>3305000 278</w:t>
                  </w:r>
                </w:p>
              </w:tc>
              <w:tc>
                <w:tcPr>
                  <w:tcW w:w="2268" w:type="dxa"/>
                  <w:vAlign w:val="center"/>
                </w:tcPr>
                <w:p w14:paraId="43597EDE">
                  <w:pPr>
                    <w:jc w:val="left"/>
                    <w:rPr>
                      <w:color w:val="auto"/>
                      <w:szCs w:val="21"/>
                    </w:rPr>
                  </w:pPr>
                  <w:r>
                    <w:rPr>
                      <w:rFonts w:hint="eastAsia"/>
                      <w:color w:val="auto"/>
                      <w:szCs w:val="21"/>
                    </w:rPr>
                    <w:t>HW02、HW04、HW05、HW08、HW09、HW11、HW12、HW13、HW16、HW17、HW23、HW35、HW36、HW46、HW49、HW50</w:t>
                  </w:r>
                </w:p>
              </w:tc>
              <w:tc>
                <w:tcPr>
                  <w:tcW w:w="1095" w:type="dxa"/>
                  <w:tcBorders>
                    <w:right w:val="single" w:color="auto" w:sz="4" w:space="0"/>
                  </w:tcBorders>
                  <w:vAlign w:val="center"/>
                </w:tcPr>
                <w:p w14:paraId="6E93BDE5">
                  <w:pPr>
                    <w:jc w:val="left"/>
                    <w:rPr>
                      <w:color w:val="auto"/>
                      <w:szCs w:val="21"/>
                    </w:rPr>
                  </w:pPr>
                  <w:r>
                    <w:rPr>
                      <w:rFonts w:hint="eastAsia"/>
                      <w:color w:val="auto"/>
                      <w:szCs w:val="21"/>
                    </w:rPr>
                    <w:t>10000t/a</w:t>
                  </w:r>
                </w:p>
              </w:tc>
              <w:tc>
                <w:tcPr>
                  <w:tcW w:w="878" w:type="dxa"/>
                  <w:tcBorders>
                    <w:left w:val="single" w:color="auto" w:sz="4" w:space="0"/>
                    <w:right w:val="single" w:color="auto" w:sz="4" w:space="0"/>
                  </w:tcBorders>
                  <w:vAlign w:val="center"/>
                </w:tcPr>
                <w:p w14:paraId="310A95E5">
                  <w:pPr>
                    <w:jc w:val="center"/>
                    <w:rPr>
                      <w:color w:val="auto"/>
                      <w:szCs w:val="21"/>
                    </w:rPr>
                  </w:pPr>
                  <w:r>
                    <w:rPr>
                      <w:rFonts w:hint="eastAsia"/>
                      <w:color w:val="auto"/>
                      <w:szCs w:val="21"/>
                    </w:rPr>
                    <w:t>5年</w:t>
                  </w:r>
                </w:p>
              </w:tc>
              <w:tc>
                <w:tcPr>
                  <w:tcW w:w="754" w:type="dxa"/>
                  <w:tcBorders>
                    <w:left w:val="single" w:color="auto" w:sz="4" w:space="0"/>
                  </w:tcBorders>
                  <w:vAlign w:val="center"/>
                </w:tcPr>
                <w:p w14:paraId="2DF2752F">
                  <w:pPr>
                    <w:jc w:val="left"/>
                    <w:rPr>
                      <w:color w:val="auto"/>
                      <w:szCs w:val="21"/>
                    </w:rPr>
                  </w:pPr>
                  <w:r>
                    <w:rPr>
                      <w:color w:val="auto"/>
                      <w:szCs w:val="21"/>
                    </w:rPr>
                    <w:t xml:space="preserve">2023 </w:t>
                  </w:r>
                  <w:r>
                    <w:rPr>
                      <w:rFonts w:hint="eastAsia"/>
                      <w:color w:val="auto"/>
                      <w:szCs w:val="21"/>
                    </w:rPr>
                    <w:t>年</w:t>
                  </w:r>
                  <w:r>
                    <w:rPr>
                      <w:color w:val="auto"/>
                      <w:szCs w:val="21"/>
                    </w:rPr>
                    <w:t>3</w:t>
                  </w:r>
                  <w:r>
                    <w:rPr>
                      <w:rFonts w:hint="eastAsia"/>
                      <w:color w:val="auto"/>
                      <w:szCs w:val="21"/>
                    </w:rPr>
                    <w:t>月</w:t>
                  </w:r>
                  <w:r>
                    <w:rPr>
                      <w:color w:val="auto"/>
                      <w:szCs w:val="21"/>
                    </w:rPr>
                    <w:t xml:space="preserve">4 </w:t>
                  </w:r>
                  <w:r>
                    <w:rPr>
                      <w:rFonts w:hint="eastAsia"/>
                      <w:color w:val="auto"/>
                      <w:szCs w:val="21"/>
                    </w:rPr>
                    <w:t>日</w:t>
                  </w:r>
                </w:p>
              </w:tc>
            </w:tr>
            <w:tr w14:paraId="12F24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532" w:type="dxa"/>
                  <w:vAlign w:val="center"/>
                </w:tcPr>
                <w:p w14:paraId="68FF9FB0">
                  <w:pPr>
                    <w:jc w:val="center"/>
                    <w:rPr>
                      <w:color w:val="auto"/>
                      <w:szCs w:val="21"/>
                    </w:rPr>
                  </w:pPr>
                  <w:r>
                    <w:rPr>
                      <w:rFonts w:hint="eastAsia"/>
                      <w:color w:val="auto"/>
                      <w:szCs w:val="21"/>
                    </w:rPr>
                    <w:t>3</w:t>
                  </w:r>
                </w:p>
              </w:tc>
              <w:tc>
                <w:tcPr>
                  <w:tcW w:w="1134" w:type="dxa"/>
                  <w:vAlign w:val="center"/>
                </w:tcPr>
                <w:p w14:paraId="2CF9AA73">
                  <w:pPr>
                    <w:jc w:val="left"/>
                    <w:rPr>
                      <w:color w:val="auto"/>
                      <w:szCs w:val="21"/>
                    </w:rPr>
                  </w:pPr>
                  <w:r>
                    <w:rPr>
                      <w:rFonts w:hint="eastAsia"/>
                      <w:color w:val="auto"/>
                      <w:szCs w:val="21"/>
                    </w:rPr>
                    <w:t>湖州威能环境服务有限公司</w:t>
                  </w:r>
                </w:p>
              </w:tc>
              <w:tc>
                <w:tcPr>
                  <w:tcW w:w="1134" w:type="dxa"/>
                  <w:vAlign w:val="center"/>
                </w:tcPr>
                <w:p w14:paraId="59909631">
                  <w:pPr>
                    <w:jc w:val="left"/>
                    <w:rPr>
                      <w:color w:val="auto"/>
                      <w:szCs w:val="21"/>
                    </w:rPr>
                  </w:pPr>
                  <w:r>
                    <w:rPr>
                      <w:rFonts w:hint="eastAsia"/>
                      <w:color w:val="auto"/>
                      <w:szCs w:val="21"/>
                    </w:rPr>
                    <w:t>湖州市南太湖新区康山街道东山村黄沙山南侧山坳</w:t>
                  </w:r>
                </w:p>
              </w:tc>
              <w:tc>
                <w:tcPr>
                  <w:tcW w:w="992" w:type="dxa"/>
                  <w:vAlign w:val="center"/>
                </w:tcPr>
                <w:p w14:paraId="3CBD6C0B">
                  <w:pPr>
                    <w:jc w:val="left"/>
                    <w:rPr>
                      <w:color w:val="auto"/>
                      <w:szCs w:val="21"/>
                    </w:rPr>
                  </w:pPr>
                  <w:r>
                    <w:rPr>
                      <w:rFonts w:hint="eastAsia"/>
                      <w:color w:val="auto"/>
                      <w:szCs w:val="21"/>
                    </w:rPr>
                    <w:t>3305000244</w:t>
                  </w:r>
                </w:p>
              </w:tc>
              <w:tc>
                <w:tcPr>
                  <w:tcW w:w="2268" w:type="dxa"/>
                  <w:vAlign w:val="center"/>
                </w:tcPr>
                <w:p w14:paraId="26ECA17C">
                  <w:pPr>
                    <w:jc w:val="left"/>
                    <w:rPr>
                      <w:color w:val="auto"/>
                      <w:szCs w:val="21"/>
                    </w:rPr>
                  </w:pPr>
                  <w:r>
                    <w:rPr>
                      <w:rFonts w:hint="eastAsia"/>
                      <w:color w:val="auto"/>
                      <w:szCs w:val="21"/>
                    </w:rPr>
                    <w:t>HW01、HW02、HW03、HW04、HW05、HW06、HW08、HW09、HW11、HW12、HW13、HW14、HW16、HW18、HW37、HW37、HW39、HW40、HW45、HW49、HW50</w:t>
                  </w:r>
                </w:p>
              </w:tc>
              <w:tc>
                <w:tcPr>
                  <w:tcW w:w="1095" w:type="dxa"/>
                  <w:tcBorders>
                    <w:right w:val="single" w:color="auto" w:sz="4" w:space="0"/>
                  </w:tcBorders>
                  <w:vAlign w:val="center"/>
                </w:tcPr>
                <w:p w14:paraId="5096FF16">
                  <w:pPr>
                    <w:jc w:val="left"/>
                    <w:rPr>
                      <w:color w:val="auto"/>
                      <w:szCs w:val="21"/>
                    </w:rPr>
                  </w:pPr>
                  <w:r>
                    <w:rPr>
                      <w:rFonts w:hint="eastAsia"/>
                      <w:color w:val="auto"/>
                      <w:szCs w:val="21"/>
                    </w:rPr>
                    <w:t>填埋：20000t/a；焚烧处置：30000t/a</w:t>
                  </w:r>
                </w:p>
              </w:tc>
              <w:tc>
                <w:tcPr>
                  <w:tcW w:w="878" w:type="dxa"/>
                  <w:tcBorders>
                    <w:left w:val="single" w:color="auto" w:sz="4" w:space="0"/>
                    <w:right w:val="single" w:color="auto" w:sz="4" w:space="0"/>
                  </w:tcBorders>
                  <w:vAlign w:val="center"/>
                </w:tcPr>
                <w:p w14:paraId="3A1A624C">
                  <w:pPr>
                    <w:jc w:val="center"/>
                    <w:rPr>
                      <w:color w:val="auto"/>
                      <w:szCs w:val="21"/>
                    </w:rPr>
                  </w:pPr>
                  <w:r>
                    <w:rPr>
                      <w:rFonts w:hint="eastAsia"/>
                      <w:color w:val="auto"/>
                      <w:szCs w:val="21"/>
                    </w:rPr>
                    <w:t>5年</w:t>
                  </w:r>
                </w:p>
              </w:tc>
              <w:tc>
                <w:tcPr>
                  <w:tcW w:w="754" w:type="dxa"/>
                  <w:tcBorders>
                    <w:left w:val="single" w:color="auto" w:sz="4" w:space="0"/>
                  </w:tcBorders>
                  <w:vAlign w:val="center"/>
                </w:tcPr>
                <w:p w14:paraId="0F3D8A74">
                  <w:pPr>
                    <w:jc w:val="left"/>
                    <w:rPr>
                      <w:color w:val="auto"/>
                      <w:szCs w:val="21"/>
                    </w:rPr>
                  </w:pPr>
                  <w:r>
                    <w:rPr>
                      <w:rFonts w:hint="eastAsia"/>
                      <w:color w:val="auto"/>
                      <w:szCs w:val="21"/>
                    </w:rPr>
                    <w:t>2020年9月</w:t>
                  </w:r>
                </w:p>
              </w:tc>
            </w:tr>
          </w:tbl>
          <w:p w14:paraId="5A60E3C7">
            <w:pPr>
              <w:pStyle w:val="96"/>
              <w:spacing w:line="430" w:lineRule="exact"/>
              <w:ind w:firstLine="480"/>
              <w:rPr>
                <w:rFonts w:hAnsi="宋体" w:eastAsia="宋体"/>
                <w:color w:val="auto"/>
              </w:rPr>
            </w:pPr>
            <w:r>
              <w:rPr>
                <w:rFonts w:hAnsi="宋体" w:eastAsia="宋体"/>
                <w:color w:val="auto"/>
              </w:rPr>
              <w:t>本项目危废主要涉及</w:t>
            </w:r>
            <w:r>
              <w:rPr>
                <w:rFonts w:hint="eastAsia" w:hAnsi="宋体" w:eastAsia="宋体"/>
                <w:color w:val="auto"/>
              </w:rPr>
              <w:t>HW08、HW13和</w:t>
            </w:r>
            <w:r>
              <w:rPr>
                <w:rFonts w:hAnsi="宋体" w:eastAsia="宋体"/>
                <w:color w:val="auto"/>
              </w:rPr>
              <w:t>HW49根据上述部分附近地区能够处置本项目产生的危险废物的处置公司危险废物经营许可证可知，上述危废处置公司均拥有</w:t>
            </w:r>
            <w:r>
              <w:rPr>
                <w:rFonts w:hint="eastAsia" w:hAnsi="宋体" w:eastAsia="宋体"/>
                <w:color w:val="auto"/>
              </w:rPr>
              <w:t>相应</w:t>
            </w:r>
            <w:r>
              <w:rPr>
                <w:rFonts w:hAnsi="宋体" w:eastAsia="宋体"/>
                <w:color w:val="auto"/>
              </w:rPr>
              <w:t>处置资质类别，上述相关公司处置市场面向浙江全省，且拥有专门用于危废转移的危险品车辆，同时本项目危险废物产生量较小，上述相关公司有余量处置，因此本项目所有产生的危废交由上述相关公司公司处置是可行的，同时项目方亦可自由选择其他拥有</w:t>
            </w:r>
            <w:r>
              <w:rPr>
                <w:rFonts w:hint="eastAsia" w:hAnsi="宋体" w:eastAsia="宋体"/>
                <w:color w:val="auto"/>
              </w:rPr>
              <w:t>HW08和</w:t>
            </w:r>
            <w:r>
              <w:rPr>
                <w:rFonts w:hAnsi="宋体" w:eastAsia="宋体"/>
                <w:color w:val="auto"/>
              </w:rPr>
              <w:t>HW49资质类别的危废处置公司进行合法处置。</w:t>
            </w:r>
          </w:p>
          <w:p w14:paraId="696AB5DE">
            <w:pPr>
              <w:pStyle w:val="96"/>
              <w:spacing w:line="430" w:lineRule="exact"/>
              <w:ind w:firstLine="480"/>
              <w:rPr>
                <w:rFonts w:hAnsi="宋体" w:eastAsia="宋体"/>
                <w:color w:val="auto"/>
              </w:rPr>
            </w:pPr>
            <w:r>
              <w:rPr>
                <w:rFonts w:hint="eastAsia" w:eastAsia="宋体"/>
                <w:color w:val="auto"/>
              </w:rPr>
              <w:t>d</w:t>
            </w:r>
            <w:r>
              <w:rPr>
                <w:rFonts w:hAnsi="宋体" w:eastAsia="宋体"/>
                <w:color w:val="auto"/>
              </w:rPr>
              <w:t>、其他管理要求。</w:t>
            </w:r>
          </w:p>
          <w:p w14:paraId="364A53EE">
            <w:pPr>
              <w:pStyle w:val="96"/>
              <w:spacing w:line="420" w:lineRule="exact"/>
              <w:ind w:firstLine="0" w:firstLineChars="0"/>
              <w:rPr>
                <w:rFonts w:hAnsi="宋体" w:eastAsia="宋体"/>
                <w:color w:val="auto"/>
              </w:rPr>
            </w:pPr>
            <w:r>
              <w:rPr>
                <w:rFonts w:hint="eastAsia" w:eastAsia="宋体"/>
                <w:color w:val="auto"/>
              </w:rPr>
              <w:t xml:space="preserve">    </w:t>
            </w:r>
            <w:r>
              <w:rPr>
                <w:rFonts w:eastAsia="宋体"/>
                <w:color w:val="auto"/>
              </w:rPr>
              <w:t>本次评价要求企业做好危废贮存场所的环境风险防范措施，配备充足的防渗防漏设施，并加强管理。由于本项目危废类别产生量不大，只要企业加强管理，并配备充足的应急物资，则贮存过程对周围环境基本无影响。</w:t>
            </w:r>
          </w:p>
          <w:p w14:paraId="16BE466C">
            <w:pPr>
              <w:pStyle w:val="96"/>
              <w:spacing w:line="420" w:lineRule="exact"/>
              <w:ind w:firstLine="0" w:firstLineChars="0"/>
              <w:rPr>
                <w:rFonts w:hAnsi="宋体" w:eastAsia="宋体"/>
                <w:color w:val="auto"/>
              </w:rPr>
            </w:pPr>
            <w:r>
              <w:rPr>
                <w:rFonts w:hint="eastAsia" w:hAnsi="宋体" w:eastAsia="宋体"/>
                <w:color w:val="auto"/>
              </w:rPr>
              <w:t xml:space="preserve">    </w:t>
            </w:r>
            <w:r>
              <w:rPr>
                <w:rFonts w:hAnsi="宋体" w:eastAsia="宋体"/>
                <w:color w:val="auto"/>
              </w:rPr>
              <w:t>要求企业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76E50C04">
            <w:pPr>
              <w:spacing w:line="420" w:lineRule="exact"/>
              <w:rPr>
                <w:b/>
                <w:bCs/>
                <w:color w:val="auto"/>
                <w:spacing w:val="-10"/>
                <w:sz w:val="24"/>
              </w:rPr>
            </w:pPr>
            <w:r>
              <w:rPr>
                <w:b/>
                <w:bCs/>
                <w:color w:val="auto"/>
                <w:spacing w:val="-10"/>
                <w:sz w:val="24"/>
              </w:rPr>
              <w:t>4.</w:t>
            </w:r>
            <w:r>
              <w:rPr>
                <w:rFonts w:hint="eastAsia"/>
                <w:b/>
                <w:bCs/>
                <w:color w:val="auto"/>
                <w:spacing w:val="-10"/>
                <w:sz w:val="24"/>
              </w:rPr>
              <w:t>5地下水、</w:t>
            </w:r>
            <w:r>
              <w:rPr>
                <w:rFonts w:hAnsi="宋体"/>
                <w:b/>
                <w:bCs/>
                <w:color w:val="auto"/>
                <w:spacing w:val="-10"/>
                <w:sz w:val="24"/>
              </w:rPr>
              <w:t>土壤</w:t>
            </w:r>
          </w:p>
          <w:p w14:paraId="5539F6AE">
            <w:pPr>
              <w:spacing w:line="480" w:lineRule="exact"/>
              <w:ind w:firstLine="480"/>
              <w:jc w:val="left"/>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 </w:t>
            </w:r>
            <w:r>
              <w:rPr>
                <w:rFonts w:ascii="Times New Roman" w:hAnsi="Times New Roman" w:eastAsia="宋体" w:cs="Times New Roman"/>
                <w:color w:val="auto"/>
                <w:kern w:val="2"/>
                <w:sz w:val="24"/>
                <w:szCs w:val="24"/>
                <w:lang w:val="en-US" w:eastAsia="zh-CN" w:bidi="ar-SA"/>
              </w:rPr>
              <w:t>1、土壤及地下水污染情况</w:t>
            </w:r>
          </w:p>
          <w:p w14:paraId="39BC3A09">
            <w:pPr>
              <w:pStyle w:val="80"/>
              <w:spacing w:line="420" w:lineRule="exact"/>
              <w:ind w:firstLine="480"/>
              <w:rPr>
                <w:rFonts w:eastAsia="宋体"/>
                <w:color w:val="auto"/>
              </w:rPr>
            </w:pPr>
            <w:r>
              <w:rPr>
                <w:rFonts w:hint="eastAsia"/>
                <w:color w:val="auto"/>
              </w:rPr>
              <w:fldChar w:fldCharType="begin"/>
            </w:r>
            <w:r>
              <w:rPr>
                <w:color w:val="auto"/>
              </w:rPr>
              <w:instrText xml:space="preserve"> = 1 \* GB3 </w:instrText>
            </w:r>
            <w:r>
              <w:rPr>
                <w:rFonts w:hint="eastAsia"/>
                <w:color w:val="auto"/>
              </w:rPr>
              <w:fldChar w:fldCharType="separate"/>
            </w:r>
            <w:r>
              <w:rPr>
                <w:rFonts w:hint="eastAsia" w:ascii="宋体" w:hAnsi="宋体" w:cs="宋体"/>
                <w:color w:val="auto"/>
              </w:rPr>
              <w:t>①</w:t>
            </w:r>
            <w:r>
              <w:rPr>
                <w:rFonts w:hint="eastAsia" w:ascii="宋体" w:hAnsi="宋体" w:cs="宋体"/>
                <w:color w:val="auto"/>
              </w:rPr>
              <w:fldChar w:fldCharType="end"/>
            </w:r>
            <w:r>
              <w:rPr>
                <w:rFonts w:eastAsia="宋体"/>
                <w:color w:val="auto"/>
              </w:rPr>
              <w:t>本项目排放的有机废气为</w:t>
            </w:r>
            <w:r>
              <w:rPr>
                <w:rFonts w:hint="eastAsia" w:eastAsia="宋体"/>
                <w:color w:val="auto"/>
              </w:rPr>
              <w:t>颗粒物、非甲烷总烃</w:t>
            </w:r>
            <w:r>
              <w:rPr>
                <w:rFonts w:eastAsia="宋体"/>
                <w:color w:val="auto"/>
              </w:rPr>
              <w:t>等，在大气的沉降过程中，会间接进入土壤与地下水，但因废气经过处理后有机质含量很低，</w:t>
            </w:r>
            <w:r>
              <w:rPr>
                <w:rFonts w:hint="eastAsia" w:eastAsia="宋体"/>
                <w:color w:val="auto"/>
              </w:rPr>
              <w:t>且</w:t>
            </w:r>
            <w:r>
              <w:rPr>
                <w:rFonts w:hint="eastAsia" w:ascii="宋体" w:hAnsi="宋体" w:eastAsia="宋体" w:cs="宋体"/>
                <w:color w:val="auto"/>
              </w:rPr>
              <w:t>不属于重金属和持久性有机物污染物，</w:t>
            </w:r>
            <w:r>
              <w:rPr>
                <w:rFonts w:eastAsia="宋体"/>
                <w:color w:val="auto"/>
              </w:rPr>
              <w:t>不会对土壤及地下水环境的产生不利影响；</w:t>
            </w:r>
          </w:p>
          <w:p w14:paraId="044C449C">
            <w:pPr>
              <w:pStyle w:val="80"/>
              <w:spacing w:line="420" w:lineRule="exact"/>
              <w:ind w:firstLine="480"/>
              <w:rPr>
                <w:rFonts w:eastAsia="宋体"/>
                <w:color w:val="auto"/>
              </w:rPr>
            </w:pPr>
            <w:r>
              <w:rPr>
                <w:rFonts w:hint="eastAsia"/>
                <w:color w:val="auto"/>
              </w:rPr>
              <w:fldChar w:fldCharType="begin"/>
            </w:r>
            <w:r>
              <w:rPr>
                <w:color w:val="auto"/>
              </w:rPr>
              <w:instrText xml:space="preserve"> = 2 \* GB3 </w:instrText>
            </w:r>
            <w:r>
              <w:rPr>
                <w:rFonts w:hint="eastAsia"/>
                <w:color w:val="auto"/>
              </w:rPr>
              <w:fldChar w:fldCharType="separate"/>
            </w:r>
            <w:r>
              <w:rPr>
                <w:rFonts w:hint="eastAsia" w:ascii="宋体" w:hAnsi="宋体" w:cs="宋体"/>
                <w:color w:val="auto"/>
              </w:rPr>
              <w:t>②</w:t>
            </w:r>
            <w:r>
              <w:rPr>
                <w:rFonts w:hint="eastAsia" w:ascii="宋体" w:hAnsi="宋体" w:cs="宋体"/>
                <w:color w:val="auto"/>
              </w:rPr>
              <w:fldChar w:fldCharType="end"/>
            </w:r>
            <w:r>
              <w:rPr>
                <w:rFonts w:hint="eastAsia" w:eastAsia="宋体"/>
                <w:color w:val="auto"/>
              </w:rPr>
              <w:t>胶水、润滑油和</w:t>
            </w:r>
            <w:r>
              <w:rPr>
                <w:rFonts w:eastAsia="宋体"/>
                <w:color w:val="auto"/>
              </w:rPr>
              <w:t>危险废物等风险物质发生泄露，通过地面漫流的形式污染土壤，通过垂直入渗的形式污染地下水，但因本项目</w:t>
            </w:r>
            <w:r>
              <w:rPr>
                <w:rFonts w:hint="eastAsia" w:eastAsia="宋体"/>
                <w:color w:val="auto"/>
              </w:rPr>
              <w:t>生产车间</w:t>
            </w:r>
            <w:r>
              <w:rPr>
                <w:rFonts w:eastAsia="宋体"/>
                <w:color w:val="auto"/>
              </w:rPr>
              <w:t>和危废仓库</w:t>
            </w:r>
            <w:r>
              <w:rPr>
                <w:rFonts w:hint="eastAsia" w:eastAsia="宋体"/>
                <w:color w:val="auto"/>
              </w:rPr>
              <w:t>均设置了防渗措施</w:t>
            </w:r>
            <w:r>
              <w:rPr>
                <w:rFonts w:eastAsia="宋体"/>
                <w:color w:val="auto"/>
              </w:rPr>
              <w:t>，</w:t>
            </w:r>
            <w:r>
              <w:rPr>
                <w:rFonts w:hint="eastAsia" w:eastAsia="宋体"/>
                <w:color w:val="auto"/>
              </w:rPr>
              <w:t>因此</w:t>
            </w:r>
            <w:r>
              <w:rPr>
                <w:rFonts w:eastAsia="宋体"/>
                <w:color w:val="auto"/>
              </w:rPr>
              <w:t>不会对土壤和地下水环境的产生不利影响。</w:t>
            </w:r>
          </w:p>
          <w:p w14:paraId="70075944">
            <w:pPr>
              <w:pStyle w:val="80"/>
              <w:numPr>
                <w:ilvl w:val="0"/>
                <w:numId w:val="6"/>
              </w:numPr>
              <w:spacing w:line="420" w:lineRule="exact"/>
              <w:ind w:firstLineChars="0"/>
              <w:rPr>
                <w:rFonts w:eastAsia="宋体"/>
                <w:color w:val="auto"/>
              </w:rPr>
            </w:pPr>
            <w:r>
              <w:rPr>
                <w:rFonts w:eastAsia="宋体"/>
                <w:color w:val="auto"/>
              </w:rPr>
              <w:t>土壤及地下水污染防治措施</w:t>
            </w:r>
          </w:p>
          <w:p w14:paraId="3C27BADF">
            <w:pPr>
              <w:spacing w:line="420" w:lineRule="exact"/>
              <w:ind w:firstLine="480" w:firstLineChars="200"/>
              <w:rPr>
                <w:color w:val="auto"/>
                <w:sz w:val="24"/>
              </w:rPr>
            </w:pPr>
            <w:r>
              <w:rPr>
                <w:color w:val="auto"/>
                <w:sz w:val="24"/>
              </w:rPr>
              <w:t>根据《环境影响评价技术导则 地下水环境》（HJ610-2016）地下水污染防渗分区参照表，本项目防渗区域划分及防渗要求见下表。</w:t>
            </w:r>
          </w:p>
          <w:p w14:paraId="4200109D">
            <w:pPr>
              <w:spacing w:line="360" w:lineRule="exact"/>
              <w:jc w:val="center"/>
              <w:outlineLvl w:val="4"/>
              <w:rPr>
                <w:b/>
                <w:color w:val="auto"/>
                <w:szCs w:val="21"/>
              </w:rPr>
            </w:pPr>
            <w:r>
              <w:rPr>
                <w:b/>
                <w:color w:val="auto"/>
                <w:szCs w:val="21"/>
              </w:rPr>
              <w:t>表</w:t>
            </w:r>
            <w:r>
              <w:rPr>
                <w:rFonts w:hint="eastAsia"/>
                <w:b/>
                <w:color w:val="auto"/>
                <w:szCs w:val="21"/>
              </w:rPr>
              <w:t>4</w:t>
            </w:r>
            <w:r>
              <w:rPr>
                <w:b/>
                <w:color w:val="auto"/>
                <w:szCs w:val="21"/>
              </w:rPr>
              <w:t>-</w:t>
            </w:r>
            <w:r>
              <w:rPr>
                <w:rFonts w:hint="eastAsia"/>
                <w:b/>
                <w:color w:val="auto"/>
                <w:szCs w:val="21"/>
              </w:rPr>
              <w:t>3</w:t>
            </w:r>
            <w:r>
              <w:rPr>
                <w:rFonts w:hint="eastAsia"/>
                <w:b/>
                <w:color w:val="auto"/>
                <w:szCs w:val="21"/>
                <w:lang w:val="en-US" w:eastAsia="zh-CN"/>
              </w:rPr>
              <w:t>7</w:t>
            </w:r>
            <w:r>
              <w:rPr>
                <w:rFonts w:hint="eastAsia"/>
                <w:b/>
                <w:color w:val="auto"/>
                <w:szCs w:val="21"/>
              </w:rPr>
              <w:t xml:space="preserve"> </w:t>
            </w:r>
            <w:r>
              <w:rPr>
                <w:b/>
                <w:color w:val="auto"/>
                <w:szCs w:val="21"/>
              </w:rPr>
              <w:t xml:space="preserve"> 污染区划分及防渗要求</w:t>
            </w:r>
          </w:p>
          <w:tbl>
            <w:tblPr>
              <w:tblStyle w:val="37"/>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46"/>
              <w:gridCol w:w="2546"/>
              <w:gridCol w:w="4195"/>
            </w:tblGrid>
            <w:tr w14:paraId="6254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980" w:type="dxa"/>
                  <w:vAlign w:val="center"/>
                </w:tcPr>
                <w:p w14:paraId="4C920841">
                  <w:pPr>
                    <w:adjustRightInd w:val="0"/>
                    <w:snapToGrid w:val="0"/>
                    <w:jc w:val="center"/>
                    <w:rPr>
                      <w:b/>
                      <w:bCs/>
                      <w:color w:val="auto"/>
                      <w:szCs w:val="21"/>
                    </w:rPr>
                  </w:pPr>
                  <w:r>
                    <w:rPr>
                      <w:b/>
                      <w:bCs/>
                      <w:color w:val="auto"/>
                      <w:szCs w:val="21"/>
                    </w:rPr>
                    <w:t>分区类别</w:t>
                  </w:r>
                </w:p>
              </w:tc>
              <w:tc>
                <w:tcPr>
                  <w:tcW w:w="2464" w:type="dxa"/>
                  <w:vAlign w:val="center"/>
                </w:tcPr>
                <w:p w14:paraId="292B3BE2">
                  <w:pPr>
                    <w:adjustRightInd w:val="0"/>
                    <w:snapToGrid w:val="0"/>
                    <w:jc w:val="center"/>
                    <w:rPr>
                      <w:b/>
                      <w:bCs/>
                      <w:color w:val="auto"/>
                      <w:szCs w:val="21"/>
                    </w:rPr>
                  </w:pPr>
                  <w:r>
                    <w:rPr>
                      <w:b/>
                      <w:bCs/>
                      <w:color w:val="auto"/>
                      <w:szCs w:val="21"/>
                    </w:rPr>
                    <w:t>分区</w:t>
                  </w:r>
                </w:p>
              </w:tc>
              <w:tc>
                <w:tcPr>
                  <w:tcW w:w="4060" w:type="dxa"/>
                  <w:vAlign w:val="center"/>
                </w:tcPr>
                <w:p w14:paraId="4C8BC13B">
                  <w:pPr>
                    <w:adjustRightInd w:val="0"/>
                    <w:snapToGrid w:val="0"/>
                    <w:jc w:val="center"/>
                    <w:rPr>
                      <w:b/>
                      <w:bCs/>
                      <w:color w:val="auto"/>
                      <w:szCs w:val="21"/>
                    </w:rPr>
                  </w:pPr>
                  <w:r>
                    <w:rPr>
                      <w:b/>
                      <w:bCs/>
                      <w:color w:val="auto"/>
                      <w:szCs w:val="21"/>
                    </w:rPr>
                    <w:t>防渗要求</w:t>
                  </w:r>
                </w:p>
              </w:tc>
            </w:tr>
            <w:tr w14:paraId="6743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980" w:type="dxa"/>
                  <w:vAlign w:val="center"/>
                </w:tcPr>
                <w:p w14:paraId="66953460">
                  <w:pPr>
                    <w:adjustRightInd w:val="0"/>
                    <w:snapToGrid w:val="0"/>
                    <w:jc w:val="center"/>
                    <w:rPr>
                      <w:color w:val="auto"/>
                      <w:szCs w:val="21"/>
                    </w:rPr>
                  </w:pPr>
                  <w:r>
                    <w:rPr>
                      <w:color w:val="auto"/>
                      <w:szCs w:val="21"/>
                    </w:rPr>
                    <w:t>简单防渗区</w:t>
                  </w:r>
                </w:p>
              </w:tc>
              <w:tc>
                <w:tcPr>
                  <w:tcW w:w="2464" w:type="dxa"/>
                  <w:vAlign w:val="center"/>
                </w:tcPr>
                <w:p w14:paraId="6090C963">
                  <w:pPr>
                    <w:adjustRightInd w:val="0"/>
                    <w:snapToGrid w:val="0"/>
                    <w:jc w:val="center"/>
                    <w:rPr>
                      <w:color w:val="auto"/>
                      <w:szCs w:val="21"/>
                    </w:rPr>
                  </w:pPr>
                  <w:r>
                    <w:rPr>
                      <w:color w:val="auto"/>
                      <w:szCs w:val="21"/>
                    </w:rPr>
                    <w:t>办公</w:t>
                  </w:r>
                  <w:r>
                    <w:rPr>
                      <w:rFonts w:hint="eastAsia"/>
                      <w:color w:val="auto"/>
                      <w:szCs w:val="21"/>
                    </w:rPr>
                    <w:t>区</w:t>
                  </w:r>
                  <w:r>
                    <w:rPr>
                      <w:color w:val="auto"/>
                      <w:szCs w:val="21"/>
                    </w:rPr>
                    <w:t>、</w:t>
                  </w:r>
                  <w:r>
                    <w:rPr>
                      <w:rFonts w:hint="eastAsia"/>
                      <w:color w:val="auto"/>
                      <w:szCs w:val="21"/>
                    </w:rPr>
                    <w:t>原料、</w:t>
                  </w:r>
                  <w:r>
                    <w:rPr>
                      <w:color w:val="auto"/>
                      <w:szCs w:val="21"/>
                    </w:rPr>
                    <w:t>成品仓库</w:t>
                  </w:r>
                </w:p>
              </w:tc>
              <w:tc>
                <w:tcPr>
                  <w:tcW w:w="4060" w:type="dxa"/>
                  <w:vAlign w:val="center"/>
                </w:tcPr>
                <w:p w14:paraId="084BEFD7">
                  <w:pPr>
                    <w:adjustRightInd w:val="0"/>
                    <w:snapToGrid w:val="0"/>
                    <w:spacing w:line="240" w:lineRule="exact"/>
                    <w:jc w:val="center"/>
                    <w:rPr>
                      <w:color w:val="auto"/>
                      <w:szCs w:val="21"/>
                    </w:rPr>
                  </w:pPr>
                  <w:r>
                    <w:rPr>
                      <w:color w:val="auto"/>
                      <w:szCs w:val="21"/>
                    </w:rPr>
                    <w:t>一般地面硬化</w:t>
                  </w:r>
                </w:p>
              </w:tc>
            </w:tr>
            <w:tr w14:paraId="15A1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980" w:type="dxa"/>
                  <w:vAlign w:val="center"/>
                </w:tcPr>
                <w:p w14:paraId="72EAFBE2">
                  <w:pPr>
                    <w:adjustRightInd w:val="0"/>
                    <w:snapToGrid w:val="0"/>
                    <w:jc w:val="center"/>
                    <w:rPr>
                      <w:color w:val="auto"/>
                      <w:szCs w:val="21"/>
                    </w:rPr>
                  </w:pPr>
                  <w:r>
                    <w:rPr>
                      <w:color w:val="auto"/>
                      <w:szCs w:val="21"/>
                    </w:rPr>
                    <w:t>一般污染防治区</w:t>
                  </w:r>
                </w:p>
              </w:tc>
              <w:tc>
                <w:tcPr>
                  <w:tcW w:w="2464" w:type="dxa"/>
                  <w:vAlign w:val="center"/>
                </w:tcPr>
                <w:p w14:paraId="1B14AB29">
                  <w:pPr>
                    <w:adjustRightInd w:val="0"/>
                    <w:snapToGrid w:val="0"/>
                    <w:jc w:val="center"/>
                    <w:rPr>
                      <w:color w:val="auto"/>
                      <w:szCs w:val="21"/>
                    </w:rPr>
                  </w:pPr>
                  <w:r>
                    <w:rPr>
                      <w:color w:val="auto"/>
                      <w:szCs w:val="21"/>
                    </w:rPr>
                    <w:t>生产区</w:t>
                  </w:r>
                  <w:r>
                    <w:rPr>
                      <w:rFonts w:hint="eastAsia"/>
                      <w:color w:val="auto"/>
                      <w:szCs w:val="21"/>
                    </w:rPr>
                    <w:t>、</w:t>
                  </w:r>
                  <w:r>
                    <w:rPr>
                      <w:color w:val="auto"/>
                      <w:szCs w:val="21"/>
                    </w:rPr>
                    <w:t>一般固废暂存区</w:t>
                  </w:r>
                </w:p>
              </w:tc>
              <w:tc>
                <w:tcPr>
                  <w:tcW w:w="4060" w:type="dxa"/>
                  <w:vAlign w:val="center"/>
                </w:tcPr>
                <w:p w14:paraId="5E5F5E06">
                  <w:pPr>
                    <w:adjustRightInd w:val="0"/>
                    <w:snapToGrid w:val="0"/>
                    <w:spacing w:line="240" w:lineRule="exact"/>
                    <w:ind w:left="105" w:leftChars="50" w:right="105" w:rightChars="50"/>
                    <w:jc w:val="left"/>
                    <w:rPr>
                      <w:color w:val="auto"/>
                      <w:szCs w:val="21"/>
                    </w:rPr>
                  </w:pPr>
                  <w:r>
                    <w:rPr>
                      <w:color w:val="auto"/>
                      <w:szCs w:val="21"/>
                    </w:rPr>
                    <w:t>等效黏土防渗层Mb≥</w:t>
                  </w:r>
                  <w:r>
                    <w:rPr>
                      <w:rFonts w:hint="eastAsia"/>
                      <w:color w:val="auto"/>
                      <w:szCs w:val="21"/>
                    </w:rPr>
                    <w:t>1.5</w:t>
                  </w:r>
                  <w:r>
                    <w:rPr>
                      <w:color w:val="auto"/>
                      <w:szCs w:val="21"/>
                    </w:rPr>
                    <w:t>m，渗透系数k≤10</w:t>
                  </w:r>
                  <w:r>
                    <w:rPr>
                      <w:color w:val="auto"/>
                      <w:szCs w:val="21"/>
                      <w:vertAlign w:val="superscript"/>
                    </w:rPr>
                    <w:t>-7</w:t>
                  </w:r>
                  <w:r>
                    <w:rPr>
                      <w:color w:val="auto"/>
                      <w:szCs w:val="21"/>
                    </w:rPr>
                    <w:t>cm/s；或参照GB16889执行</w:t>
                  </w:r>
                </w:p>
              </w:tc>
            </w:tr>
            <w:tr w14:paraId="0052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980" w:type="dxa"/>
                  <w:vAlign w:val="center"/>
                </w:tcPr>
                <w:p w14:paraId="1ECB68C4">
                  <w:pPr>
                    <w:adjustRightInd w:val="0"/>
                    <w:snapToGrid w:val="0"/>
                    <w:jc w:val="center"/>
                    <w:rPr>
                      <w:color w:val="auto"/>
                      <w:szCs w:val="21"/>
                    </w:rPr>
                  </w:pPr>
                  <w:r>
                    <w:rPr>
                      <w:color w:val="auto"/>
                      <w:szCs w:val="21"/>
                    </w:rPr>
                    <w:t>重点污染防治区</w:t>
                  </w:r>
                </w:p>
              </w:tc>
              <w:tc>
                <w:tcPr>
                  <w:tcW w:w="2464" w:type="dxa"/>
                  <w:vAlign w:val="center"/>
                </w:tcPr>
                <w:p w14:paraId="43FE7DBC">
                  <w:pPr>
                    <w:adjustRightInd w:val="0"/>
                    <w:snapToGrid w:val="0"/>
                    <w:jc w:val="center"/>
                    <w:rPr>
                      <w:color w:val="auto"/>
                      <w:szCs w:val="21"/>
                    </w:rPr>
                  </w:pPr>
                  <w:r>
                    <w:rPr>
                      <w:color w:val="auto"/>
                      <w:szCs w:val="21"/>
                    </w:rPr>
                    <w:t>危废暂存场所</w:t>
                  </w:r>
                  <w:r>
                    <w:rPr>
                      <w:rFonts w:hint="eastAsia"/>
                      <w:color w:val="auto"/>
                      <w:szCs w:val="21"/>
                    </w:rPr>
                    <w:t>、胶水仓库</w:t>
                  </w:r>
                </w:p>
              </w:tc>
              <w:tc>
                <w:tcPr>
                  <w:tcW w:w="4060" w:type="dxa"/>
                  <w:vAlign w:val="center"/>
                </w:tcPr>
                <w:p w14:paraId="50ECEC23">
                  <w:pPr>
                    <w:adjustRightInd w:val="0"/>
                    <w:snapToGrid w:val="0"/>
                    <w:spacing w:line="240" w:lineRule="exact"/>
                    <w:ind w:left="105" w:leftChars="50" w:right="105" w:rightChars="50"/>
                    <w:jc w:val="left"/>
                    <w:rPr>
                      <w:color w:val="auto"/>
                      <w:szCs w:val="21"/>
                    </w:rPr>
                  </w:pPr>
                  <w:r>
                    <w:rPr>
                      <w:color w:val="auto"/>
                      <w:szCs w:val="21"/>
                    </w:rPr>
                    <w:t>等效黏土防渗层Mb≥6.0m，渗透系数k≤10</w:t>
                  </w:r>
                  <w:r>
                    <w:rPr>
                      <w:color w:val="auto"/>
                      <w:szCs w:val="21"/>
                      <w:vertAlign w:val="superscript"/>
                    </w:rPr>
                    <w:t>-7</w:t>
                  </w:r>
                  <w:r>
                    <w:rPr>
                      <w:color w:val="auto"/>
                      <w:szCs w:val="21"/>
                    </w:rPr>
                    <w:t>cm/s；或参照GB18598执行</w:t>
                  </w:r>
                </w:p>
              </w:tc>
            </w:tr>
          </w:tbl>
          <w:p w14:paraId="6C07A77A">
            <w:pPr>
              <w:spacing w:line="440" w:lineRule="exact"/>
              <w:rPr>
                <w:rFonts w:hAnsi="宋体"/>
                <w:b/>
                <w:bCs/>
                <w:color w:val="auto"/>
                <w:spacing w:val="-10"/>
                <w:sz w:val="24"/>
              </w:rPr>
            </w:pPr>
            <w:r>
              <w:rPr>
                <w:color w:val="auto"/>
                <w:sz w:val="24"/>
              </w:rPr>
              <mc:AlternateContent>
                <mc:Choice Requires="wps">
                  <w:drawing>
                    <wp:anchor distT="0" distB="0" distL="114300" distR="114300" simplePos="0" relativeHeight="251679744" behindDoc="0" locked="0" layoutInCell="1" allowOverlap="1">
                      <wp:simplePos x="0" y="0"/>
                      <wp:positionH relativeFrom="column">
                        <wp:posOffset>3194050</wp:posOffset>
                      </wp:positionH>
                      <wp:positionV relativeFrom="paragraph">
                        <wp:posOffset>150495</wp:posOffset>
                      </wp:positionV>
                      <wp:extent cx="288925" cy="20383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8925" cy="203835"/>
                              </a:xfrm>
                              <a:prstGeom prst="rect">
                                <a:avLst/>
                              </a:prstGeom>
                              <a:noFill/>
                              <a:ln w="6350">
                                <a:noFill/>
                              </a:ln>
                              <a:effectLst/>
                            </wps:spPr>
                            <wps:txbx>
                              <w:txbxContent>
                                <w:p w14:paraId="779EB256">
                                  <w:pPr>
                                    <w:rPr>
                                      <w:b/>
                                      <w:bCs/>
                                      <w:sz w:val="11"/>
                                      <w:szCs w:val="11"/>
                                    </w:rPr>
                                  </w:pPr>
                                  <w:r>
                                    <w:rPr>
                                      <w:rFonts w:hint="eastAsia"/>
                                      <w:b/>
                                      <w:bCs/>
                                      <w:sz w:val="11"/>
                                      <w:szCs w:val="11"/>
                                    </w:rPr>
                                    <w:t>2F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5pt;margin-top:11.85pt;height:16.05pt;width:22.75pt;z-index:251679744;mso-width-relative:page;mso-height-relative:page;" filled="f" stroked="f" coordsize="21600,21600" o:gfxdata="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pIh8h2wAAAAkBAAAPAAAAAAAAAAEAIAAA&#10;ACIAAABkcnMvZG93bnJldi54bWxQSwECFAAUAAAACACHTuJA86XnSkICAAB1BAAADgAAAAAAAAAB&#10;ACAAAAAqAQAAZHJzL2Uyb0RvYy54bWxQSwUGAAAAAAYABgBZAQAA3gUAAAAA&#10;">
                      <v:fill on="f" focussize="0,0"/>
                      <v:stroke on="f" weight="0.5pt"/>
                      <v:imagedata o:title=""/>
                      <o:lock v:ext="edit" aspectratio="f"/>
                      <v:textbox>
                        <w:txbxContent>
                          <w:p w14:paraId="779EB256">
                            <w:pPr>
                              <w:rPr>
                                <w:b/>
                                <w:bCs/>
                                <w:sz w:val="11"/>
                                <w:szCs w:val="11"/>
                              </w:rPr>
                            </w:pPr>
                            <w:r>
                              <w:rPr>
                                <w:rFonts w:hint="eastAsia"/>
                                <w:b/>
                                <w:bCs/>
                                <w:sz w:val="11"/>
                                <w:szCs w:val="11"/>
                              </w:rPr>
                              <w:t>2F</w:t>
                            </w:r>
                          </w:p>
                        </w:txbxContent>
                      </v:textbox>
                    </v:shape>
                  </w:pict>
                </mc:Fallback>
              </mc:AlternateContent>
            </w:r>
          </w:p>
          <w:p w14:paraId="36EAC179">
            <w:pPr>
              <w:spacing w:line="440" w:lineRule="exact"/>
              <w:rPr>
                <w:rFonts w:hAnsi="宋体"/>
                <w:b/>
                <w:bCs/>
                <w:color w:val="auto"/>
                <w:spacing w:val="-10"/>
                <w:sz w:val="24"/>
              </w:rPr>
            </w:pPr>
            <w:r>
              <w:rPr>
                <w:color w:val="auto"/>
                <w:sz w:val="24"/>
              </w:rPr>
              <mc:AlternateContent>
                <mc:Choice Requires="wps">
                  <w:drawing>
                    <wp:anchor distT="0" distB="0" distL="114300" distR="114300" simplePos="0" relativeHeight="251680768" behindDoc="0" locked="0" layoutInCell="1" allowOverlap="1">
                      <wp:simplePos x="0" y="0"/>
                      <wp:positionH relativeFrom="column">
                        <wp:posOffset>3096260</wp:posOffset>
                      </wp:positionH>
                      <wp:positionV relativeFrom="paragraph">
                        <wp:posOffset>38100</wp:posOffset>
                      </wp:positionV>
                      <wp:extent cx="524510" cy="20383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24510" cy="203835"/>
                              </a:xfrm>
                              <a:prstGeom prst="rect">
                                <a:avLst/>
                              </a:prstGeom>
                              <a:noFill/>
                              <a:ln w="6350">
                                <a:noFill/>
                              </a:ln>
                              <a:effectLst/>
                            </wps:spPr>
                            <wps:txbx>
                              <w:txbxContent>
                                <w:p w14:paraId="757EFDC3">
                                  <w:pPr>
                                    <w:rPr>
                                      <w:b/>
                                      <w:bCs/>
                                      <w:sz w:val="11"/>
                                      <w:szCs w:val="11"/>
                                    </w:rPr>
                                  </w:pPr>
                                  <w:r>
                                    <w:rPr>
                                      <w:rFonts w:hint="eastAsia"/>
                                      <w:b/>
                                      <w:bCs/>
                                      <w:sz w:val="11"/>
                                      <w:szCs w:val="11"/>
                                    </w:rPr>
                                    <w:t>喷胶车间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8pt;margin-top:3pt;height:16.05pt;width:41.3pt;z-index:251680768;mso-width-relative:page;mso-height-relative:page;" filled="f" stroked="f" coordsize="21600,21600" o:gfxdata="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zBR7NoAAAAIAQAADwAAAAAAAAABACAAAAAi&#10;AAAAZHJzL2Rvd25yZXYueG1sUEsBAhQAFAAAAAgAh07iQNY7kJhBAgAAdQQAAA4AAAAAAAAAAQAg&#10;AAAAKQEAAGRycy9lMm9Eb2MueG1sUEsFBgAAAAAGAAYAWQEAANwFAAAAAA==&#10;">
                      <v:fill on="f" focussize="0,0"/>
                      <v:stroke on="f" weight="0.5pt"/>
                      <v:imagedata o:title=""/>
                      <o:lock v:ext="edit" aspectratio="f"/>
                      <v:textbox>
                        <w:txbxContent>
                          <w:p w14:paraId="757EFDC3">
                            <w:pPr>
                              <w:rPr>
                                <w:b/>
                                <w:bCs/>
                                <w:sz w:val="11"/>
                                <w:szCs w:val="11"/>
                              </w:rPr>
                            </w:pPr>
                            <w:r>
                              <w:rPr>
                                <w:rFonts w:hint="eastAsia"/>
                                <w:b/>
                                <w:bCs/>
                                <w:sz w:val="11"/>
                                <w:szCs w:val="11"/>
                              </w:rPr>
                              <w:t>喷胶车间</w:t>
                            </w:r>
                          </w:p>
                        </w:txbxContent>
                      </v:textbox>
                    </v:shape>
                  </w:pict>
                </mc:Fallback>
              </mc:AlternateContent>
            </w:r>
          </w:p>
          <w:p w14:paraId="228E86AD">
            <w:pPr>
              <w:spacing w:line="440" w:lineRule="exact"/>
              <w:rPr>
                <w:rFonts w:hAnsi="宋体"/>
                <w:b/>
                <w:bCs/>
                <w:color w:val="auto"/>
                <w:spacing w:val="-10"/>
                <w:sz w:val="24"/>
              </w:rPr>
            </w:pPr>
            <w:r>
              <w:drawing>
                <wp:anchor distT="0" distB="0" distL="114300" distR="114300" simplePos="0" relativeHeight="251698176" behindDoc="0" locked="0" layoutInCell="1" allowOverlap="1">
                  <wp:simplePos x="0" y="0"/>
                  <wp:positionH relativeFrom="column">
                    <wp:posOffset>1195705</wp:posOffset>
                  </wp:positionH>
                  <wp:positionV relativeFrom="paragraph">
                    <wp:posOffset>59055</wp:posOffset>
                  </wp:positionV>
                  <wp:extent cx="3728085" cy="3450590"/>
                  <wp:effectExtent l="0" t="0" r="5715" b="165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3728085" cy="3450590"/>
                          </a:xfrm>
                          <a:prstGeom prst="rect">
                            <a:avLst/>
                          </a:prstGeom>
                          <a:noFill/>
                          <a:ln>
                            <a:noFill/>
                          </a:ln>
                        </pic:spPr>
                      </pic:pic>
                    </a:graphicData>
                  </a:graphic>
                </wp:anchor>
              </w:drawing>
            </w:r>
          </w:p>
          <w:p w14:paraId="12F1FB01">
            <w:pPr>
              <w:spacing w:line="440" w:lineRule="exact"/>
              <w:rPr>
                <w:rFonts w:hAnsi="宋体"/>
                <w:b/>
                <w:bCs/>
                <w:color w:val="auto"/>
                <w:spacing w:val="-10"/>
                <w:sz w:val="24"/>
              </w:rPr>
            </w:pPr>
          </w:p>
          <w:p w14:paraId="00C547FC">
            <w:pPr>
              <w:spacing w:line="440" w:lineRule="exact"/>
              <w:rPr>
                <w:rFonts w:hAnsi="宋体"/>
                <w:b/>
                <w:bCs/>
                <w:color w:val="auto"/>
                <w:spacing w:val="-10"/>
                <w:sz w:val="24"/>
              </w:rPr>
            </w:pPr>
          </w:p>
          <w:p w14:paraId="5B8BBCBF">
            <w:pPr>
              <w:spacing w:line="440" w:lineRule="exact"/>
              <w:jc w:val="center"/>
              <w:rPr>
                <w:color w:val="auto"/>
                <w:szCs w:val="21"/>
              </w:rPr>
            </w:pPr>
          </w:p>
          <w:p w14:paraId="10A8BEB0">
            <w:pPr>
              <w:pStyle w:val="2"/>
              <w:rPr>
                <w:color w:val="auto"/>
                <w:szCs w:val="21"/>
              </w:rPr>
            </w:pPr>
          </w:p>
          <w:p w14:paraId="3BAE73C5">
            <w:pPr>
              <w:pStyle w:val="3"/>
              <w:rPr>
                <w:color w:val="auto"/>
                <w:szCs w:val="21"/>
              </w:rPr>
            </w:pPr>
          </w:p>
          <w:p w14:paraId="74CEC253">
            <w:pPr>
              <w:pStyle w:val="3"/>
              <w:rPr>
                <w:color w:val="auto"/>
                <w:szCs w:val="21"/>
              </w:rPr>
            </w:pPr>
          </w:p>
          <w:p w14:paraId="31C64E6B">
            <w:pPr>
              <w:pStyle w:val="3"/>
              <w:rPr>
                <w:color w:val="auto"/>
                <w:szCs w:val="21"/>
              </w:rPr>
            </w:pPr>
          </w:p>
          <w:p w14:paraId="6895CF77">
            <w:pPr>
              <w:jc w:val="center"/>
              <w:rPr>
                <w:color w:val="auto"/>
                <w:szCs w:val="21"/>
              </w:rPr>
            </w:pPr>
          </w:p>
          <w:p w14:paraId="5F502A5E">
            <w:pPr>
              <w:jc w:val="center"/>
              <w:rPr>
                <w:color w:val="auto"/>
                <w:szCs w:val="21"/>
              </w:rPr>
            </w:pPr>
          </w:p>
          <w:p w14:paraId="3635D7D8">
            <w:pPr>
              <w:jc w:val="center"/>
              <w:rPr>
                <w:rFonts w:hint="eastAsia"/>
                <w:color w:val="auto"/>
                <w:szCs w:val="21"/>
              </w:rPr>
            </w:pPr>
          </w:p>
          <w:p w14:paraId="498DA735">
            <w:pPr>
              <w:jc w:val="center"/>
              <w:rPr>
                <w:rFonts w:hint="eastAsia"/>
                <w:color w:val="auto"/>
                <w:szCs w:val="21"/>
              </w:rPr>
            </w:pPr>
          </w:p>
          <w:p w14:paraId="4536FC4B">
            <w:pPr>
              <w:jc w:val="center"/>
              <w:rPr>
                <w:rFonts w:hint="eastAsia"/>
                <w:color w:val="auto"/>
                <w:szCs w:val="21"/>
              </w:rPr>
            </w:pPr>
          </w:p>
          <w:p w14:paraId="07525BF2">
            <w:pPr>
              <w:jc w:val="center"/>
              <w:rPr>
                <w:rFonts w:hint="eastAsia"/>
                <w:color w:val="auto"/>
                <w:szCs w:val="21"/>
              </w:rPr>
            </w:pPr>
          </w:p>
          <w:p w14:paraId="1437CB45">
            <w:pPr>
              <w:jc w:val="center"/>
              <w:rPr>
                <w:rFonts w:hint="eastAsia"/>
                <w:color w:val="auto"/>
                <w:szCs w:val="21"/>
              </w:rPr>
            </w:pPr>
          </w:p>
          <w:p w14:paraId="68D62B7B">
            <w:pPr>
              <w:jc w:val="center"/>
              <w:rPr>
                <w:rFonts w:hint="eastAsia"/>
                <w:color w:val="auto"/>
                <w:szCs w:val="21"/>
              </w:rPr>
            </w:pPr>
          </w:p>
          <w:p w14:paraId="09E8212A">
            <w:pPr>
              <w:jc w:val="center"/>
              <w:rPr>
                <w:rFonts w:hint="eastAsia"/>
                <w:color w:val="auto"/>
                <w:szCs w:val="21"/>
              </w:rPr>
            </w:pPr>
          </w:p>
          <w:p w14:paraId="4E1E3453">
            <w:pPr>
              <w:jc w:val="center"/>
              <w:rPr>
                <w:rFonts w:hint="eastAsia"/>
                <w:color w:val="auto"/>
                <w:szCs w:val="21"/>
              </w:rPr>
            </w:pPr>
          </w:p>
          <w:p w14:paraId="2AEBB962">
            <w:pPr>
              <w:jc w:val="center"/>
              <w:rPr>
                <w:rFonts w:hint="eastAsia"/>
                <w:color w:val="auto"/>
                <w:szCs w:val="21"/>
              </w:rPr>
            </w:pPr>
          </w:p>
          <w:p w14:paraId="404446AC">
            <w:pPr>
              <w:jc w:val="center"/>
              <w:rPr>
                <w:rFonts w:hint="eastAsia"/>
                <w:color w:val="auto"/>
                <w:szCs w:val="21"/>
              </w:rPr>
            </w:pPr>
          </w:p>
          <w:p w14:paraId="374F7CAD">
            <w:pPr>
              <w:jc w:val="center"/>
              <w:rPr>
                <w:rFonts w:hint="eastAsia"/>
                <w:color w:val="auto"/>
                <w:szCs w:val="21"/>
              </w:rPr>
            </w:pPr>
          </w:p>
          <w:p w14:paraId="5818274F">
            <w:pPr>
              <w:jc w:val="center"/>
              <w:rPr>
                <w:rFonts w:hAnsi="宋体"/>
                <w:b/>
                <w:bCs/>
                <w:color w:val="auto"/>
                <w:spacing w:val="-10"/>
                <w:sz w:val="24"/>
              </w:rPr>
            </w:pPr>
            <w:r>
              <w:rPr>
                <w:rFonts w:hint="eastAsia"/>
                <w:color w:val="auto"/>
                <w:szCs w:val="21"/>
              </w:rPr>
              <w:t>白色区域为简单防渗区，黄色区域为一般污染防治区，红色区域为</w:t>
            </w:r>
            <w:r>
              <w:rPr>
                <w:color w:val="auto"/>
                <w:szCs w:val="21"/>
              </w:rPr>
              <w:t>重点污染防治区</w:t>
            </w:r>
          </w:p>
          <w:p w14:paraId="7C2336CA">
            <w:pPr>
              <w:spacing w:beforeLines="50"/>
              <w:jc w:val="center"/>
              <w:rPr>
                <w:rFonts w:hAnsi="宋体"/>
                <w:b/>
                <w:bCs/>
                <w:color w:val="auto"/>
                <w:spacing w:val="-10"/>
                <w:sz w:val="24"/>
              </w:rPr>
            </w:pPr>
            <w:r>
              <w:rPr>
                <w:rFonts w:hint="eastAsia"/>
                <w:b/>
                <w:bCs/>
                <w:color w:val="auto"/>
                <w:szCs w:val="21"/>
              </w:rPr>
              <w:t>图4-3  本项目分区防渗图</w:t>
            </w:r>
          </w:p>
          <w:p w14:paraId="39538DE4">
            <w:pPr>
              <w:spacing w:line="440" w:lineRule="exact"/>
              <w:rPr>
                <w:rFonts w:hAnsi="宋体"/>
                <w:b/>
                <w:bCs/>
                <w:color w:val="auto"/>
                <w:spacing w:val="-10"/>
                <w:sz w:val="24"/>
              </w:rPr>
            </w:pPr>
            <w:r>
              <w:rPr>
                <w:rFonts w:hint="eastAsia" w:hAnsi="宋体"/>
                <w:b/>
                <w:bCs/>
                <w:color w:val="auto"/>
                <w:spacing w:val="-10"/>
                <w:sz w:val="24"/>
              </w:rPr>
              <w:t xml:space="preserve">4.6 </w:t>
            </w:r>
            <w:r>
              <w:rPr>
                <w:rFonts w:hAnsi="宋体"/>
                <w:b/>
                <w:bCs/>
                <w:color w:val="auto"/>
                <w:spacing w:val="-10"/>
                <w:sz w:val="24"/>
              </w:rPr>
              <w:t>生态</w:t>
            </w:r>
          </w:p>
          <w:p w14:paraId="198117A0">
            <w:pPr>
              <w:pStyle w:val="118"/>
              <w:rPr>
                <w:rFonts w:hAnsi="宋体" w:eastAsia="宋体"/>
                <w:color w:val="auto"/>
              </w:rPr>
            </w:pPr>
            <w:r>
              <w:rPr>
                <w:rFonts w:hAnsi="宋体" w:eastAsia="宋体"/>
                <w:color w:val="auto"/>
              </w:rPr>
              <w:t>本项目位于工业园区内，用地范围内无生态环境保护目标，</w:t>
            </w:r>
            <w:r>
              <w:rPr>
                <w:rFonts w:hint="eastAsia" w:hAnsi="宋体" w:eastAsia="宋体"/>
                <w:color w:val="auto"/>
              </w:rPr>
              <w:t>利用企业</w:t>
            </w:r>
            <w:r>
              <w:rPr>
                <w:rFonts w:hAnsi="宋体" w:eastAsia="宋体"/>
                <w:color w:val="auto"/>
              </w:rPr>
              <w:t>现有已建厂房进行生产，对生态环境影响较小。要求建设单位落实废水、废气、固废、噪声等污染物的防治对策，在确保污染物达标排放的前提下，尽量避免对周边生态环境造成不良影响。</w:t>
            </w:r>
          </w:p>
          <w:p w14:paraId="78DBE874">
            <w:pPr>
              <w:pStyle w:val="118"/>
              <w:ind w:firstLine="0" w:firstLineChars="0"/>
              <w:jc w:val="left"/>
              <w:rPr>
                <w:rFonts w:hAnsi="宋体" w:eastAsia="宋体"/>
                <w:b/>
                <w:bCs/>
                <w:color w:val="auto"/>
                <w:spacing w:val="-10"/>
                <w:kern w:val="2"/>
                <w:szCs w:val="24"/>
              </w:rPr>
            </w:pPr>
            <w:r>
              <w:rPr>
                <w:rFonts w:hint="eastAsia" w:hAnsi="宋体" w:eastAsia="宋体"/>
                <w:b/>
                <w:bCs/>
                <w:color w:val="auto"/>
                <w:spacing w:val="-10"/>
                <w:kern w:val="2"/>
                <w:szCs w:val="24"/>
              </w:rPr>
              <w:t xml:space="preserve">4.7 </w:t>
            </w:r>
            <w:r>
              <w:rPr>
                <w:rFonts w:hAnsi="宋体" w:eastAsia="宋体"/>
                <w:b/>
                <w:bCs/>
                <w:color w:val="auto"/>
                <w:spacing w:val="-10"/>
                <w:kern w:val="2"/>
                <w:szCs w:val="24"/>
              </w:rPr>
              <w:t>环境风险</w:t>
            </w:r>
          </w:p>
          <w:p w14:paraId="76AF1E1D">
            <w:pPr>
              <w:pStyle w:val="14"/>
              <w:spacing w:before="0" w:after="0" w:line="440" w:lineRule="exact"/>
              <w:ind w:firstLine="480" w:firstLineChars="200"/>
              <w:jc w:val="left"/>
              <w:rPr>
                <w:color w:val="auto"/>
                <w:sz w:val="24"/>
                <w:szCs w:val="24"/>
              </w:rPr>
            </w:pPr>
            <w:r>
              <w:rPr>
                <w:rFonts w:hint="eastAsia"/>
                <w:color w:val="auto"/>
                <w:sz w:val="24"/>
                <w:szCs w:val="24"/>
              </w:rPr>
              <w:t>环境风险评价的目的是分析和预测建设项目存在的潜在危险、有害因素，建设项目建设和运营期间可能发生的突发性事件或事故，引起有害有毒和易燃易爆等物质的泄露，所造成的人身安全与环境影响和损害程度，提出合理可行的防范、应急与减缓措施，以使建设项目事故率、损失和环境影响达到可接受的水平。</w:t>
            </w:r>
          </w:p>
          <w:p w14:paraId="73E6F7E4">
            <w:pPr>
              <w:pStyle w:val="14"/>
              <w:spacing w:before="0" w:after="0" w:line="440" w:lineRule="exact"/>
              <w:ind w:firstLine="482" w:firstLineChars="200"/>
              <w:jc w:val="left"/>
              <w:rPr>
                <w:b/>
                <w:color w:val="auto"/>
                <w:sz w:val="24"/>
                <w:szCs w:val="24"/>
              </w:rPr>
            </w:pPr>
            <w:r>
              <w:rPr>
                <w:b/>
                <w:color w:val="auto"/>
                <w:sz w:val="24"/>
                <w:szCs w:val="24"/>
              </w:rPr>
              <w:t>（1）环保设施环境风险源分析和识别</w:t>
            </w:r>
          </w:p>
          <w:p w14:paraId="5DDF7710">
            <w:pPr>
              <w:pStyle w:val="14"/>
              <w:spacing w:before="0" w:after="0" w:line="440" w:lineRule="exact"/>
              <w:ind w:firstLine="480" w:firstLineChars="200"/>
              <w:jc w:val="left"/>
              <w:rPr>
                <w:color w:val="auto"/>
                <w:sz w:val="24"/>
                <w:szCs w:val="24"/>
              </w:rPr>
            </w:pPr>
            <w:r>
              <w:rPr>
                <w:color w:val="auto"/>
                <w:sz w:val="24"/>
                <w:szCs w:val="24"/>
              </w:rPr>
              <w:t xml:space="preserve">根据《浙江省应急管理厅浙江省生态环境厅关于加强工业企业环保设施安全生产 工作的指导意见》（浙应急基础[2022]143号）中相关要求，对环保设施环境风险源 分析和识别，提出以下建议： </w:t>
            </w:r>
          </w:p>
          <w:p w14:paraId="5158C204">
            <w:pPr>
              <w:pStyle w:val="14"/>
              <w:spacing w:before="0" w:after="0" w:line="440" w:lineRule="exact"/>
              <w:ind w:firstLine="480" w:firstLineChars="200"/>
              <w:jc w:val="left"/>
              <w:rPr>
                <w:color w:val="auto"/>
                <w:sz w:val="24"/>
                <w:szCs w:val="24"/>
              </w:rPr>
            </w:pPr>
            <w:r>
              <w:rPr>
                <w:rFonts w:hint="eastAsia"/>
                <w:color w:val="auto"/>
                <w:sz w:val="24"/>
              </w:rPr>
              <w:fldChar w:fldCharType="begin"/>
            </w:r>
            <w:r>
              <w:rPr>
                <w:color w:val="auto"/>
                <w:sz w:val="24"/>
              </w:rPr>
              <w:instrText xml:space="preserve"> = 1 \* GB3 </w:instrText>
            </w:r>
            <w:r>
              <w:rPr>
                <w:rFonts w:hint="eastAsia"/>
                <w:color w:val="auto"/>
                <w:sz w:val="24"/>
              </w:rPr>
              <w:fldChar w:fldCharType="separate"/>
            </w:r>
            <w:r>
              <w:rPr>
                <w:rFonts w:hint="eastAsia" w:ascii="宋体" w:hAnsi="宋体" w:cs="宋体"/>
                <w:color w:val="auto"/>
                <w:sz w:val="24"/>
              </w:rPr>
              <w:t>①</w:t>
            </w:r>
            <w:r>
              <w:rPr>
                <w:rFonts w:hint="eastAsia" w:ascii="宋体" w:hAnsi="宋体" w:cs="宋体"/>
                <w:color w:val="auto"/>
                <w:sz w:val="24"/>
              </w:rPr>
              <w:fldChar w:fldCharType="end"/>
            </w:r>
            <w:r>
              <w:rPr>
                <w:color w:val="auto"/>
                <w:sz w:val="24"/>
                <w:szCs w:val="24"/>
              </w:rPr>
              <w:t xml:space="preserve">加强环保设施源头管理新、改、扩建重点环保设施应纳入建设项目管理，充分考虑安全风险，确保风险可控后方可施工和投入生产、使用。 </w:t>
            </w:r>
          </w:p>
          <w:p w14:paraId="1BC43FBC">
            <w:pPr>
              <w:pStyle w:val="14"/>
              <w:numPr>
                <w:ilvl w:val="0"/>
                <w:numId w:val="7"/>
              </w:numPr>
              <w:spacing w:before="0" w:after="0" w:line="440" w:lineRule="exact"/>
              <w:ind w:firstLine="480" w:firstLineChars="200"/>
              <w:jc w:val="left"/>
              <w:rPr>
                <w:color w:val="auto"/>
                <w:sz w:val="24"/>
                <w:szCs w:val="24"/>
              </w:rPr>
            </w:pPr>
            <w:r>
              <w:rPr>
                <w:color w:val="auto"/>
                <w:sz w:val="24"/>
                <w:szCs w:val="24"/>
              </w:rPr>
              <w:t>立项阶段。企业应当依法依规对建设项目开展环境影响评价，不得采用国家、 地方淘汰的设备、产品和工艺。在环评技术审查等环节，必要时可邀请应急管理部门、行业专家参与科学论证。</w:t>
            </w:r>
          </w:p>
          <w:p w14:paraId="33119C8C">
            <w:pPr>
              <w:pStyle w:val="14"/>
              <w:numPr>
                <w:ilvl w:val="0"/>
                <w:numId w:val="7"/>
              </w:numPr>
              <w:spacing w:before="0" w:after="0" w:line="440" w:lineRule="exact"/>
              <w:ind w:firstLine="480" w:firstLineChars="200"/>
              <w:jc w:val="left"/>
              <w:rPr>
                <w:color w:val="auto"/>
                <w:sz w:val="24"/>
                <w:szCs w:val="24"/>
              </w:rPr>
            </w:pPr>
            <w:r>
              <w:rPr>
                <w:color w:val="auto"/>
                <w:sz w:val="24"/>
                <w:szCs w:val="24"/>
              </w:rPr>
              <w:t>设计阶段。企业应当委托有相应资质(建设部门核发的综合、行业专项等设计 资质)的设计单位对建设项目 (含环保设施)进行设计，落实安全生产相关技术要求， 自行开展或组织环保和安全生产有关专家参与设计审查，出具审查报告，并按审查意见进行修改完善。</w:t>
            </w:r>
          </w:p>
          <w:p w14:paraId="2600B41D">
            <w:pPr>
              <w:pStyle w:val="14"/>
              <w:numPr>
                <w:ilvl w:val="0"/>
                <w:numId w:val="7"/>
              </w:numPr>
              <w:spacing w:before="0" w:after="0" w:line="440" w:lineRule="exact"/>
              <w:ind w:firstLine="480" w:firstLineChars="200"/>
              <w:jc w:val="left"/>
              <w:rPr>
                <w:color w:val="auto"/>
                <w:sz w:val="24"/>
                <w:szCs w:val="24"/>
              </w:rPr>
            </w:pPr>
            <w:r>
              <w:rPr>
                <w:color w:val="auto"/>
                <w:sz w:val="24"/>
                <w:szCs w:val="24"/>
              </w:rPr>
              <w:t>建设和验收阶段。施工单位应严格按照设计方案和相关施工技术标准、规范施工。建设项目竣工后，建设单位应当按照法律、法规规定的标准和程序，对环保设施进行验收，确保环保设施符合生态环境和安全生产要求，并形成书面报告。</w:t>
            </w:r>
          </w:p>
          <w:p w14:paraId="6786E91F">
            <w:pPr>
              <w:pStyle w:val="14"/>
              <w:spacing w:before="0" w:after="0" w:line="440" w:lineRule="exact"/>
              <w:ind w:firstLine="480" w:firstLineChars="200"/>
              <w:jc w:val="left"/>
              <w:rPr>
                <w:color w:val="auto"/>
                <w:sz w:val="24"/>
                <w:szCs w:val="24"/>
              </w:rPr>
            </w:pPr>
            <w:r>
              <w:rPr>
                <w:rFonts w:hint="eastAsia"/>
                <w:color w:val="auto"/>
                <w:sz w:val="24"/>
              </w:rPr>
              <w:fldChar w:fldCharType="begin"/>
            </w:r>
            <w:r>
              <w:rPr>
                <w:color w:val="auto"/>
                <w:sz w:val="24"/>
              </w:rPr>
              <w:instrText xml:space="preserve"> = 2 \* GB3 </w:instrText>
            </w:r>
            <w:r>
              <w:rPr>
                <w:rFonts w:hint="eastAsia"/>
                <w:color w:val="auto"/>
                <w:sz w:val="24"/>
              </w:rPr>
              <w:fldChar w:fldCharType="separate"/>
            </w:r>
            <w:r>
              <w:rPr>
                <w:rFonts w:hint="eastAsia" w:ascii="宋体" w:hAnsi="宋体" w:cs="宋体"/>
                <w:color w:val="auto"/>
                <w:sz w:val="24"/>
              </w:rPr>
              <w:t>②</w:t>
            </w:r>
            <w:r>
              <w:rPr>
                <w:rFonts w:hint="eastAsia" w:ascii="宋体" w:hAnsi="宋体" w:cs="宋体"/>
                <w:color w:val="auto"/>
                <w:sz w:val="24"/>
              </w:rPr>
              <w:fldChar w:fldCharType="end"/>
            </w:r>
            <w:r>
              <w:rPr>
                <w:color w:val="auto"/>
                <w:sz w:val="24"/>
                <w:szCs w:val="24"/>
              </w:rPr>
              <w:t>有效落实各方安全管理责任</w:t>
            </w:r>
          </w:p>
          <w:p w14:paraId="344AB26D">
            <w:pPr>
              <w:pStyle w:val="14"/>
              <w:numPr>
                <w:ilvl w:val="0"/>
                <w:numId w:val="8"/>
              </w:numPr>
              <w:spacing w:before="0" w:after="0" w:line="440" w:lineRule="exact"/>
              <w:ind w:firstLine="480" w:firstLineChars="200"/>
              <w:jc w:val="left"/>
              <w:rPr>
                <w:color w:val="auto"/>
                <w:sz w:val="24"/>
                <w:szCs w:val="24"/>
              </w:rPr>
            </w:pPr>
            <w:r>
              <w:rPr>
                <w:color w:val="auto"/>
                <w:sz w:val="24"/>
                <w:szCs w:val="24"/>
              </w:rPr>
              <w:t xml:space="preserve">严格落实企业主体责任。企业要把环保设施安全落实到生产经营工作全过程各 方面，建立环保设施台账和维护管理制度，对环保设施操作、危险作业等相关岗位人 员开展安全操作规程、风险管控、应急处置等专项安全培训教育。 </w:t>
            </w:r>
          </w:p>
          <w:p w14:paraId="1C99228F">
            <w:pPr>
              <w:pStyle w:val="14"/>
              <w:numPr>
                <w:ilvl w:val="0"/>
                <w:numId w:val="8"/>
              </w:numPr>
              <w:spacing w:before="0" w:after="0" w:line="440" w:lineRule="exact"/>
              <w:ind w:firstLine="480" w:firstLineChars="200"/>
              <w:jc w:val="left"/>
              <w:rPr>
                <w:color w:val="auto"/>
                <w:sz w:val="24"/>
                <w:szCs w:val="24"/>
              </w:rPr>
            </w:pPr>
            <w:r>
              <w:rPr>
                <w:color w:val="auto"/>
                <w:sz w:val="24"/>
                <w:szCs w:val="24"/>
              </w:rPr>
              <w:t>发挥中介机构专业技术支撑。环境影响评价机构受企业委托开展环境影响评价文件编制时，要按照国家和省相关规定开展环境风险评价、提出相应的环境风险防范要求。在辅助企业开展环境保护管理过程中，要提醒企业同步落实安全风险辨识和隐患排查治理要求</w:t>
            </w:r>
            <w:r>
              <w:rPr>
                <w:rFonts w:hint="eastAsia"/>
                <w:color w:val="auto"/>
                <w:sz w:val="24"/>
                <w:szCs w:val="24"/>
              </w:rPr>
              <w:t>。</w:t>
            </w:r>
          </w:p>
          <w:p w14:paraId="0215500E">
            <w:pPr>
              <w:pStyle w:val="14"/>
              <w:spacing w:before="0" w:after="0" w:line="440" w:lineRule="exact"/>
              <w:ind w:firstLine="482" w:firstLineChars="200"/>
              <w:jc w:val="left"/>
              <w:rPr>
                <w:b/>
                <w:color w:val="auto"/>
                <w:sz w:val="24"/>
                <w:szCs w:val="24"/>
              </w:rPr>
            </w:pPr>
            <w:r>
              <w:rPr>
                <w:rFonts w:hint="eastAsia"/>
                <w:b/>
                <w:color w:val="auto"/>
                <w:sz w:val="24"/>
                <w:szCs w:val="24"/>
              </w:rPr>
              <w:t>（2）环境风险物质和风险源分布情况</w:t>
            </w:r>
          </w:p>
          <w:p w14:paraId="019F0942">
            <w:pPr>
              <w:pStyle w:val="14"/>
              <w:spacing w:before="0" w:after="0" w:line="440" w:lineRule="exact"/>
              <w:ind w:firstLine="480" w:firstLineChars="200"/>
              <w:jc w:val="left"/>
              <w:rPr>
                <w:color w:val="auto"/>
                <w:sz w:val="24"/>
                <w:szCs w:val="24"/>
              </w:rPr>
            </w:pPr>
            <w:r>
              <w:rPr>
                <w:rFonts w:hint="eastAsia"/>
                <w:color w:val="auto"/>
                <w:sz w:val="24"/>
              </w:rPr>
              <w:fldChar w:fldCharType="begin"/>
            </w:r>
            <w:r>
              <w:rPr>
                <w:color w:val="auto"/>
                <w:sz w:val="24"/>
              </w:rPr>
              <w:instrText xml:space="preserve"> = 1 \* GB3 </w:instrText>
            </w:r>
            <w:r>
              <w:rPr>
                <w:rFonts w:hint="eastAsia"/>
                <w:color w:val="auto"/>
                <w:sz w:val="24"/>
              </w:rPr>
              <w:fldChar w:fldCharType="separate"/>
            </w:r>
            <w:r>
              <w:rPr>
                <w:rFonts w:hint="eastAsia" w:ascii="宋体" w:hAnsi="宋体" w:cs="宋体"/>
                <w:color w:val="auto"/>
                <w:sz w:val="24"/>
              </w:rPr>
              <w:t>①</w:t>
            </w:r>
            <w:r>
              <w:rPr>
                <w:rFonts w:hint="eastAsia" w:ascii="宋体" w:hAnsi="宋体" w:cs="宋体"/>
                <w:color w:val="auto"/>
                <w:sz w:val="24"/>
              </w:rPr>
              <w:fldChar w:fldCharType="end"/>
            </w:r>
            <w:r>
              <w:rPr>
                <w:rFonts w:hint="eastAsia"/>
                <w:color w:val="auto"/>
                <w:sz w:val="24"/>
                <w:szCs w:val="24"/>
              </w:rPr>
              <w:t>环境风险源调查</w:t>
            </w:r>
          </w:p>
          <w:p w14:paraId="782722C5">
            <w:pPr>
              <w:pStyle w:val="14"/>
              <w:spacing w:before="0" w:after="0" w:line="440" w:lineRule="exact"/>
              <w:ind w:firstLine="480" w:firstLineChars="200"/>
              <w:jc w:val="left"/>
              <w:rPr>
                <w:color w:val="auto"/>
                <w:sz w:val="24"/>
                <w:szCs w:val="24"/>
              </w:rPr>
            </w:pPr>
            <w:r>
              <w:rPr>
                <w:rFonts w:hint="eastAsia"/>
                <w:color w:val="auto"/>
                <w:sz w:val="24"/>
                <w:szCs w:val="24"/>
              </w:rPr>
              <w:t>危险物质数量和分布情况。按照HJ 169-2018《建设项目环境风险评价技术导则》，并结合工程分析可知，本项目涉及的危险物质主要是水性胶水、润滑油、</w:t>
            </w:r>
            <w:r>
              <w:rPr>
                <w:rFonts w:hint="eastAsia" w:hAnsi="宋体"/>
                <w:color w:val="auto"/>
                <w:sz w:val="24"/>
                <w:szCs w:val="24"/>
              </w:rPr>
              <w:t>各类危废等</w:t>
            </w:r>
            <w:r>
              <w:rPr>
                <w:rFonts w:hint="eastAsia"/>
                <w:color w:val="auto"/>
                <w:sz w:val="24"/>
                <w:szCs w:val="24"/>
              </w:rPr>
              <w:t>，主要分布于原料仓库、生产车间和危废仓库</w:t>
            </w:r>
            <w:r>
              <w:rPr>
                <w:color w:val="auto"/>
                <w:sz w:val="24"/>
                <w:szCs w:val="24"/>
              </w:rPr>
              <w:t>。</w:t>
            </w:r>
          </w:p>
          <w:p w14:paraId="3E1A1218">
            <w:pPr>
              <w:pStyle w:val="14"/>
              <w:spacing w:before="0" w:after="0" w:line="440" w:lineRule="exact"/>
              <w:ind w:firstLine="480" w:firstLineChars="200"/>
              <w:jc w:val="left"/>
              <w:rPr>
                <w:rFonts w:ascii="宋体" w:hAnsi="宋体"/>
                <w:color w:val="auto"/>
                <w:sz w:val="24"/>
                <w:szCs w:val="24"/>
              </w:rPr>
            </w:pPr>
            <w:r>
              <w:rPr>
                <w:rFonts w:hint="eastAsia"/>
                <w:color w:val="auto"/>
                <w:sz w:val="24"/>
              </w:rPr>
              <w:fldChar w:fldCharType="begin"/>
            </w:r>
            <w:r>
              <w:rPr>
                <w:color w:val="auto"/>
                <w:sz w:val="24"/>
              </w:rPr>
              <w:instrText xml:space="preserve"> = 2 \* GB3 </w:instrText>
            </w:r>
            <w:r>
              <w:rPr>
                <w:rFonts w:hint="eastAsia"/>
                <w:color w:val="auto"/>
                <w:sz w:val="24"/>
              </w:rPr>
              <w:fldChar w:fldCharType="separate"/>
            </w:r>
            <w:r>
              <w:rPr>
                <w:rFonts w:hint="eastAsia" w:ascii="宋体" w:hAnsi="宋体" w:cs="宋体"/>
                <w:color w:val="auto"/>
                <w:sz w:val="24"/>
              </w:rPr>
              <w:t>②</w:t>
            </w:r>
            <w:r>
              <w:rPr>
                <w:rFonts w:hint="eastAsia" w:ascii="宋体" w:hAnsi="宋体" w:cs="宋体"/>
                <w:color w:val="auto"/>
                <w:sz w:val="24"/>
              </w:rPr>
              <w:fldChar w:fldCharType="end"/>
            </w:r>
            <w:r>
              <w:rPr>
                <w:rFonts w:hint="eastAsia"/>
                <w:color w:val="auto"/>
                <w:sz w:val="24"/>
                <w:szCs w:val="24"/>
              </w:rPr>
              <w:t>环境敏感目标调查</w:t>
            </w:r>
          </w:p>
          <w:p w14:paraId="2BA6E968">
            <w:pPr>
              <w:pStyle w:val="14"/>
              <w:spacing w:before="0" w:after="0" w:line="440" w:lineRule="exact"/>
              <w:ind w:firstLine="480" w:firstLineChars="200"/>
              <w:jc w:val="left"/>
              <w:rPr>
                <w:color w:val="auto"/>
                <w:sz w:val="24"/>
                <w:szCs w:val="24"/>
              </w:rPr>
            </w:pPr>
            <w:r>
              <w:rPr>
                <w:color w:val="auto"/>
                <w:sz w:val="24"/>
                <w:szCs w:val="24"/>
              </w:rPr>
              <w:t>a</w:t>
            </w:r>
            <w:r>
              <w:rPr>
                <w:rFonts w:hAnsi="宋体"/>
                <w:color w:val="auto"/>
                <w:sz w:val="24"/>
                <w:szCs w:val="24"/>
              </w:rPr>
              <w:t>、</w:t>
            </w:r>
            <w:r>
              <w:rPr>
                <w:color w:val="auto"/>
                <w:sz w:val="24"/>
                <w:szCs w:val="24"/>
              </w:rPr>
              <w:t>大气环境敏感点排查。厂区所在区域属大气环境二类功能区，执行大气环境质量标准的二级标准。大气环境风险受体主要为周边的居民点。</w:t>
            </w:r>
          </w:p>
          <w:p w14:paraId="512E6A36">
            <w:pPr>
              <w:pStyle w:val="14"/>
              <w:spacing w:before="0" w:after="0" w:line="440" w:lineRule="exact"/>
              <w:ind w:firstLine="480" w:firstLineChars="200"/>
              <w:jc w:val="left"/>
              <w:rPr>
                <w:color w:val="auto"/>
                <w:sz w:val="24"/>
                <w:szCs w:val="24"/>
              </w:rPr>
            </w:pPr>
            <w:r>
              <w:rPr>
                <w:color w:val="auto"/>
                <w:sz w:val="24"/>
                <w:szCs w:val="24"/>
              </w:rPr>
              <w:t>b</w:t>
            </w:r>
            <w:r>
              <w:rPr>
                <w:rFonts w:hAnsi="宋体"/>
                <w:color w:val="auto"/>
                <w:sz w:val="24"/>
                <w:szCs w:val="24"/>
              </w:rPr>
              <w:t>、</w:t>
            </w:r>
            <w:r>
              <w:rPr>
                <w:color w:val="auto"/>
                <w:sz w:val="24"/>
                <w:szCs w:val="24"/>
              </w:rPr>
              <w:t>水环境敏感性排查。根据调查，在项目所在地附近区域内附近无饮</w:t>
            </w:r>
            <w:r>
              <w:rPr>
                <w:rFonts w:hint="eastAsia"/>
                <w:color w:val="auto"/>
                <w:sz w:val="24"/>
                <w:szCs w:val="24"/>
              </w:rPr>
              <w:t>用水源保护区，也没有自然保护区和珍稀水生生物保护区。周边地表水主要为西苕溪及其支流。项目所在地区无地下水饮用水取水点等敏感目标。</w:t>
            </w:r>
          </w:p>
          <w:p w14:paraId="4C6227EA">
            <w:pPr>
              <w:pStyle w:val="14"/>
              <w:spacing w:before="0" w:after="0" w:line="440" w:lineRule="exact"/>
              <w:ind w:firstLine="480" w:firstLineChars="200"/>
              <w:jc w:val="left"/>
              <w:rPr>
                <w:color w:val="auto"/>
                <w:sz w:val="24"/>
                <w:szCs w:val="24"/>
              </w:rPr>
            </w:pPr>
            <w:r>
              <w:rPr>
                <w:color w:val="auto"/>
                <w:sz w:val="24"/>
                <w:szCs w:val="24"/>
              </w:rPr>
              <w:t>c</w:t>
            </w:r>
            <w:r>
              <w:rPr>
                <w:rFonts w:hAnsi="宋体"/>
                <w:color w:val="auto"/>
                <w:sz w:val="24"/>
                <w:szCs w:val="24"/>
              </w:rPr>
              <w:t>、</w:t>
            </w:r>
            <w:r>
              <w:rPr>
                <w:color w:val="auto"/>
                <w:sz w:val="24"/>
                <w:szCs w:val="24"/>
              </w:rPr>
              <w:t>生态红线排查。项目不在湖州市生态保护红线范围内。</w:t>
            </w:r>
          </w:p>
          <w:p w14:paraId="35C2379C">
            <w:pPr>
              <w:pStyle w:val="14"/>
              <w:spacing w:before="0" w:after="0" w:line="440" w:lineRule="exact"/>
              <w:ind w:firstLine="480" w:firstLineChars="200"/>
              <w:jc w:val="left"/>
              <w:rPr>
                <w:b/>
                <w:color w:val="auto"/>
                <w:sz w:val="24"/>
                <w:szCs w:val="24"/>
              </w:rPr>
            </w:pPr>
            <w:r>
              <w:rPr>
                <w:rFonts w:hint="eastAsia" w:hAnsi="宋体"/>
                <w:color w:val="auto"/>
                <w:sz w:val="24"/>
                <w:szCs w:val="24"/>
              </w:rPr>
              <w:t>d、</w:t>
            </w:r>
            <w:r>
              <w:rPr>
                <w:color w:val="auto"/>
                <w:sz w:val="24"/>
                <w:szCs w:val="24"/>
              </w:rPr>
              <w:t>其它环境敏感性</w:t>
            </w:r>
            <w:r>
              <w:rPr>
                <w:rFonts w:hint="eastAsia"/>
                <w:color w:val="auto"/>
                <w:sz w:val="24"/>
                <w:szCs w:val="24"/>
              </w:rPr>
              <w:t>排查。本项目所在区不涉及文物古迹、古树名木等保护对象，也不属于水土流失重点防治区。</w:t>
            </w:r>
            <w:r>
              <w:rPr>
                <w:rFonts w:hint="eastAsia"/>
                <w:color w:val="auto"/>
                <w:sz w:val="24"/>
                <w:szCs w:val="24"/>
              </w:rPr>
              <w:cr/>
            </w:r>
            <w:r>
              <w:rPr>
                <w:rFonts w:hint="eastAsia"/>
                <w:color w:val="auto"/>
                <w:sz w:val="24"/>
              </w:rPr>
              <w:t xml:space="preserve">    </w:t>
            </w:r>
            <w:r>
              <w:rPr>
                <w:rFonts w:hint="eastAsia"/>
                <w:color w:val="auto"/>
                <w:sz w:val="24"/>
              </w:rPr>
              <w:fldChar w:fldCharType="begin"/>
            </w:r>
            <w:r>
              <w:rPr>
                <w:color w:val="auto"/>
                <w:sz w:val="24"/>
              </w:rPr>
              <w:instrText xml:space="preserve"> = 3 \* GB3 </w:instrText>
            </w:r>
            <w:r>
              <w:rPr>
                <w:rFonts w:hint="eastAsia"/>
                <w:color w:val="auto"/>
                <w:sz w:val="24"/>
              </w:rPr>
              <w:fldChar w:fldCharType="separate"/>
            </w:r>
            <w:r>
              <w:rPr>
                <w:rFonts w:hint="eastAsia"/>
                <w:color w:val="auto"/>
                <w:sz w:val="24"/>
              </w:rPr>
              <w:t>③</w:t>
            </w:r>
            <w:r>
              <w:rPr>
                <w:rFonts w:hint="eastAsia"/>
                <w:color w:val="auto"/>
                <w:sz w:val="24"/>
              </w:rPr>
              <w:fldChar w:fldCharType="end"/>
            </w:r>
            <w:r>
              <w:rPr>
                <w:color w:val="auto"/>
                <w:sz w:val="24"/>
              </w:rPr>
              <w:t>风险潜势初判及评价工作等级</w:t>
            </w:r>
          </w:p>
          <w:p w14:paraId="0CF8FF0A">
            <w:pPr>
              <w:pStyle w:val="4"/>
              <w:shd w:val="clear" w:color="auto" w:fill="FFFFFF"/>
              <w:spacing w:before="0" w:after="0" w:line="440" w:lineRule="exact"/>
              <w:ind w:left="0" w:firstLine="480" w:firstLineChars="200"/>
              <w:rPr>
                <w:rFonts w:eastAsia="宋体"/>
                <w:b w:val="0"/>
                <w:bCs w:val="0"/>
                <w:color w:val="auto"/>
                <w:kern w:val="0"/>
                <w:sz w:val="24"/>
                <w:szCs w:val="24"/>
              </w:rPr>
            </w:pPr>
            <w:bookmarkStart w:id="14" w:name="_Toc4015"/>
            <w:r>
              <w:rPr>
                <w:rFonts w:hint="eastAsia" w:eastAsia="宋体"/>
                <w:b w:val="0"/>
                <w:bCs w:val="0"/>
                <w:color w:val="auto"/>
                <w:kern w:val="0"/>
                <w:sz w:val="24"/>
                <w:szCs w:val="24"/>
              </w:rPr>
              <w:t>本项目应重点关注的危险物质为水性胶水、润滑油及各类危废等。本项目危险物质临界量、最大存在总量和计算结果见表4-3</w:t>
            </w:r>
            <w:r>
              <w:rPr>
                <w:rFonts w:hint="eastAsia" w:eastAsia="宋体"/>
                <w:b w:val="0"/>
                <w:bCs w:val="0"/>
                <w:color w:val="auto"/>
                <w:kern w:val="0"/>
                <w:sz w:val="24"/>
                <w:szCs w:val="24"/>
                <w:lang w:val="en-US" w:eastAsia="zh-CN"/>
              </w:rPr>
              <w:t>8</w:t>
            </w:r>
            <w:r>
              <w:rPr>
                <w:rFonts w:hint="eastAsia" w:eastAsia="宋体"/>
                <w:b w:val="0"/>
                <w:bCs w:val="0"/>
                <w:color w:val="auto"/>
                <w:kern w:val="0"/>
                <w:sz w:val="24"/>
                <w:szCs w:val="24"/>
              </w:rPr>
              <w:t>。</w:t>
            </w:r>
            <w:bookmarkEnd w:id="14"/>
          </w:p>
          <w:p w14:paraId="14459CBE">
            <w:pPr>
              <w:spacing w:line="440" w:lineRule="exact"/>
              <w:jc w:val="center"/>
              <w:rPr>
                <w:b/>
                <w:color w:val="auto"/>
                <w:szCs w:val="21"/>
              </w:rPr>
            </w:pPr>
            <w:r>
              <w:rPr>
                <w:b/>
                <w:color w:val="auto"/>
                <w:szCs w:val="21"/>
              </w:rPr>
              <w:t>表</w:t>
            </w:r>
            <w:r>
              <w:rPr>
                <w:rFonts w:hint="eastAsia"/>
                <w:b/>
                <w:color w:val="auto"/>
                <w:szCs w:val="21"/>
              </w:rPr>
              <w:t>4-3</w:t>
            </w:r>
            <w:r>
              <w:rPr>
                <w:rFonts w:hint="eastAsia"/>
                <w:b/>
                <w:color w:val="auto"/>
                <w:szCs w:val="21"/>
                <w:lang w:val="en-US" w:eastAsia="zh-CN"/>
              </w:rPr>
              <w:t>8</w:t>
            </w:r>
            <w:r>
              <w:rPr>
                <w:rFonts w:hint="eastAsia"/>
                <w:b/>
                <w:color w:val="auto"/>
                <w:szCs w:val="21"/>
              </w:rPr>
              <w:t xml:space="preserve">  Q值计算表</w:t>
            </w:r>
          </w:p>
          <w:tbl>
            <w:tblPr>
              <w:tblStyle w:val="37"/>
              <w:tblW w:w="5036"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664"/>
              <w:gridCol w:w="1777"/>
              <w:gridCol w:w="1349"/>
              <w:gridCol w:w="1557"/>
              <w:gridCol w:w="1440"/>
            </w:tblGrid>
            <w:tr w14:paraId="01119547">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0" w:hRule="atLeast"/>
                <w:tblHeader/>
                <w:jc w:val="center"/>
              </w:trPr>
              <w:tc>
                <w:tcPr>
                  <w:tcW w:w="1515" w:type="pct"/>
                  <w:tcBorders>
                    <w:left w:val="single" w:color="000000" w:sz="6" w:space="0"/>
                  </w:tcBorders>
                  <w:vAlign w:val="center"/>
                </w:tcPr>
                <w:p w14:paraId="5597FEB4">
                  <w:pPr>
                    <w:pStyle w:val="19"/>
                    <w:snapToGrid w:val="0"/>
                    <w:jc w:val="center"/>
                    <w:rPr>
                      <w:rFonts w:ascii="Times New Roman" w:hAnsi="Times New Roman"/>
                      <w:b/>
                      <w:bCs/>
                      <w:color w:val="auto"/>
                    </w:rPr>
                  </w:pPr>
                  <w:r>
                    <w:rPr>
                      <w:rFonts w:ascii="Times New Roman" w:hAnsi="宋体"/>
                      <w:b/>
                      <w:bCs/>
                      <w:color w:val="auto"/>
                    </w:rPr>
                    <w:t>危险化学品名称</w:t>
                  </w:r>
                </w:p>
              </w:tc>
              <w:tc>
                <w:tcPr>
                  <w:tcW w:w="1011" w:type="pct"/>
                  <w:vAlign w:val="center"/>
                </w:tcPr>
                <w:p w14:paraId="51E26D47">
                  <w:pPr>
                    <w:pStyle w:val="19"/>
                    <w:snapToGrid w:val="0"/>
                    <w:jc w:val="center"/>
                    <w:rPr>
                      <w:rFonts w:ascii="Times New Roman" w:hAnsi="Times New Roman"/>
                      <w:b/>
                      <w:bCs/>
                      <w:color w:val="auto"/>
                    </w:rPr>
                  </w:pPr>
                  <w:r>
                    <w:rPr>
                      <w:rFonts w:ascii="Times New Roman" w:hAnsi="宋体"/>
                      <w:b/>
                      <w:bCs/>
                      <w:color w:val="auto"/>
                    </w:rPr>
                    <w:t>年用量</w:t>
                  </w:r>
                  <w:r>
                    <w:rPr>
                      <w:rFonts w:hint="eastAsia" w:ascii="Times New Roman" w:hAnsi="宋体"/>
                      <w:b/>
                      <w:bCs/>
                      <w:color w:val="auto"/>
                    </w:rPr>
                    <w:t>（产生量）</w:t>
                  </w:r>
                  <w:r>
                    <w:rPr>
                      <w:rFonts w:ascii="Times New Roman" w:hAnsi="Times New Roman"/>
                      <w:b/>
                      <w:bCs/>
                      <w:color w:val="auto"/>
                    </w:rPr>
                    <w:t>t/a</w:t>
                  </w:r>
                </w:p>
              </w:tc>
              <w:tc>
                <w:tcPr>
                  <w:tcW w:w="767" w:type="pct"/>
                  <w:vAlign w:val="center"/>
                </w:tcPr>
                <w:p w14:paraId="78985EAA">
                  <w:pPr>
                    <w:pStyle w:val="19"/>
                    <w:snapToGrid w:val="0"/>
                    <w:jc w:val="center"/>
                    <w:rPr>
                      <w:rFonts w:ascii="Times New Roman" w:hAnsi="Times New Roman"/>
                      <w:b/>
                      <w:bCs/>
                      <w:color w:val="auto"/>
                    </w:rPr>
                  </w:pPr>
                  <w:r>
                    <w:rPr>
                      <w:rFonts w:ascii="Times New Roman" w:hAnsi="宋体"/>
                      <w:b/>
                      <w:bCs/>
                      <w:color w:val="auto"/>
                    </w:rPr>
                    <w:t>最大存在</w:t>
                  </w:r>
                </w:p>
                <w:p w14:paraId="699BE67A">
                  <w:pPr>
                    <w:pStyle w:val="19"/>
                    <w:snapToGrid w:val="0"/>
                    <w:jc w:val="center"/>
                    <w:rPr>
                      <w:rFonts w:ascii="Times New Roman" w:hAnsi="Times New Roman"/>
                      <w:b/>
                      <w:bCs/>
                      <w:color w:val="auto"/>
                      <w:vertAlign w:val="subscript"/>
                    </w:rPr>
                  </w:pPr>
                  <w:r>
                    <w:rPr>
                      <w:rFonts w:ascii="Times New Roman" w:hAnsi="宋体"/>
                      <w:b/>
                      <w:bCs/>
                      <w:color w:val="auto"/>
                    </w:rPr>
                    <w:t>总量</w:t>
                  </w:r>
                  <w:r>
                    <w:rPr>
                      <w:rFonts w:ascii="Times New Roman" w:hAnsi="Times New Roman"/>
                      <w:b/>
                      <w:bCs/>
                      <w:color w:val="auto"/>
                    </w:rPr>
                    <w:t>q</w:t>
                  </w:r>
                  <w:r>
                    <w:rPr>
                      <w:rFonts w:ascii="Times New Roman" w:hAnsi="Times New Roman"/>
                      <w:b/>
                      <w:bCs/>
                      <w:color w:val="auto"/>
                      <w:vertAlign w:val="subscript"/>
                    </w:rPr>
                    <w:t>i</w:t>
                  </w:r>
                  <w:r>
                    <w:rPr>
                      <w:rFonts w:ascii="Times New Roman" w:hAnsi="宋体"/>
                      <w:b/>
                      <w:bCs/>
                      <w:color w:val="auto"/>
                    </w:rPr>
                    <w:t>（</w:t>
                  </w:r>
                  <w:r>
                    <w:rPr>
                      <w:rFonts w:ascii="Times New Roman" w:hAnsi="Times New Roman"/>
                      <w:b/>
                      <w:bCs/>
                      <w:color w:val="auto"/>
                    </w:rPr>
                    <w:t>t</w:t>
                  </w:r>
                  <w:r>
                    <w:rPr>
                      <w:rFonts w:ascii="Times New Roman" w:hAnsi="宋体"/>
                      <w:b/>
                      <w:bCs/>
                      <w:color w:val="auto"/>
                    </w:rPr>
                    <w:t>）</w:t>
                  </w:r>
                </w:p>
              </w:tc>
              <w:tc>
                <w:tcPr>
                  <w:tcW w:w="885" w:type="pct"/>
                  <w:vAlign w:val="center"/>
                </w:tcPr>
                <w:p w14:paraId="5104A970">
                  <w:pPr>
                    <w:pStyle w:val="19"/>
                    <w:snapToGrid w:val="0"/>
                    <w:jc w:val="center"/>
                    <w:rPr>
                      <w:rFonts w:ascii="Times New Roman" w:hAnsi="Times New Roman"/>
                      <w:b/>
                      <w:bCs/>
                      <w:color w:val="auto"/>
                    </w:rPr>
                  </w:pPr>
                  <w:r>
                    <w:rPr>
                      <w:rFonts w:ascii="Times New Roman" w:hAnsi="宋体"/>
                      <w:b/>
                      <w:bCs/>
                      <w:color w:val="auto"/>
                    </w:rPr>
                    <w:t>临界量</w:t>
                  </w:r>
                </w:p>
                <w:p w14:paraId="1A49AE4B">
                  <w:pPr>
                    <w:pStyle w:val="19"/>
                    <w:snapToGrid w:val="0"/>
                    <w:jc w:val="center"/>
                    <w:rPr>
                      <w:rFonts w:ascii="Times New Roman" w:hAnsi="Times New Roman"/>
                      <w:b/>
                      <w:bCs/>
                      <w:color w:val="auto"/>
                      <w:vertAlign w:val="subscript"/>
                    </w:rPr>
                  </w:pPr>
                  <w:r>
                    <w:rPr>
                      <w:rFonts w:ascii="Times New Roman" w:hAnsi="Times New Roman"/>
                      <w:b/>
                      <w:bCs/>
                      <w:color w:val="auto"/>
                    </w:rPr>
                    <w:t>Q</w:t>
                  </w:r>
                  <w:r>
                    <w:rPr>
                      <w:rFonts w:ascii="Times New Roman" w:hAnsi="Times New Roman"/>
                      <w:b/>
                      <w:bCs/>
                      <w:color w:val="auto"/>
                      <w:vertAlign w:val="subscript"/>
                    </w:rPr>
                    <w:t>i</w:t>
                  </w:r>
                  <w:r>
                    <w:rPr>
                      <w:rFonts w:ascii="Times New Roman" w:hAnsi="宋体"/>
                      <w:b/>
                      <w:bCs/>
                      <w:color w:val="auto"/>
                    </w:rPr>
                    <w:t>（</w:t>
                  </w:r>
                  <w:r>
                    <w:rPr>
                      <w:rFonts w:ascii="Times New Roman" w:hAnsi="Times New Roman"/>
                      <w:b/>
                      <w:bCs/>
                      <w:color w:val="auto"/>
                    </w:rPr>
                    <w:t>t</w:t>
                  </w:r>
                  <w:r>
                    <w:rPr>
                      <w:rFonts w:ascii="Times New Roman" w:hAnsi="宋体"/>
                      <w:b/>
                      <w:bCs/>
                      <w:color w:val="auto"/>
                    </w:rPr>
                    <w:t>）</w:t>
                  </w:r>
                </w:p>
              </w:tc>
              <w:tc>
                <w:tcPr>
                  <w:tcW w:w="819" w:type="pct"/>
                  <w:tcBorders>
                    <w:right w:val="single" w:color="000000" w:sz="6" w:space="0"/>
                  </w:tcBorders>
                  <w:vAlign w:val="center"/>
                </w:tcPr>
                <w:p w14:paraId="011F88E3">
                  <w:pPr>
                    <w:pStyle w:val="19"/>
                    <w:snapToGrid w:val="0"/>
                    <w:jc w:val="center"/>
                    <w:rPr>
                      <w:rFonts w:ascii="Times New Roman" w:hAnsi="Times New Roman"/>
                      <w:b/>
                      <w:bCs/>
                      <w:color w:val="auto"/>
                    </w:rPr>
                  </w:pPr>
                  <w:r>
                    <w:rPr>
                      <w:rFonts w:ascii="Times New Roman" w:hAnsi="Times New Roman"/>
                      <w:b/>
                      <w:bCs/>
                      <w:color w:val="auto"/>
                    </w:rPr>
                    <w:t>q</w:t>
                  </w:r>
                  <w:r>
                    <w:rPr>
                      <w:rFonts w:ascii="Times New Roman" w:hAnsi="Times New Roman"/>
                      <w:b/>
                      <w:bCs/>
                      <w:color w:val="auto"/>
                      <w:vertAlign w:val="subscript"/>
                    </w:rPr>
                    <w:t>i</w:t>
                  </w:r>
                  <w:r>
                    <w:rPr>
                      <w:rFonts w:ascii="Times New Roman" w:hAnsi="Times New Roman"/>
                      <w:b/>
                      <w:bCs/>
                      <w:color w:val="auto"/>
                    </w:rPr>
                    <w:t>/Q</w:t>
                  </w:r>
                  <w:r>
                    <w:rPr>
                      <w:rFonts w:ascii="Times New Roman" w:hAnsi="Times New Roman"/>
                      <w:b/>
                      <w:bCs/>
                      <w:color w:val="auto"/>
                      <w:vertAlign w:val="subscript"/>
                    </w:rPr>
                    <w:t>i</w:t>
                  </w:r>
                </w:p>
              </w:tc>
            </w:tr>
            <w:tr w14:paraId="36BC4DD9">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15" w:type="pct"/>
                  <w:tcBorders>
                    <w:left w:val="single" w:color="000000" w:sz="6" w:space="0"/>
                  </w:tcBorders>
                  <w:vAlign w:val="center"/>
                </w:tcPr>
                <w:p w14:paraId="64AF7C2A">
                  <w:pPr>
                    <w:snapToGrid w:val="0"/>
                    <w:jc w:val="center"/>
                    <w:rPr>
                      <w:rFonts w:ascii="宋体" w:hAnsi="宋体"/>
                      <w:color w:val="auto"/>
                      <w:szCs w:val="21"/>
                    </w:rPr>
                  </w:pPr>
                  <w:r>
                    <w:rPr>
                      <w:rFonts w:hint="eastAsia" w:ascii="宋体" w:hAnsi="宋体"/>
                      <w:color w:val="auto"/>
                      <w:szCs w:val="21"/>
                    </w:rPr>
                    <w:t>润滑油</w:t>
                  </w:r>
                </w:p>
              </w:tc>
              <w:tc>
                <w:tcPr>
                  <w:tcW w:w="1011" w:type="pct"/>
                  <w:vAlign w:val="center"/>
                </w:tcPr>
                <w:p w14:paraId="389B7E0C">
                  <w:pPr>
                    <w:jc w:val="center"/>
                    <w:rPr>
                      <w:color w:val="auto"/>
                      <w:szCs w:val="21"/>
                    </w:rPr>
                  </w:pPr>
                  <w:r>
                    <w:rPr>
                      <w:rFonts w:hint="eastAsia"/>
                      <w:color w:val="auto"/>
                      <w:szCs w:val="21"/>
                    </w:rPr>
                    <w:t>0.2</w:t>
                  </w:r>
                </w:p>
              </w:tc>
              <w:tc>
                <w:tcPr>
                  <w:tcW w:w="767" w:type="pct"/>
                  <w:vAlign w:val="center"/>
                </w:tcPr>
                <w:p w14:paraId="00FBA425">
                  <w:pPr>
                    <w:jc w:val="center"/>
                    <w:rPr>
                      <w:color w:val="auto"/>
                      <w:szCs w:val="21"/>
                    </w:rPr>
                  </w:pPr>
                  <w:r>
                    <w:rPr>
                      <w:rFonts w:hint="eastAsia"/>
                      <w:color w:val="auto"/>
                      <w:szCs w:val="21"/>
                    </w:rPr>
                    <w:t>0.2</w:t>
                  </w:r>
                </w:p>
              </w:tc>
              <w:tc>
                <w:tcPr>
                  <w:tcW w:w="885" w:type="pct"/>
                  <w:vAlign w:val="center"/>
                </w:tcPr>
                <w:p w14:paraId="4297E89F">
                  <w:pPr>
                    <w:pStyle w:val="19"/>
                    <w:snapToGrid w:val="0"/>
                    <w:jc w:val="center"/>
                    <w:rPr>
                      <w:rFonts w:ascii="Times New Roman" w:hAnsi="Times New Roman"/>
                      <w:color w:val="auto"/>
                    </w:rPr>
                  </w:pPr>
                  <w:r>
                    <w:rPr>
                      <w:rFonts w:hint="eastAsia" w:ascii="Times New Roman" w:hAnsi="Times New Roman"/>
                      <w:color w:val="auto"/>
                    </w:rPr>
                    <w:t>2500</w:t>
                  </w:r>
                </w:p>
              </w:tc>
              <w:tc>
                <w:tcPr>
                  <w:tcW w:w="819" w:type="pct"/>
                  <w:tcBorders>
                    <w:right w:val="single" w:color="000000" w:sz="6" w:space="0"/>
                  </w:tcBorders>
                  <w:vAlign w:val="center"/>
                </w:tcPr>
                <w:p w14:paraId="1819A809">
                  <w:pPr>
                    <w:pStyle w:val="19"/>
                    <w:snapToGrid w:val="0"/>
                    <w:jc w:val="center"/>
                    <w:rPr>
                      <w:rFonts w:ascii="Times New Roman" w:hAnsi="Times New Roman"/>
                      <w:color w:val="auto"/>
                    </w:rPr>
                  </w:pPr>
                  <w:r>
                    <w:rPr>
                      <w:rFonts w:ascii="Times New Roman" w:hAnsi="Times New Roman"/>
                      <w:color w:val="auto"/>
                    </w:rPr>
                    <w:t>0.</w:t>
                  </w:r>
                  <w:r>
                    <w:rPr>
                      <w:rFonts w:hint="eastAsia" w:ascii="Times New Roman" w:hAnsi="Times New Roman"/>
                      <w:color w:val="auto"/>
                    </w:rPr>
                    <w:t>0001</w:t>
                  </w:r>
                </w:p>
              </w:tc>
            </w:tr>
            <w:tr w14:paraId="6000DEA8">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15" w:type="pct"/>
                  <w:tcBorders>
                    <w:left w:val="single" w:color="000000" w:sz="6" w:space="0"/>
                  </w:tcBorders>
                  <w:vAlign w:val="center"/>
                </w:tcPr>
                <w:p w14:paraId="2F94BEBD">
                  <w:pPr>
                    <w:snapToGrid w:val="0"/>
                    <w:jc w:val="center"/>
                    <w:rPr>
                      <w:rFonts w:ascii="宋体" w:hAnsi="宋体"/>
                      <w:color w:val="auto"/>
                      <w:szCs w:val="21"/>
                    </w:rPr>
                  </w:pPr>
                  <w:r>
                    <w:rPr>
                      <w:rFonts w:hint="eastAsia" w:ascii="宋体" w:hAnsi="宋体"/>
                      <w:color w:val="auto"/>
                      <w:szCs w:val="21"/>
                    </w:rPr>
                    <w:t>各类危废</w:t>
                  </w:r>
                </w:p>
              </w:tc>
              <w:tc>
                <w:tcPr>
                  <w:tcW w:w="1011" w:type="pct"/>
                  <w:vAlign w:val="center"/>
                </w:tcPr>
                <w:p w14:paraId="41920DCF">
                  <w:pPr>
                    <w:jc w:val="center"/>
                    <w:rPr>
                      <w:rFonts w:hint="default" w:eastAsia="宋体"/>
                      <w:color w:val="auto"/>
                      <w:szCs w:val="21"/>
                      <w:lang w:val="en-US" w:eastAsia="zh-CN"/>
                    </w:rPr>
                  </w:pPr>
                  <w:r>
                    <w:rPr>
                      <w:rFonts w:hint="eastAsia"/>
                      <w:color w:val="auto"/>
                      <w:szCs w:val="21"/>
                      <w:lang w:val="en-US" w:eastAsia="zh-CN"/>
                    </w:rPr>
                    <w:t>16.293</w:t>
                  </w:r>
                </w:p>
              </w:tc>
              <w:tc>
                <w:tcPr>
                  <w:tcW w:w="767" w:type="pct"/>
                  <w:vAlign w:val="center"/>
                </w:tcPr>
                <w:p w14:paraId="3445F1F4">
                  <w:pPr>
                    <w:jc w:val="center"/>
                    <w:rPr>
                      <w:rFonts w:hint="default" w:eastAsia="宋体"/>
                      <w:color w:val="auto"/>
                      <w:szCs w:val="21"/>
                      <w:lang w:val="en-US" w:eastAsia="zh-CN"/>
                    </w:rPr>
                  </w:pPr>
                  <w:r>
                    <w:rPr>
                      <w:rFonts w:hint="eastAsia"/>
                      <w:color w:val="auto"/>
                      <w:szCs w:val="21"/>
                      <w:lang w:val="en-US" w:eastAsia="zh-CN"/>
                    </w:rPr>
                    <w:t>16.293</w:t>
                  </w:r>
                </w:p>
              </w:tc>
              <w:tc>
                <w:tcPr>
                  <w:tcW w:w="885" w:type="pct"/>
                  <w:vAlign w:val="center"/>
                </w:tcPr>
                <w:p w14:paraId="2B067E00">
                  <w:pPr>
                    <w:pStyle w:val="19"/>
                    <w:snapToGrid w:val="0"/>
                    <w:jc w:val="center"/>
                    <w:rPr>
                      <w:rFonts w:ascii="Times New Roman" w:hAnsi="Times New Roman"/>
                      <w:color w:val="auto"/>
                    </w:rPr>
                  </w:pPr>
                  <w:r>
                    <w:rPr>
                      <w:rFonts w:hint="eastAsia" w:ascii="Times New Roman" w:hAnsi="Times New Roman"/>
                      <w:color w:val="auto"/>
                    </w:rPr>
                    <w:t>50</w:t>
                  </w:r>
                </w:p>
              </w:tc>
              <w:tc>
                <w:tcPr>
                  <w:tcW w:w="819" w:type="pct"/>
                  <w:tcBorders>
                    <w:right w:val="single" w:color="000000" w:sz="6" w:space="0"/>
                  </w:tcBorders>
                  <w:vAlign w:val="center"/>
                </w:tcPr>
                <w:p w14:paraId="478FB9E2">
                  <w:pPr>
                    <w:pStyle w:val="19"/>
                    <w:snapToGrid w:val="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0.3259</w:t>
                  </w:r>
                </w:p>
              </w:tc>
            </w:tr>
            <w:tr w14:paraId="16D46ACB">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4180" w:type="pct"/>
                  <w:gridSpan w:val="4"/>
                  <w:tcBorders>
                    <w:left w:val="single" w:color="000000" w:sz="6" w:space="0"/>
                  </w:tcBorders>
                  <w:vAlign w:val="center"/>
                </w:tcPr>
                <w:p w14:paraId="0EA5337D">
                  <w:pPr>
                    <w:pStyle w:val="19"/>
                    <w:snapToGrid w:val="0"/>
                    <w:jc w:val="center"/>
                    <w:rPr>
                      <w:rFonts w:ascii="Times New Roman" w:hAnsi="Times New Roman"/>
                      <w:color w:val="auto"/>
                    </w:rPr>
                  </w:pPr>
                  <w:r>
                    <w:rPr>
                      <w:rFonts w:ascii="Times New Roman" w:hAnsi="Times New Roman"/>
                      <w:bCs/>
                      <w:color w:val="auto"/>
                    </w:rPr>
                    <w:t>Q</w:t>
                  </w:r>
                  <w:r>
                    <w:rPr>
                      <w:rFonts w:ascii="Times New Roman" w:hAnsi="宋体"/>
                      <w:bCs/>
                      <w:color w:val="auto"/>
                    </w:rPr>
                    <w:t>值</w:t>
                  </w:r>
                </w:p>
              </w:tc>
              <w:tc>
                <w:tcPr>
                  <w:tcW w:w="819" w:type="pct"/>
                  <w:tcBorders>
                    <w:right w:val="single" w:color="000000" w:sz="6" w:space="0"/>
                  </w:tcBorders>
                  <w:vAlign w:val="center"/>
                </w:tcPr>
                <w:p w14:paraId="4ED9767B">
                  <w:pPr>
                    <w:pStyle w:val="19"/>
                    <w:snapToGrid w:val="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0.3260</w:t>
                  </w:r>
                </w:p>
              </w:tc>
            </w:tr>
          </w:tbl>
          <w:p w14:paraId="6F3D52DF">
            <w:pPr>
              <w:pStyle w:val="14"/>
              <w:spacing w:before="0" w:after="0" w:line="440" w:lineRule="exact"/>
              <w:ind w:firstLine="480" w:firstLineChars="200"/>
              <w:jc w:val="left"/>
              <w:rPr>
                <w:rFonts w:hAnsi="宋体"/>
                <w:color w:val="auto"/>
                <w:sz w:val="24"/>
                <w:szCs w:val="24"/>
              </w:rPr>
            </w:pPr>
            <w:r>
              <w:rPr>
                <w:rFonts w:hint="eastAsia" w:hAnsi="宋体"/>
                <w:color w:val="auto"/>
                <w:sz w:val="24"/>
                <w:szCs w:val="24"/>
              </w:rPr>
              <w:t>由上表可知，本项目实施后Q&lt;1，因此判定项目环境风险潜势为Ⅰ，本项目环境风险评价只作“简单分析”。</w:t>
            </w:r>
          </w:p>
          <w:p w14:paraId="2350FC0A">
            <w:pPr>
              <w:spacing w:line="440" w:lineRule="exact"/>
              <w:ind w:firstLine="480" w:firstLineChars="200"/>
              <w:rPr>
                <w:color w:val="auto"/>
                <w:sz w:val="24"/>
              </w:rPr>
            </w:pPr>
            <w:r>
              <w:rPr>
                <w:rFonts w:hint="eastAsia"/>
                <w:color w:val="auto"/>
                <w:sz w:val="24"/>
              </w:rPr>
              <w:fldChar w:fldCharType="begin"/>
            </w:r>
            <w:r>
              <w:rPr>
                <w:color w:val="auto"/>
                <w:sz w:val="24"/>
              </w:rPr>
              <w:instrText xml:space="preserve"> = 4 \* GB3 </w:instrText>
            </w:r>
            <w:r>
              <w:rPr>
                <w:rFonts w:hint="eastAsia"/>
                <w:color w:val="auto"/>
                <w:sz w:val="24"/>
              </w:rPr>
              <w:fldChar w:fldCharType="separate"/>
            </w:r>
            <w:r>
              <w:rPr>
                <w:rFonts w:hint="eastAsia"/>
                <w:color w:val="auto"/>
                <w:sz w:val="24"/>
              </w:rPr>
              <w:t>④</w:t>
            </w:r>
            <w:r>
              <w:rPr>
                <w:rFonts w:hint="eastAsia"/>
                <w:color w:val="auto"/>
                <w:sz w:val="24"/>
              </w:rPr>
              <w:fldChar w:fldCharType="end"/>
            </w:r>
            <w:r>
              <w:rPr>
                <w:color w:val="auto"/>
                <w:sz w:val="24"/>
              </w:rPr>
              <w:t>环境风险识别</w:t>
            </w:r>
          </w:p>
          <w:p w14:paraId="18883B2E">
            <w:pPr>
              <w:spacing w:line="440" w:lineRule="exact"/>
              <w:ind w:firstLine="480" w:firstLineChars="200"/>
              <w:rPr>
                <w:bCs/>
                <w:color w:val="auto"/>
                <w:sz w:val="24"/>
              </w:rPr>
            </w:pPr>
            <w:r>
              <w:rPr>
                <w:bCs/>
                <w:color w:val="auto"/>
                <w:sz w:val="24"/>
              </w:rPr>
              <w:t>本项目运营期最大可信事故为废气处理设备失效导致废气大量直接外排，造成事故性排放。本项目产生一定量</w:t>
            </w:r>
            <w:r>
              <w:rPr>
                <w:rFonts w:hint="eastAsia"/>
                <w:bCs/>
                <w:color w:val="auto"/>
                <w:sz w:val="24"/>
              </w:rPr>
              <w:t>的</w:t>
            </w:r>
            <w:r>
              <w:rPr>
                <w:bCs/>
                <w:color w:val="auto"/>
                <w:sz w:val="24"/>
              </w:rPr>
              <w:t>废气，若废气处理装置失效，废气大量外排对人体和周围环境将产生一定的危害。</w:t>
            </w:r>
          </w:p>
          <w:p w14:paraId="7379429D">
            <w:pPr>
              <w:spacing w:line="440" w:lineRule="exact"/>
              <w:ind w:firstLine="480" w:firstLineChars="200"/>
              <w:rPr>
                <w:b/>
                <w:color w:val="auto"/>
                <w:sz w:val="24"/>
              </w:rPr>
            </w:pPr>
            <w:r>
              <w:rPr>
                <w:rFonts w:hint="eastAsia"/>
                <w:color w:val="auto"/>
                <w:sz w:val="24"/>
              </w:rPr>
              <w:fldChar w:fldCharType="begin"/>
            </w:r>
            <w:r>
              <w:rPr>
                <w:color w:val="auto"/>
                <w:sz w:val="24"/>
              </w:rPr>
              <w:instrText xml:space="preserve"> = 5 \* GB3 </w:instrText>
            </w:r>
            <w:r>
              <w:rPr>
                <w:rFonts w:hint="eastAsia"/>
                <w:color w:val="auto"/>
                <w:sz w:val="24"/>
              </w:rPr>
              <w:fldChar w:fldCharType="separate"/>
            </w:r>
            <w:r>
              <w:rPr>
                <w:rFonts w:hint="eastAsia" w:ascii="宋体" w:hAnsi="宋体" w:cs="宋体"/>
                <w:color w:val="auto"/>
                <w:sz w:val="24"/>
              </w:rPr>
              <w:t>⑤</w:t>
            </w:r>
            <w:r>
              <w:rPr>
                <w:rFonts w:hint="eastAsia" w:ascii="宋体" w:hAnsi="宋体" w:cs="宋体"/>
                <w:color w:val="auto"/>
                <w:sz w:val="24"/>
              </w:rPr>
              <w:fldChar w:fldCharType="end"/>
            </w:r>
            <w:r>
              <w:rPr>
                <w:rFonts w:hint="eastAsia"/>
                <w:color w:val="auto"/>
                <w:sz w:val="24"/>
              </w:rPr>
              <w:t>环</w:t>
            </w:r>
            <w:r>
              <w:rPr>
                <w:color w:val="auto"/>
                <w:sz w:val="24"/>
              </w:rPr>
              <w:t>境风险分析</w:t>
            </w:r>
          </w:p>
          <w:p w14:paraId="16EDAF67">
            <w:pPr>
              <w:spacing w:line="440" w:lineRule="exact"/>
              <w:ind w:firstLine="480" w:firstLineChars="200"/>
              <w:rPr>
                <w:bCs/>
                <w:color w:val="auto"/>
                <w:sz w:val="24"/>
              </w:rPr>
            </w:pPr>
            <w:r>
              <w:rPr>
                <w:rFonts w:hint="eastAsia"/>
                <w:bCs/>
                <w:color w:val="auto"/>
                <w:sz w:val="24"/>
              </w:rPr>
              <w:t>1）</w:t>
            </w:r>
            <w:r>
              <w:rPr>
                <w:bCs/>
                <w:color w:val="auto"/>
                <w:sz w:val="24"/>
              </w:rPr>
              <w:t>水环境污染事故</w:t>
            </w:r>
          </w:p>
          <w:p w14:paraId="4D109F37">
            <w:pPr>
              <w:spacing w:line="440" w:lineRule="exact"/>
              <w:ind w:firstLine="480" w:firstLineChars="200"/>
              <w:rPr>
                <w:bCs/>
                <w:color w:val="auto"/>
                <w:sz w:val="24"/>
              </w:rPr>
            </w:pPr>
            <w:r>
              <w:rPr>
                <w:bCs/>
                <w:color w:val="auto"/>
                <w:sz w:val="24"/>
              </w:rPr>
              <w:t>由于本项目生活污水经厂区化粪池预处理</w:t>
            </w:r>
            <w:r>
              <w:rPr>
                <w:rFonts w:hint="eastAsia"/>
                <w:bCs/>
                <w:color w:val="auto"/>
                <w:sz w:val="24"/>
              </w:rPr>
              <w:t>后纳管排至污水处理厂进行处理</w:t>
            </w:r>
            <w:r>
              <w:rPr>
                <w:bCs/>
                <w:color w:val="auto"/>
                <w:sz w:val="24"/>
              </w:rPr>
              <w:t>，一般情况下，废水对环境无影响。</w:t>
            </w:r>
          </w:p>
          <w:p w14:paraId="0BC1EB2C">
            <w:pPr>
              <w:spacing w:line="440" w:lineRule="exact"/>
              <w:ind w:firstLine="480" w:firstLineChars="200"/>
              <w:rPr>
                <w:bCs/>
                <w:color w:val="auto"/>
                <w:sz w:val="24"/>
              </w:rPr>
            </w:pPr>
            <w:r>
              <w:rPr>
                <w:bCs/>
                <w:color w:val="auto"/>
                <w:sz w:val="24"/>
              </w:rPr>
              <w:t>项目事故风险主要为</w:t>
            </w:r>
            <w:r>
              <w:rPr>
                <w:rFonts w:hint="eastAsia"/>
                <w:color w:val="auto"/>
                <w:kern w:val="0"/>
                <w:sz w:val="24"/>
              </w:rPr>
              <w:t>水性胶水、润滑油及各类危废等</w:t>
            </w:r>
            <w:r>
              <w:rPr>
                <w:rFonts w:hint="eastAsia"/>
                <w:bCs/>
                <w:color w:val="auto"/>
                <w:sz w:val="24"/>
              </w:rPr>
              <w:t>液体</w:t>
            </w:r>
            <w:r>
              <w:rPr>
                <w:bCs/>
                <w:color w:val="auto"/>
                <w:sz w:val="24"/>
              </w:rPr>
              <w:t>泄漏产生的渗滤液及消防水通过雨水管道会对周边地表水体产生污染，在发生风险事故时产生的事故废水对周围水环境的影响途径为：事故废水没有控制在厂区内，进入附近内河水体，污染内河水体水质。要求企业建</w:t>
            </w:r>
            <w:r>
              <w:rPr>
                <w:rFonts w:hint="eastAsia"/>
                <w:bCs/>
                <w:color w:val="auto"/>
                <w:sz w:val="24"/>
              </w:rPr>
              <w:t>设</w:t>
            </w:r>
            <w:r>
              <w:rPr>
                <w:bCs/>
                <w:color w:val="auto"/>
                <w:sz w:val="24"/>
              </w:rPr>
              <w:t>事故应急池，对事故状态下废水进行收集，因此废水事故排放影响可控。</w:t>
            </w:r>
          </w:p>
          <w:p w14:paraId="50F68548">
            <w:pPr>
              <w:spacing w:line="440" w:lineRule="exact"/>
              <w:ind w:firstLine="480" w:firstLineChars="200"/>
              <w:rPr>
                <w:bCs/>
                <w:color w:val="auto"/>
                <w:sz w:val="24"/>
              </w:rPr>
            </w:pPr>
            <w:r>
              <w:rPr>
                <w:rFonts w:hint="eastAsia"/>
                <w:bCs/>
                <w:color w:val="auto"/>
                <w:sz w:val="24"/>
              </w:rPr>
              <w:t>2）</w:t>
            </w:r>
            <w:r>
              <w:rPr>
                <w:bCs/>
                <w:color w:val="auto"/>
                <w:sz w:val="24"/>
              </w:rPr>
              <w:t>大气环境污染事故</w:t>
            </w:r>
          </w:p>
          <w:p w14:paraId="5E8A61CD">
            <w:pPr>
              <w:spacing w:line="440" w:lineRule="exact"/>
              <w:ind w:firstLine="480" w:firstLineChars="200"/>
              <w:rPr>
                <w:bCs/>
                <w:color w:val="auto"/>
                <w:sz w:val="24"/>
              </w:rPr>
            </w:pPr>
            <w:r>
              <w:rPr>
                <w:bCs/>
                <w:color w:val="auto"/>
                <w:sz w:val="24"/>
              </w:rPr>
              <w:t>项目</w:t>
            </w:r>
            <w:r>
              <w:rPr>
                <w:rFonts w:hint="eastAsia"/>
                <w:bCs/>
                <w:color w:val="auto"/>
                <w:sz w:val="24"/>
              </w:rPr>
              <w:t>各类废气经处理装置处理后达标排放</w:t>
            </w:r>
            <w:r>
              <w:rPr>
                <w:bCs/>
                <w:color w:val="auto"/>
                <w:sz w:val="24"/>
              </w:rPr>
              <w:t>。在正常工况下，对厂内及厂区附近环境的影响极小。但在事故工况时</w:t>
            </w:r>
            <w:r>
              <w:rPr>
                <w:rFonts w:hint="eastAsia"/>
                <w:bCs/>
                <w:color w:val="auto"/>
                <w:sz w:val="24"/>
              </w:rPr>
              <w:t>有一定影响</w:t>
            </w:r>
            <w:r>
              <w:rPr>
                <w:bCs/>
                <w:color w:val="auto"/>
                <w:sz w:val="24"/>
              </w:rPr>
              <w:t>，故企业应加强管理，一旦废气处理装置出现故障时，应立即停产检修，待处理设施恢复正常后方可投入正常生产。</w:t>
            </w:r>
          </w:p>
          <w:p w14:paraId="3A0136B5">
            <w:pPr>
              <w:spacing w:line="440" w:lineRule="exact"/>
              <w:ind w:firstLine="480" w:firstLineChars="200"/>
              <w:rPr>
                <w:color w:val="auto"/>
                <w:sz w:val="24"/>
              </w:rPr>
            </w:pPr>
            <w:r>
              <w:rPr>
                <w:rFonts w:hint="eastAsia"/>
                <w:bCs/>
                <w:color w:val="auto"/>
                <w:sz w:val="24"/>
              </w:rPr>
              <w:t>⑥</w:t>
            </w:r>
            <w:r>
              <w:rPr>
                <w:bCs/>
                <w:color w:val="auto"/>
                <w:sz w:val="24"/>
              </w:rPr>
              <w:t>环</w:t>
            </w:r>
            <w:r>
              <w:rPr>
                <w:color w:val="auto"/>
                <w:sz w:val="24"/>
              </w:rPr>
              <w:t>境风险防范措施</w:t>
            </w:r>
          </w:p>
          <w:p w14:paraId="3F30D180">
            <w:pPr>
              <w:pStyle w:val="14"/>
              <w:spacing w:before="0" w:after="0" w:line="440" w:lineRule="exact"/>
              <w:ind w:firstLine="480" w:firstLineChars="200"/>
              <w:jc w:val="left"/>
              <w:rPr>
                <w:rFonts w:hAnsi="宋体"/>
                <w:color w:val="auto"/>
                <w:sz w:val="24"/>
                <w:szCs w:val="24"/>
              </w:rPr>
            </w:pPr>
            <w:r>
              <w:rPr>
                <w:bCs/>
                <w:color w:val="auto"/>
                <w:sz w:val="24"/>
                <w:szCs w:val="24"/>
              </w:rPr>
              <w:t>平时加强废气收集设备和治理设备的维护，开始工作前应对环保设施进行例行检查，确保废气收集装置和治理装置正常运行，以防止意外事故发生。应按环保设施上的易损清单，在仓库备好易损零部件，以防突发事故后不能及时修理。当环保设施出现故障时应立即停止工作面，避免继续工作造成的环境污染。同时公司要有充分的应急措施，项目应按照相关规定设置逃生系统，并能够有足够并匹配的消防器材及备用应急电源。一旦发生意外，应立即采取应急预案。</w:t>
            </w:r>
          </w:p>
          <w:p w14:paraId="3C11CE8B">
            <w:pPr>
              <w:pStyle w:val="4"/>
              <w:shd w:val="clear" w:color="auto" w:fill="FFFFFF"/>
              <w:spacing w:before="0" w:after="0" w:line="440" w:lineRule="exact"/>
              <w:ind w:left="0" w:firstLine="480" w:firstLineChars="200"/>
              <w:rPr>
                <w:rFonts w:eastAsia="宋体"/>
                <w:b w:val="0"/>
                <w:color w:val="auto"/>
                <w:kern w:val="0"/>
                <w:sz w:val="24"/>
                <w:szCs w:val="24"/>
              </w:rPr>
            </w:pPr>
            <w:bookmarkStart w:id="15" w:name="_Toc1713"/>
            <w:r>
              <w:rPr>
                <w:rFonts w:hint="eastAsia" w:eastAsia="宋体"/>
                <w:b w:val="0"/>
                <w:color w:val="auto"/>
                <w:kern w:val="0"/>
                <w:sz w:val="24"/>
                <w:szCs w:val="24"/>
              </w:rPr>
              <w:t>建设项目环境风险简单分析内容表。详见表4-3</w:t>
            </w:r>
            <w:r>
              <w:rPr>
                <w:rFonts w:hint="eastAsia" w:eastAsia="宋体"/>
                <w:b w:val="0"/>
                <w:color w:val="auto"/>
                <w:kern w:val="0"/>
                <w:sz w:val="24"/>
                <w:szCs w:val="24"/>
                <w:lang w:val="en-US" w:eastAsia="zh-CN"/>
              </w:rPr>
              <w:t>9</w:t>
            </w:r>
            <w:r>
              <w:rPr>
                <w:rFonts w:hint="eastAsia" w:eastAsia="宋体"/>
                <w:b w:val="0"/>
                <w:color w:val="auto"/>
                <w:kern w:val="0"/>
                <w:sz w:val="24"/>
                <w:szCs w:val="24"/>
              </w:rPr>
              <w:t>。</w:t>
            </w:r>
            <w:bookmarkEnd w:id="15"/>
          </w:p>
          <w:p w14:paraId="4FA4ACFA">
            <w:pPr>
              <w:spacing w:line="440" w:lineRule="exact"/>
              <w:jc w:val="center"/>
              <w:rPr>
                <w:b/>
                <w:color w:val="auto"/>
                <w:szCs w:val="21"/>
              </w:rPr>
            </w:pPr>
            <w:r>
              <w:rPr>
                <w:rFonts w:hint="eastAsia"/>
                <w:b/>
                <w:color w:val="auto"/>
                <w:szCs w:val="21"/>
              </w:rPr>
              <w:t>表4</w:t>
            </w:r>
            <w:r>
              <w:rPr>
                <w:b/>
                <w:color w:val="auto"/>
                <w:szCs w:val="21"/>
              </w:rPr>
              <w:t>-</w:t>
            </w:r>
            <w:r>
              <w:rPr>
                <w:rFonts w:hint="eastAsia"/>
                <w:b/>
                <w:color w:val="auto"/>
                <w:szCs w:val="21"/>
              </w:rPr>
              <w:t>3</w:t>
            </w:r>
            <w:r>
              <w:rPr>
                <w:rFonts w:hint="eastAsia"/>
                <w:b/>
                <w:color w:val="auto"/>
                <w:szCs w:val="21"/>
                <w:lang w:val="en-US" w:eastAsia="zh-CN"/>
              </w:rPr>
              <w:t>9</w:t>
            </w:r>
            <w:r>
              <w:rPr>
                <w:rFonts w:hint="eastAsia"/>
                <w:b/>
                <w:color w:val="auto"/>
                <w:szCs w:val="21"/>
              </w:rPr>
              <w:t xml:space="preserve">  建设项目环境风险简单分析内容表</w:t>
            </w:r>
          </w:p>
          <w:tbl>
            <w:tblPr>
              <w:tblStyle w:val="37"/>
              <w:tblW w:w="8787"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89"/>
              <w:gridCol w:w="955"/>
              <w:gridCol w:w="2188"/>
              <w:gridCol w:w="864"/>
              <w:gridCol w:w="2991"/>
            </w:tblGrid>
            <w:tr w14:paraId="027FCE7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1674" w:type="dxa"/>
                  <w:tcBorders>
                    <w:left w:val="single" w:color="auto" w:sz="8" w:space="0"/>
                  </w:tcBorders>
                  <w:vAlign w:val="center"/>
                </w:tcPr>
                <w:p w14:paraId="2A5F609C">
                  <w:pPr>
                    <w:jc w:val="center"/>
                    <w:rPr>
                      <w:color w:val="auto"/>
                      <w:szCs w:val="21"/>
                    </w:rPr>
                  </w:pPr>
                  <w:r>
                    <w:rPr>
                      <w:rFonts w:hint="eastAsia" w:cs="宋体"/>
                      <w:color w:val="auto"/>
                      <w:szCs w:val="21"/>
                    </w:rPr>
                    <w:t>建设项目名称</w:t>
                  </w:r>
                </w:p>
              </w:tc>
              <w:tc>
                <w:tcPr>
                  <w:tcW w:w="6546" w:type="dxa"/>
                  <w:gridSpan w:val="4"/>
                  <w:tcBorders>
                    <w:right w:val="single" w:color="auto" w:sz="8" w:space="0"/>
                  </w:tcBorders>
                  <w:vAlign w:val="center"/>
                </w:tcPr>
                <w:p w14:paraId="0F6B2D09">
                  <w:pPr>
                    <w:jc w:val="center"/>
                    <w:rPr>
                      <w:rFonts w:hint="eastAsia" w:eastAsia="宋体" w:cs="宋体"/>
                      <w:color w:val="auto"/>
                      <w:szCs w:val="21"/>
                      <w:lang w:eastAsia="zh-CN"/>
                    </w:rPr>
                  </w:pPr>
                  <w:r>
                    <w:rPr>
                      <w:rFonts w:hint="eastAsia" w:cs="宋体"/>
                      <w:color w:val="auto"/>
                      <w:szCs w:val="21"/>
                      <w:lang w:eastAsia="zh-CN"/>
                    </w:rPr>
                    <w:t>安吉联红五金制品厂年产100万套塑料配件、30万套五金配件迁建项目</w:t>
                  </w:r>
                </w:p>
              </w:tc>
            </w:tr>
            <w:tr w14:paraId="74DA37F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1674" w:type="dxa"/>
                  <w:tcBorders>
                    <w:left w:val="single" w:color="auto" w:sz="8" w:space="0"/>
                    <w:right w:val="single" w:color="auto" w:sz="8" w:space="0"/>
                  </w:tcBorders>
                  <w:vAlign w:val="center"/>
                </w:tcPr>
                <w:p w14:paraId="58CBBEBF">
                  <w:pPr>
                    <w:jc w:val="center"/>
                    <w:rPr>
                      <w:color w:val="auto"/>
                      <w:szCs w:val="21"/>
                    </w:rPr>
                  </w:pPr>
                  <w:r>
                    <w:rPr>
                      <w:rFonts w:hint="eastAsia" w:cs="宋体"/>
                      <w:color w:val="auto"/>
                      <w:szCs w:val="21"/>
                    </w:rPr>
                    <w:t>建设地点</w:t>
                  </w:r>
                </w:p>
              </w:tc>
              <w:tc>
                <w:tcPr>
                  <w:tcW w:w="893" w:type="dxa"/>
                  <w:tcBorders>
                    <w:left w:val="single" w:color="auto" w:sz="8" w:space="0"/>
                    <w:right w:val="single" w:color="auto" w:sz="8" w:space="0"/>
                  </w:tcBorders>
                  <w:vAlign w:val="center"/>
                </w:tcPr>
                <w:p w14:paraId="0B55D517">
                  <w:pPr>
                    <w:jc w:val="center"/>
                    <w:rPr>
                      <w:color w:val="auto"/>
                      <w:szCs w:val="21"/>
                    </w:rPr>
                  </w:pPr>
                  <w:r>
                    <w:rPr>
                      <w:color w:val="auto"/>
                      <w:szCs w:val="21"/>
                    </w:rPr>
                    <w:t>浙江省</w:t>
                  </w:r>
                </w:p>
              </w:tc>
              <w:tc>
                <w:tcPr>
                  <w:tcW w:w="2047" w:type="dxa"/>
                  <w:tcBorders>
                    <w:left w:val="single" w:color="auto" w:sz="8" w:space="0"/>
                    <w:right w:val="single" w:color="auto" w:sz="8" w:space="0"/>
                  </w:tcBorders>
                  <w:vAlign w:val="center"/>
                </w:tcPr>
                <w:p w14:paraId="66EF5E55">
                  <w:pPr>
                    <w:jc w:val="center"/>
                    <w:rPr>
                      <w:color w:val="auto"/>
                      <w:szCs w:val="21"/>
                    </w:rPr>
                  </w:pPr>
                  <w:r>
                    <w:rPr>
                      <w:rFonts w:hint="eastAsia"/>
                      <w:color w:val="auto"/>
                      <w:szCs w:val="21"/>
                    </w:rPr>
                    <w:t>湖州市</w:t>
                  </w:r>
                </w:p>
              </w:tc>
              <w:tc>
                <w:tcPr>
                  <w:tcW w:w="808" w:type="dxa"/>
                  <w:tcBorders>
                    <w:left w:val="single" w:color="auto" w:sz="8" w:space="0"/>
                    <w:right w:val="single" w:color="auto" w:sz="8" w:space="0"/>
                  </w:tcBorders>
                  <w:vAlign w:val="center"/>
                </w:tcPr>
                <w:p w14:paraId="5E85758A">
                  <w:pPr>
                    <w:jc w:val="center"/>
                    <w:rPr>
                      <w:color w:val="auto"/>
                      <w:szCs w:val="21"/>
                    </w:rPr>
                  </w:pPr>
                  <w:r>
                    <w:rPr>
                      <w:rFonts w:hint="eastAsia"/>
                      <w:color w:val="auto"/>
                      <w:szCs w:val="21"/>
                    </w:rPr>
                    <w:t>安吉</w:t>
                  </w:r>
                  <w:r>
                    <w:rPr>
                      <w:color w:val="auto"/>
                      <w:szCs w:val="21"/>
                    </w:rPr>
                    <w:t>县</w:t>
                  </w:r>
                </w:p>
              </w:tc>
              <w:tc>
                <w:tcPr>
                  <w:tcW w:w="2798" w:type="dxa"/>
                  <w:tcBorders>
                    <w:left w:val="single" w:color="auto" w:sz="8" w:space="0"/>
                    <w:right w:val="single" w:color="auto" w:sz="8" w:space="0"/>
                  </w:tcBorders>
                  <w:vAlign w:val="center"/>
                </w:tcPr>
                <w:p w14:paraId="2EB51F22">
                  <w:pPr>
                    <w:jc w:val="left"/>
                    <w:rPr>
                      <w:rFonts w:hint="eastAsia" w:eastAsia="宋体"/>
                      <w:color w:val="auto"/>
                      <w:szCs w:val="21"/>
                      <w:lang w:eastAsia="zh-CN"/>
                    </w:rPr>
                  </w:pPr>
                  <w:r>
                    <w:rPr>
                      <w:rFonts w:hint="eastAsia"/>
                      <w:color w:val="auto"/>
                      <w:szCs w:val="21"/>
                    </w:rPr>
                    <w:t>安吉县</w:t>
                  </w:r>
                  <w:r>
                    <w:rPr>
                      <w:rFonts w:hint="eastAsia"/>
                      <w:color w:val="auto"/>
                      <w:szCs w:val="21"/>
                      <w:lang w:eastAsia="zh-CN"/>
                    </w:rPr>
                    <w:t>天荒坪镇白水湾工业园（安吉县春风木制品厂）</w:t>
                  </w:r>
                </w:p>
              </w:tc>
            </w:tr>
            <w:tr w14:paraId="113E9B04">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1674" w:type="dxa"/>
                  <w:tcBorders>
                    <w:left w:val="single" w:color="auto" w:sz="8" w:space="0"/>
                  </w:tcBorders>
                  <w:vAlign w:val="center"/>
                </w:tcPr>
                <w:p w14:paraId="473CEFE1">
                  <w:pPr>
                    <w:jc w:val="center"/>
                    <w:rPr>
                      <w:color w:val="auto"/>
                      <w:szCs w:val="21"/>
                    </w:rPr>
                  </w:pPr>
                  <w:r>
                    <w:rPr>
                      <w:rFonts w:hint="eastAsia" w:cs="宋体"/>
                      <w:color w:val="auto"/>
                      <w:szCs w:val="21"/>
                    </w:rPr>
                    <w:t>地理坐标</w:t>
                  </w:r>
                </w:p>
              </w:tc>
              <w:tc>
                <w:tcPr>
                  <w:tcW w:w="893" w:type="dxa"/>
                  <w:vAlign w:val="center"/>
                </w:tcPr>
                <w:p w14:paraId="4EF3E877">
                  <w:pPr>
                    <w:jc w:val="center"/>
                    <w:rPr>
                      <w:color w:val="auto"/>
                      <w:szCs w:val="21"/>
                    </w:rPr>
                  </w:pPr>
                  <w:r>
                    <w:rPr>
                      <w:rFonts w:hint="eastAsia" w:cs="宋体"/>
                      <w:color w:val="auto"/>
                      <w:szCs w:val="21"/>
                    </w:rPr>
                    <w:t>经度</w:t>
                  </w:r>
                </w:p>
              </w:tc>
              <w:tc>
                <w:tcPr>
                  <w:tcW w:w="2047" w:type="dxa"/>
                  <w:vAlign w:val="center"/>
                </w:tcPr>
                <w:p w14:paraId="0C65596F">
                  <w:pPr>
                    <w:jc w:val="center"/>
                    <w:rPr>
                      <w:color w:val="auto"/>
                      <w:szCs w:val="21"/>
                    </w:rPr>
                  </w:pPr>
                  <w:r>
                    <w:rPr>
                      <w:color w:val="auto"/>
                      <w:szCs w:val="21"/>
                    </w:rPr>
                    <w:t>东经119°38′33.234″</w:t>
                  </w:r>
                </w:p>
              </w:tc>
              <w:tc>
                <w:tcPr>
                  <w:tcW w:w="808" w:type="dxa"/>
                  <w:vAlign w:val="center"/>
                </w:tcPr>
                <w:p w14:paraId="03E424DC">
                  <w:pPr>
                    <w:jc w:val="center"/>
                    <w:rPr>
                      <w:color w:val="auto"/>
                      <w:szCs w:val="21"/>
                    </w:rPr>
                  </w:pPr>
                  <w:r>
                    <w:rPr>
                      <w:color w:val="auto"/>
                      <w:szCs w:val="21"/>
                    </w:rPr>
                    <w:t>纬度</w:t>
                  </w:r>
                </w:p>
              </w:tc>
              <w:tc>
                <w:tcPr>
                  <w:tcW w:w="2798" w:type="dxa"/>
                  <w:tcBorders>
                    <w:right w:val="single" w:color="auto" w:sz="8" w:space="0"/>
                  </w:tcBorders>
                  <w:vAlign w:val="center"/>
                </w:tcPr>
                <w:p w14:paraId="0D107F12">
                  <w:pPr>
                    <w:jc w:val="center"/>
                    <w:rPr>
                      <w:color w:val="auto"/>
                      <w:szCs w:val="21"/>
                    </w:rPr>
                  </w:pPr>
                  <w:r>
                    <w:rPr>
                      <w:color w:val="auto"/>
                      <w:szCs w:val="21"/>
                    </w:rPr>
                    <w:t>北纬30°33′41.292″</w:t>
                  </w:r>
                </w:p>
              </w:tc>
            </w:tr>
            <w:tr w14:paraId="5BA211F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1674" w:type="dxa"/>
                  <w:tcBorders>
                    <w:left w:val="single" w:color="auto" w:sz="8" w:space="0"/>
                  </w:tcBorders>
                  <w:vAlign w:val="center"/>
                </w:tcPr>
                <w:p w14:paraId="0D7AFA54">
                  <w:pPr>
                    <w:jc w:val="left"/>
                    <w:rPr>
                      <w:color w:val="auto"/>
                      <w:szCs w:val="21"/>
                    </w:rPr>
                  </w:pPr>
                  <w:r>
                    <w:rPr>
                      <w:rFonts w:hint="eastAsia" w:cs="宋体"/>
                      <w:color w:val="auto"/>
                      <w:szCs w:val="21"/>
                    </w:rPr>
                    <w:t>主要危险物质及分布</w:t>
                  </w:r>
                </w:p>
              </w:tc>
              <w:tc>
                <w:tcPr>
                  <w:tcW w:w="6546" w:type="dxa"/>
                  <w:gridSpan w:val="4"/>
                  <w:tcBorders>
                    <w:right w:val="single" w:color="auto" w:sz="8" w:space="0"/>
                  </w:tcBorders>
                  <w:vAlign w:val="center"/>
                </w:tcPr>
                <w:p w14:paraId="7FE52DC2">
                  <w:pPr>
                    <w:ind w:firstLine="420" w:firstLineChars="200"/>
                    <w:rPr>
                      <w:color w:val="auto"/>
                      <w:szCs w:val="21"/>
                    </w:rPr>
                  </w:pPr>
                  <w:r>
                    <w:rPr>
                      <w:rFonts w:hint="eastAsia"/>
                      <w:color w:val="auto"/>
                      <w:szCs w:val="21"/>
                    </w:rPr>
                    <w:t>本项目涉及的危险物质主要是润滑油和</w:t>
                  </w:r>
                  <w:r>
                    <w:rPr>
                      <w:rFonts w:hint="eastAsia" w:hAnsi="宋体"/>
                      <w:color w:val="auto"/>
                    </w:rPr>
                    <w:t>各类危废</w:t>
                  </w:r>
                  <w:r>
                    <w:rPr>
                      <w:rFonts w:hint="eastAsia"/>
                      <w:color w:val="auto"/>
                      <w:szCs w:val="21"/>
                    </w:rPr>
                    <w:t>等，主要分布于生产车间和危废仓库。</w:t>
                  </w:r>
                </w:p>
              </w:tc>
            </w:tr>
            <w:tr w14:paraId="1129ABF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1674" w:type="dxa"/>
                  <w:tcBorders>
                    <w:left w:val="single" w:color="auto" w:sz="8" w:space="0"/>
                  </w:tcBorders>
                  <w:vAlign w:val="center"/>
                </w:tcPr>
                <w:p w14:paraId="15C6E640">
                  <w:pPr>
                    <w:jc w:val="left"/>
                    <w:rPr>
                      <w:color w:val="auto"/>
                      <w:szCs w:val="21"/>
                    </w:rPr>
                  </w:pPr>
                  <w:r>
                    <w:rPr>
                      <w:rFonts w:hint="eastAsia" w:cs="宋体"/>
                      <w:color w:val="auto"/>
                      <w:szCs w:val="21"/>
                    </w:rPr>
                    <w:t>环境影响途径及危害后果（大气、地表水、地下水等）</w:t>
                  </w:r>
                </w:p>
              </w:tc>
              <w:tc>
                <w:tcPr>
                  <w:tcW w:w="6546" w:type="dxa"/>
                  <w:gridSpan w:val="4"/>
                  <w:tcBorders>
                    <w:right w:val="single" w:color="auto" w:sz="8" w:space="0"/>
                  </w:tcBorders>
                  <w:vAlign w:val="center"/>
                </w:tcPr>
                <w:p w14:paraId="68F04A7D">
                  <w:pPr>
                    <w:ind w:firstLine="420" w:firstLineChars="200"/>
                    <w:rPr>
                      <w:color w:val="auto"/>
                      <w:szCs w:val="21"/>
                    </w:rPr>
                  </w:pPr>
                  <w:r>
                    <w:rPr>
                      <w:rFonts w:hint="eastAsia"/>
                      <w:color w:val="auto"/>
                      <w:szCs w:val="21"/>
                    </w:rPr>
                    <w:t>废气设施发生故障导致超标排放；发生泄漏或火灾时，外泄物质和混有此类物质的消防用水可能通过厂区雨水管道排入附近地表水，对附近水体造成一定的污染影响；危险废物若未妥善收集、暂存及处理，发生散落、泄漏等事故，对周边土壤和水体环境产生不利影响。</w:t>
                  </w:r>
                </w:p>
              </w:tc>
            </w:tr>
            <w:tr w14:paraId="3D26CF6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1674" w:type="dxa"/>
                  <w:tcBorders>
                    <w:left w:val="single" w:color="auto" w:sz="8" w:space="0"/>
                  </w:tcBorders>
                  <w:vAlign w:val="center"/>
                </w:tcPr>
                <w:p w14:paraId="1FAD004B">
                  <w:pPr>
                    <w:jc w:val="left"/>
                    <w:rPr>
                      <w:rFonts w:cs="宋体"/>
                      <w:color w:val="auto"/>
                      <w:szCs w:val="21"/>
                    </w:rPr>
                  </w:pPr>
                  <w:r>
                    <w:rPr>
                      <w:rFonts w:hint="eastAsia" w:cs="宋体"/>
                      <w:color w:val="auto"/>
                      <w:szCs w:val="21"/>
                    </w:rPr>
                    <w:t>风险防范措施</w:t>
                  </w:r>
                </w:p>
                <w:p w14:paraId="2CA1DD65">
                  <w:pPr>
                    <w:jc w:val="left"/>
                    <w:rPr>
                      <w:color w:val="auto"/>
                      <w:szCs w:val="21"/>
                    </w:rPr>
                  </w:pPr>
                  <w:r>
                    <w:rPr>
                      <w:rFonts w:hint="eastAsia" w:cs="宋体"/>
                      <w:color w:val="auto"/>
                      <w:szCs w:val="21"/>
                    </w:rPr>
                    <w:t>要求</w:t>
                  </w:r>
                </w:p>
              </w:tc>
              <w:tc>
                <w:tcPr>
                  <w:tcW w:w="6546" w:type="dxa"/>
                  <w:gridSpan w:val="4"/>
                  <w:tcBorders>
                    <w:right w:val="single" w:color="auto" w:sz="8" w:space="0"/>
                  </w:tcBorders>
                  <w:vAlign w:val="center"/>
                </w:tcPr>
                <w:p w14:paraId="3145CEF4">
                  <w:pPr>
                    <w:rPr>
                      <w:color w:val="auto"/>
                      <w:szCs w:val="21"/>
                    </w:rPr>
                  </w:pPr>
                  <w:r>
                    <w:rPr>
                      <w:rFonts w:hint="eastAsia"/>
                      <w:color w:val="auto"/>
                      <w:szCs w:val="21"/>
                    </w:rPr>
                    <w:t>（1）运营期间严格执行国务院令344号《危险化学品安全管理条例》、国家经贸委第35号令《危险化学品管理办法》、国务院352号《使用有毒物品作业场所劳动保护条件》、《常用危险化学品储存通则》（GBl5603）、《危险物品运输规则》、《中华人民共和国消防法》、《建筑设计防火规范》、《仓库防火安全管理规则》、2002年劳动部《生产设备安全卫生设计总则》等有关法律法规，各岗位操作人员必须严格遵守厂内制定的相关规章制度，按程序进行操作，尽可能减少因操作失误造成风险事故的概率；</w:t>
                  </w:r>
                </w:p>
                <w:p w14:paraId="62B38A10">
                  <w:pPr>
                    <w:rPr>
                      <w:color w:val="auto"/>
                      <w:szCs w:val="21"/>
                    </w:rPr>
                  </w:pPr>
                  <w:r>
                    <w:rPr>
                      <w:rFonts w:hint="eastAsia"/>
                      <w:color w:val="auto"/>
                      <w:szCs w:val="21"/>
                    </w:rPr>
                    <w:t>（2）制定厂区废气处理设施操作规程及危险废物卸运、储存、使用等过程的安全注意事项，有关操作人员须严格按要求进行操作；同时定期对废气处理设施进行维护工作，保证设施正常运行；</w:t>
                  </w:r>
                </w:p>
                <w:p w14:paraId="158E307A">
                  <w:pPr>
                    <w:rPr>
                      <w:color w:val="auto"/>
                      <w:szCs w:val="21"/>
                    </w:rPr>
                  </w:pPr>
                  <w:r>
                    <w:rPr>
                      <w:rFonts w:hint="eastAsia"/>
                      <w:color w:val="auto"/>
                      <w:szCs w:val="21"/>
                    </w:rPr>
                    <w:t>（3）危废库存间、装卸平台及附近地表应硬化处理，并铺设防油渗透扩散物材料，做到放风、防雨、防漏，设置集水沟和事故应急池；</w:t>
                  </w:r>
                </w:p>
                <w:p w14:paraId="4C216834">
                  <w:pPr>
                    <w:rPr>
                      <w:color w:val="auto"/>
                      <w:szCs w:val="21"/>
                    </w:rPr>
                  </w:pPr>
                  <w:r>
                    <w:rPr>
                      <w:rFonts w:hint="eastAsia"/>
                      <w:color w:val="auto"/>
                      <w:szCs w:val="21"/>
                    </w:rPr>
                    <w:t>（4）收运的各类危险废物须进行申报登记，设立危险废物标示牌，运出危废均交由持有危险废物经营许可证的单位处置。并对危险废物流向和最终处置进行跟踪，确保危险固废得到合理有效处置。</w:t>
                  </w:r>
                </w:p>
                <w:p w14:paraId="06A75E72">
                  <w:pPr>
                    <w:rPr>
                      <w:color w:val="auto"/>
                      <w:szCs w:val="21"/>
                    </w:rPr>
                  </w:pPr>
                  <w:r>
                    <w:rPr>
                      <w:rFonts w:hint="eastAsia"/>
                      <w:color w:val="auto"/>
                      <w:szCs w:val="21"/>
                    </w:rPr>
                    <w:t>（5）按规范配备足够的消防器材。加强对工人的安全生产和环境保护教育和管理，按规定经过安全操作技术培训，严格按照规范操作。</w:t>
                  </w:r>
                </w:p>
                <w:p w14:paraId="30C01458">
                  <w:pPr>
                    <w:numPr>
                      <w:ilvl w:val="0"/>
                      <w:numId w:val="9"/>
                    </w:numPr>
                    <w:rPr>
                      <w:color w:val="auto"/>
                      <w:sz w:val="24"/>
                    </w:rPr>
                  </w:pPr>
                  <w:r>
                    <w:rPr>
                      <w:rFonts w:hint="eastAsia"/>
                      <w:color w:val="auto"/>
                      <w:szCs w:val="21"/>
                    </w:rPr>
                    <w:t>（6）制定风险事故应急方案，并落实到人，一旦发生事故，就能迅速采取防范措施进行控制，把事故所造成的影响降低到最小程度。</w:t>
                  </w:r>
                </w:p>
              </w:tc>
            </w:tr>
            <w:tr w14:paraId="3AB28EE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8220" w:type="dxa"/>
                  <w:gridSpan w:val="5"/>
                  <w:tcBorders>
                    <w:left w:val="single" w:color="auto" w:sz="8" w:space="0"/>
                    <w:right w:val="single" w:color="auto" w:sz="8" w:space="0"/>
                  </w:tcBorders>
                  <w:vAlign w:val="center"/>
                </w:tcPr>
                <w:p w14:paraId="42655BF7">
                  <w:pPr>
                    <w:rPr>
                      <w:rFonts w:cs="宋体"/>
                      <w:color w:val="auto"/>
                      <w:szCs w:val="21"/>
                    </w:rPr>
                  </w:pPr>
                  <w:r>
                    <w:rPr>
                      <w:rFonts w:hint="eastAsia" w:cs="宋体"/>
                      <w:color w:val="auto"/>
                      <w:szCs w:val="21"/>
                    </w:rPr>
                    <w:t>填表说明（列出项目相关信息及评价说明）：</w:t>
                  </w:r>
                </w:p>
                <w:p w14:paraId="04010230">
                  <w:pPr>
                    <w:ind w:firstLine="420" w:firstLineChars="200"/>
                    <w:rPr>
                      <w:color w:val="auto"/>
                      <w:szCs w:val="21"/>
                    </w:rPr>
                  </w:pPr>
                  <w:r>
                    <w:rPr>
                      <w:rFonts w:hint="eastAsia"/>
                      <w:color w:val="auto"/>
                      <w:szCs w:val="21"/>
                    </w:rPr>
                    <w:t>本项目环境风险评价工作等级为简单分析，建设单位应采取有效的预防、应急措施，避免运输、储存等过程中泄漏和爆炸事故的发生，并从生产、贮运等各方面积极采取防护措施，确保事故状态下污水不外排。在此前提下，事故时可以控制事故和减少对环境造成的危害。因此，项目的环境风险是可控的。</w:t>
                  </w:r>
                </w:p>
              </w:tc>
            </w:tr>
          </w:tbl>
          <w:p w14:paraId="4E586829">
            <w:pPr>
              <w:pStyle w:val="118"/>
              <w:ind w:firstLine="0" w:firstLineChars="0"/>
              <w:jc w:val="left"/>
              <w:rPr>
                <w:rFonts w:hAnsi="宋体" w:eastAsia="宋体"/>
                <w:b/>
                <w:bCs/>
                <w:color w:val="auto"/>
                <w:spacing w:val="-10"/>
                <w:kern w:val="2"/>
                <w:szCs w:val="24"/>
              </w:rPr>
            </w:pPr>
            <w:r>
              <w:rPr>
                <w:rFonts w:hint="eastAsia" w:hAnsi="宋体" w:eastAsia="宋体"/>
                <w:b/>
                <w:bCs/>
                <w:color w:val="auto"/>
                <w:spacing w:val="-10"/>
                <w:kern w:val="2"/>
                <w:szCs w:val="24"/>
              </w:rPr>
              <w:t>4.8 环保投资</w:t>
            </w:r>
          </w:p>
          <w:p w14:paraId="5A5EB6C9">
            <w:pPr>
              <w:pStyle w:val="280"/>
              <w:spacing w:line="440" w:lineRule="exact"/>
              <w:ind w:firstLine="480" w:firstLineChars="200"/>
              <w:rPr>
                <w:bCs/>
                <w:color w:val="auto"/>
                <w:kern w:val="0"/>
              </w:rPr>
            </w:pPr>
            <w:r>
              <w:rPr>
                <w:bCs/>
                <w:color w:val="auto"/>
                <w:kern w:val="0"/>
              </w:rPr>
              <w:t>本项目建设过程中需在废气、废水及噪声防治等环境保护工作上投入一定资金，以确保环境污染防治工程措施落实到位。</w:t>
            </w:r>
            <w:r>
              <w:rPr>
                <w:rFonts w:hint="eastAsia"/>
                <w:bCs/>
                <w:color w:val="auto"/>
                <w:kern w:val="0"/>
              </w:rPr>
              <w:t>本次</w:t>
            </w:r>
            <w:r>
              <w:rPr>
                <w:bCs/>
                <w:color w:val="auto"/>
                <w:kern w:val="0"/>
              </w:rPr>
              <w:t>环保投资明细详见</w:t>
            </w:r>
            <w:r>
              <w:rPr>
                <w:rFonts w:hint="eastAsia"/>
                <w:bCs/>
                <w:color w:val="auto"/>
                <w:kern w:val="0"/>
              </w:rPr>
              <w:t>下表。</w:t>
            </w:r>
          </w:p>
          <w:p w14:paraId="44B28EED">
            <w:pPr>
              <w:spacing w:line="440" w:lineRule="exact"/>
              <w:jc w:val="center"/>
              <w:rPr>
                <w:b/>
                <w:color w:val="auto"/>
                <w:szCs w:val="21"/>
              </w:rPr>
            </w:pPr>
            <w:r>
              <w:rPr>
                <w:rFonts w:hint="eastAsia"/>
                <w:b/>
                <w:color w:val="auto"/>
                <w:szCs w:val="21"/>
              </w:rPr>
              <w:t>表4-</w:t>
            </w:r>
            <w:r>
              <w:rPr>
                <w:rFonts w:hint="eastAsia"/>
                <w:b/>
                <w:color w:val="auto"/>
                <w:szCs w:val="21"/>
                <w:lang w:val="en-US" w:eastAsia="zh-CN"/>
              </w:rPr>
              <w:t>40</w:t>
            </w:r>
            <w:r>
              <w:rPr>
                <w:rFonts w:hint="eastAsia"/>
                <w:b/>
                <w:color w:val="auto"/>
                <w:szCs w:val="21"/>
              </w:rPr>
              <w:t xml:space="preserve">  环保投资概算</w:t>
            </w:r>
          </w:p>
          <w:tbl>
            <w:tblPr>
              <w:tblStyle w:val="3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739"/>
              <w:gridCol w:w="1012"/>
              <w:gridCol w:w="2198"/>
              <w:gridCol w:w="2217"/>
              <w:gridCol w:w="1285"/>
            </w:tblGrid>
            <w:tr w14:paraId="5DEE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3" w:type="dxa"/>
                  <w:vAlign w:val="center"/>
                </w:tcPr>
                <w:p w14:paraId="0C64B4D5">
                  <w:pPr>
                    <w:jc w:val="center"/>
                    <w:rPr>
                      <w:b/>
                      <w:color w:val="auto"/>
                      <w:szCs w:val="21"/>
                    </w:rPr>
                  </w:pPr>
                  <w:r>
                    <w:rPr>
                      <w:rFonts w:hAnsi="宋体"/>
                      <w:b/>
                      <w:color w:val="auto"/>
                      <w:szCs w:val="21"/>
                    </w:rPr>
                    <w:t>序号</w:t>
                  </w:r>
                </w:p>
              </w:tc>
              <w:tc>
                <w:tcPr>
                  <w:tcW w:w="1751" w:type="dxa"/>
                  <w:gridSpan w:val="2"/>
                  <w:vAlign w:val="center"/>
                </w:tcPr>
                <w:p w14:paraId="53FE5192">
                  <w:pPr>
                    <w:jc w:val="center"/>
                    <w:rPr>
                      <w:b/>
                      <w:color w:val="auto"/>
                      <w:szCs w:val="21"/>
                    </w:rPr>
                  </w:pPr>
                  <w:r>
                    <w:rPr>
                      <w:rFonts w:hAnsi="宋体"/>
                      <w:b/>
                      <w:color w:val="auto"/>
                      <w:szCs w:val="21"/>
                    </w:rPr>
                    <w:t>保护设施类别</w:t>
                  </w:r>
                </w:p>
              </w:tc>
              <w:tc>
                <w:tcPr>
                  <w:tcW w:w="2198" w:type="dxa"/>
                  <w:vAlign w:val="center"/>
                </w:tcPr>
                <w:p w14:paraId="5B646678">
                  <w:pPr>
                    <w:jc w:val="center"/>
                    <w:rPr>
                      <w:b/>
                      <w:color w:val="auto"/>
                      <w:szCs w:val="21"/>
                    </w:rPr>
                  </w:pPr>
                  <w:r>
                    <w:rPr>
                      <w:rFonts w:hAnsi="宋体"/>
                      <w:b/>
                      <w:color w:val="auto"/>
                      <w:szCs w:val="21"/>
                    </w:rPr>
                    <w:t>环保投资项目</w:t>
                  </w:r>
                </w:p>
              </w:tc>
              <w:tc>
                <w:tcPr>
                  <w:tcW w:w="2217" w:type="dxa"/>
                  <w:vAlign w:val="center"/>
                </w:tcPr>
                <w:p w14:paraId="57D71E38">
                  <w:pPr>
                    <w:jc w:val="center"/>
                    <w:rPr>
                      <w:rFonts w:hAnsi="宋体"/>
                      <w:b/>
                      <w:color w:val="auto"/>
                      <w:szCs w:val="21"/>
                    </w:rPr>
                  </w:pPr>
                  <w:r>
                    <w:rPr>
                      <w:rFonts w:hint="eastAsia" w:hAnsi="宋体"/>
                      <w:b/>
                      <w:color w:val="auto"/>
                      <w:szCs w:val="21"/>
                    </w:rPr>
                    <w:t>备注</w:t>
                  </w:r>
                </w:p>
              </w:tc>
              <w:tc>
                <w:tcPr>
                  <w:tcW w:w="1285" w:type="dxa"/>
                  <w:vAlign w:val="center"/>
                </w:tcPr>
                <w:p w14:paraId="75B84F09">
                  <w:pPr>
                    <w:jc w:val="center"/>
                    <w:rPr>
                      <w:b/>
                      <w:color w:val="auto"/>
                      <w:szCs w:val="21"/>
                    </w:rPr>
                  </w:pPr>
                  <w:r>
                    <w:rPr>
                      <w:rFonts w:hAnsi="宋体"/>
                      <w:b/>
                      <w:color w:val="auto"/>
                      <w:szCs w:val="21"/>
                    </w:rPr>
                    <w:t>投资</w:t>
                  </w:r>
                </w:p>
                <w:p w14:paraId="59784358">
                  <w:pPr>
                    <w:jc w:val="center"/>
                    <w:rPr>
                      <w:b/>
                      <w:color w:val="auto"/>
                      <w:szCs w:val="21"/>
                    </w:rPr>
                  </w:pPr>
                  <w:r>
                    <w:rPr>
                      <w:rFonts w:hAnsi="宋体"/>
                      <w:b/>
                      <w:color w:val="auto"/>
                      <w:szCs w:val="21"/>
                    </w:rPr>
                    <w:t>（万元）</w:t>
                  </w:r>
                </w:p>
              </w:tc>
            </w:tr>
            <w:tr w14:paraId="79C4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3" w:type="dxa"/>
                  <w:vAlign w:val="center"/>
                </w:tcPr>
                <w:p w14:paraId="1A1853BC">
                  <w:pPr>
                    <w:jc w:val="center"/>
                    <w:rPr>
                      <w:bCs/>
                      <w:color w:val="auto"/>
                      <w:szCs w:val="21"/>
                    </w:rPr>
                  </w:pPr>
                  <w:r>
                    <w:rPr>
                      <w:rFonts w:hint="eastAsia"/>
                      <w:bCs/>
                      <w:color w:val="auto"/>
                      <w:szCs w:val="21"/>
                    </w:rPr>
                    <w:t>1</w:t>
                  </w:r>
                </w:p>
              </w:tc>
              <w:tc>
                <w:tcPr>
                  <w:tcW w:w="739" w:type="dxa"/>
                  <w:vMerge w:val="restart"/>
                  <w:vAlign w:val="center"/>
                </w:tcPr>
                <w:p w14:paraId="4D8CDFCC">
                  <w:pPr>
                    <w:jc w:val="center"/>
                    <w:rPr>
                      <w:bCs/>
                      <w:color w:val="auto"/>
                      <w:szCs w:val="21"/>
                    </w:rPr>
                  </w:pPr>
                  <w:r>
                    <w:rPr>
                      <w:rFonts w:hint="eastAsia"/>
                      <w:bCs/>
                      <w:color w:val="auto"/>
                      <w:szCs w:val="21"/>
                    </w:rPr>
                    <w:t>运营期</w:t>
                  </w:r>
                </w:p>
              </w:tc>
              <w:tc>
                <w:tcPr>
                  <w:tcW w:w="1012" w:type="dxa"/>
                  <w:vAlign w:val="center"/>
                </w:tcPr>
                <w:p w14:paraId="479F6A74">
                  <w:pPr>
                    <w:jc w:val="center"/>
                    <w:rPr>
                      <w:bCs/>
                      <w:color w:val="auto"/>
                      <w:szCs w:val="21"/>
                    </w:rPr>
                  </w:pPr>
                  <w:r>
                    <w:rPr>
                      <w:rFonts w:hint="eastAsia"/>
                      <w:bCs/>
                      <w:color w:val="auto"/>
                      <w:szCs w:val="21"/>
                    </w:rPr>
                    <w:t>废气</w:t>
                  </w:r>
                </w:p>
              </w:tc>
              <w:tc>
                <w:tcPr>
                  <w:tcW w:w="2198" w:type="dxa"/>
                  <w:vAlign w:val="top"/>
                </w:tcPr>
                <w:p w14:paraId="02BDE54B">
                  <w:pPr>
                    <w:pStyle w:val="274"/>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bCs/>
                      <w:color w:val="auto"/>
                      <w:szCs w:val="21"/>
                    </w:rPr>
                  </w:pPr>
                  <w:r>
                    <w:rPr>
                      <w:color w:val="auto"/>
                      <w:spacing w:val="9"/>
                      <w:sz w:val="20"/>
                      <w:szCs w:val="20"/>
                    </w:rPr>
                    <w:t>废气收集处理装置</w:t>
                  </w:r>
                  <w:r>
                    <w:rPr>
                      <w:rFonts w:hint="eastAsia"/>
                      <w:color w:val="auto"/>
                      <w:spacing w:val="9"/>
                      <w:sz w:val="20"/>
                      <w:szCs w:val="20"/>
                      <w:lang w:eastAsia="zh-CN"/>
                    </w:rPr>
                    <w:t>、</w:t>
                  </w:r>
                  <w:r>
                    <w:rPr>
                      <w:rFonts w:hint="eastAsia"/>
                      <w:color w:val="auto"/>
                      <w:spacing w:val="9"/>
                      <w:sz w:val="20"/>
                      <w:szCs w:val="20"/>
                      <w:lang w:val="en-US" w:eastAsia="zh-CN"/>
                    </w:rPr>
                    <w:t>排气筒、规范的采样平台和采样孔</w:t>
                  </w:r>
                  <w:r>
                    <w:rPr>
                      <w:color w:val="auto"/>
                      <w:spacing w:val="9"/>
                      <w:sz w:val="20"/>
                      <w:szCs w:val="20"/>
                    </w:rPr>
                    <w:t>等</w:t>
                  </w:r>
                </w:p>
              </w:tc>
              <w:tc>
                <w:tcPr>
                  <w:tcW w:w="2217" w:type="dxa"/>
                  <w:vAlign w:val="top"/>
                </w:tcPr>
                <w:p w14:paraId="51DE4795">
                  <w:pPr>
                    <w:pStyle w:val="274"/>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color w:val="auto"/>
                    </w:rPr>
                  </w:pPr>
                  <w:r>
                    <w:rPr>
                      <w:color w:val="auto"/>
                      <w:spacing w:val="8"/>
                      <w:sz w:val="20"/>
                      <w:szCs w:val="20"/>
                    </w:rPr>
                    <w:t>两级活性炭处理设施</w:t>
                  </w:r>
                  <w:r>
                    <w:rPr>
                      <w:rFonts w:hint="eastAsia"/>
                      <w:color w:val="auto"/>
                      <w:spacing w:val="8"/>
                      <w:sz w:val="20"/>
                      <w:szCs w:val="20"/>
                      <w:lang w:eastAsia="zh-CN"/>
                    </w:rPr>
                    <w:t>、</w:t>
                  </w:r>
                  <w:r>
                    <w:rPr>
                      <w:rFonts w:hint="eastAsia"/>
                      <w:color w:val="auto"/>
                      <w:spacing w:val="8"/>
                      <w:sz w:val="20"/>
                      <w:szCs w:val="20"/>
                      <w:lang w:val="en-US" w:eastAsia="zh-CN"/>
                    </w:rPr>
                    <w:t>移动式除尘装置、移动式焊烟净化器</w:t>
                  </w:r>
                </w:p>
              </w:tc>
              <w:tc>
                <w:tcPr>
                  <w:tcW w:w="1285" w:type="dxa"/>
                  <w:vAlign w:val="center"/>
                </w:tcPr>
                <w:p w14:paraId="28BCEB12">
                  <w:pPr>
                    <w:jc w:val="center"/>
                    <w:rPr>
                      <w:rFonts w:hint="default" w:eastAsia="宋体"/>
                      <w:color w:val="auto"/>
                      <w:szCs w:val="21"/>
                      <w:lang w:val="en-US" w:eastAsia="zh-CN"/>
                    </w:rPr>
                  </w:pPr>
                  <w:r>
                    <w:rPr>
                      <w:rFonts w:hint="eastAsia"/>
                      <w:color w:val="auto"/>
                      <w:szCs w:val="21"/>
                      <w:lang w:val="en-US" w:eastAsia="zh-CN"/>
                    </w:rPr>
                    <w:t>10</w:t>
                  </w:r>
                </w:p>
              </w:tc>
            </w:tr>
            <w:tr w14:paraId="4C38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3" w:type="dxa"/>
                  <w:vAlign w:val="center"/>
                </w:tcPr>
                <w:p w14:paraId="0E1630B6">
                  <w:pPr>
                    <w:jc w:val="center"/>
                    <w:rPr>
                      <w:bCs/>
                      <w:color w:val="auto"/>
                      <w:szCs w:val="21"/>
                    </w:rPr>
                  </w:pPr>
                  <w:r>
                    <w:rPr>
                      <w:rFonts w:hint="eastAsia"/>
                      <w:bCs/>
                      <w:color w:val="auto"/>
                      <w:szCs w:val="21"/>
                    </w:rPr>
                    <w:t>2</w:t>
                  </w:r>
                </w:p>
              </w:tc>
              <w:tc>
                <w:tcPr>
                  <w:tcW w:w="739" w:type="dxa"/>
                  <w:vMerge w:val="continue"/>
                  <w:vAlign w:val="center"/>
                </w:tcPr>
                <w:p w14:paraId="236E5F46">
                  <w:pPr>
                    <w:jc w:val="center"/>
                    <w:rPr>
                      <w:rFonts w:hAnsi="宋体"/>
                      <w:bCs/>
                      <w:color w:val="auto"/>
                      <w:szCs w:val="21"/>
                    </w:rPr>
                  </w:pPr>
                </w:p>
              </w:tc>
              <w:tc>
                <w:tcPr>
                  <w:tcW w:w="1012" w:type="dxa"/>
                  <w:vAlign w:val="center"/>
                </w:tcPr>
                <w:p w14:paraId="75B0D4E4">
                  <w:pPr>
                    <w:jc w:val="center"/>
                    <w:rPr>
                      <w:rFonts w:hAnsi="宋体"/>
                      <w:bCs/>
                      <w:color w:val="auto"/>
                      <w:szCs w:val="21"/>
                    </w:rPr>
                  </w:pPr>
                  <w:r>
                    <w:rPr>
                      <w:rFonts w:hint="eastAsia" w:hAnsi="宋体"/>
                      <w:bCs/>
                      <w:color w:val="auto"/>
                      <w:szCs w:val="21"/>
                    </w:rPr>
                    <w:t>废水</w:t>
                  </w:r>
                </w:p>
              </w:tc>
              <w:tc>
                <w:tcPr>
                  <w:tcW w:w="2198" w:type="dxa"/>
                  <w:vAlign w:val="center"/>
                </w:tcPr>
                <w:p w14:paraId="64966386">
                  <w:pPr>
                    <w:jc w:val="center"/>
                    <w:rPr>
                      <w:rFonts w:hAnsi="宋体"/>
                      <w:bCs/>
                      <w:color w:val="auto"/>
                      <w:szCs w:val="21"/>
                    </w:rPr>
                  </w:pPr>
                  <w:r>
                    <w:rPr>
                      <w:rFonts w:hint="eastAsia" w:hAnsi="宋体"/>
                      <w:bCs/>
                      <w:color w:val="auto"/>
                      <w:szCs w:val="21"/>
                    </w:rPr>
                    <w:t>化粪池</w:t>
                  </w:r>
                </w:p>
              </w:tc>
              <w:tc>
                <w:tcPr>
                  <w:tcW w:w="2217" w:type="dxa"/>
                  <w:vAlign w:val="center"/>
                </w:tcPr>
                <w:p w14:paraId="274D95CE">
                  <w:pPr>
                    <w:jc w:val="center"/>
                    <w:rPr>
                      <w:color w:val="auto"/>
                      <w:szCs w:val="21"/>
                    </w:rPr>
                  </w:pPr>
                  <w:r>
                    <w:rPr>
                      <w:rFonts w:hint="eastAsia"/>
                      <w:color w:val="auto"/>
                      <w:szCs w:val="21"/>
                    </w:rPr>
                    <w:t>生活废水</w:t>
                  </w:r>
                </w:p>
              </w:tc>
              <w:tc>
                <w:tcPr>
                  <w:tcW w:w="1285" w:type="dxa"/>
                  <w:vAlign w:val="center"/>
                </w:tcPr>
                <w:p w14:paraId="20236F40">
                  <w:pPr>
                    <w:jc w:val="center"/>
                    <w:rPr>
                      <w:color w:val="auto"/>
                      <w:szCs w:val="21"/>
                    </w:rPr>
                  </w:pPr>
                  <w:r>
                    <w:rPr>
                      <w:rFonts w:hint="eastAsia"/>
                      <w:color w:val="auto"/>
                      <w:szCs w:val="21"/>
                    </w:rPr>
                    <w:t>依托出租方</w:t>
                  </w:r>
                </w:p>
              </w:tc>
            </w:tr>
            <w:tr w14:paraId="0B52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3" w:type="dxa"/>
                  <w:vMerge w:val="restart"/>
                  <w:vAlign w:val="center"/>
                </w:tcPr>
                <w:p w14:paraId="523CBF3A">
                  <w:pPr>
                    <w:jc w:val="center"/>
                    <w:rPr>
                      <w:bCs/>
                      <w:color w:val="auto"/>
                      <w:szCs w:val="21"/>
                    </w:rPr>
                  </w:pPr>
                  <w:r>
                    <w:rPr>
                      <w:rFonts w:hint="eastAsia"/>
                      <w:bCs/>
                      <w:color w:val="auto"/>
                      <w:szCs w:val="21"/>
                    </w:rPr>
                    <w:t>3</w:t>
                  </w:r>
                </w:p>
              </w:tc>
              <w:tc>
                <w:tcPr>
                  <w:tcW w:w="739" w:type="dxa"/>
                  <w:vMerge w:val="continue"/>
                  <w:vAlign w:val="center"/>
                </w:tcPr>
                <w:p w14:paraId="0A2127E3">
                  <w:pPr>
                    <w:jc w:val="center"/>
                    <w:rPr>
                      <w:bCs/>
                      <w:color w:val="auto"/>
                      <w:szCs w:val="21"/>
                    </w:rPr>
                  </w:pPr>
                </w:p>
              </w:tc>
              <w:tc>
                <w:tcPr>
                  <w:tcW w:w="1012" w:type="dxa"/>
                  <w:vMerge w:val="restart"/>
                  <w:vAlign w:val="center"/>
                </w:tcPr>
                <w:p w14:paraId="6333BB0E">
                  <w:pPr>
                    <w:jc w:val="center"/>
                    <w:rPr>
                      <w:bCs/>
                      <w:color w:val="auto"/>
                      <w:szCs w:val="21"/>
                    </w:rPr>
                  </w:pPr>
                  <w:r>
                    <w:rPr>
                      <w:rFonts w:hint="eastAsia"/>
                      <w:bCs/>
                      <w:color w:val="auto"/>
                      <w:szCs w:val="21"/>
                    </w:rPr>
                    <w:t>固废</w:t>
                  </w:r>
                </w:p>
              </w:tc>
              <w:tc>
                <w:tcPr>
                  <w:tcW w:w="2198" w:type="dxa"/>
                  <w:vAlign w:val="center"/>
                </w:tcPr>
                <w:p w14:paraId="7A7882F1">
                  <w:pPr>
                    <w:jc w:val="center"/>
                    <w:rPr>
                      <w:bCs/>
                      <w:color w:val="auto"/>
                      <w:szCs w:val="21"/>
                    </w:rPr>
                  </w:pPr>
                  <w:r>
                    <w:rPr>
                      <w:rFonts w:hint="eastAsia"/>
                      <w:bCs/>
                      <w:color w:val="auto"/>
                      <w:szCs w:val="21"/>
                    </w:rPr>
                    <w:t>生活固废堆放点</w:t>
                  </w:r>
                </w:p>
              </w:tc>
              <w:tc>
                <w:tcPr>
                  <w:tcW w:w="2217" w:type="dxa"/>
                  <w:vAlign w:val="center"/>
                </w:tcPr>
                <w:p w14:paraId="128848A6">
                  <w:pPr>
                    <w:jc w:val="center"/>
                    <w:rPr>
                      <w:color w:val="auto"/>
                      <w:szCs w:val="21"/>
                    </w:rPr>
                  </w:pPr>
                  <w:r>
                    <w:rPr>
                      <w:rFonts w:hint="eastAsia"/>
                      <w:color w:val="auto"/>
                      <w:szCs w:val="21"/>
                    </w:rPr>
                    <w:t>生活垃圾</w:t>
                  </w:r>
                </w:p>
              </w:tc>
              <w:tc>
                <w:tcPr>
                  <w:tcW w:w="1285" w:type="dxa"/>
                  <w:vAlign w:val="center"/>
                </w:tcPr>
                <w:p w14:paraId="4D23257D">
                  <w:pPr>
                    <w:jc w:val="center"/>
                    <w:rPr>
                      <w:color w:val="auto"/>
                      <w:szCs w:val="21"/>
                    </w:rPr>
                  </w:pPr>
                  <w:r>
                    <w:rPr>
                      <w:rFonts w:hint="eastAsia"/>
                      <w:color w:val="auto"/>
                      <w:szCs w:val="21"/>
                    </w:rPr>
                    <w:t>依托出租方</w:t>
                  </w:r>
                </w:p>
              </w:tc>
            </w:tr>
            <w:tr w14:paraId="5534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3" w:type="dxa"/>
                  <w:vMerge w:val="continue"/>
                  <w:vAlign w:val="center"/>
                </w:tcPr>
                <w:p w14:paraId="525137AC">
                  <w:pPr>
                    <w:jc w:val="center"/>
                    <w:rPr>
                      <w:bCs/>
                      <w:color w:val="auto"/>
                      <w:szCs w:val="21"/>
                    </w:rPr>
                  </w:pPr>
                </w:p>
              </w:tc>
              <w:tc>
                <w:tcPr>
                  <w:tcW w:w="739" w:type="dxa"/>
                  <w:vMerge w:val="continue"/>
                  <w:vAlign w:val="center"/>
                </w:tcPr>
                <w:p w14:paraId="3703323F">
                  <w:pPr>
                    <w:jc w:val="center"/>
                    <w:rPr>
                      <w:bCs/>
                      <w:color w:val="auto"/>
                      <w:szCs w:val="21"/>
                    </w:rPr>
                  </w:pPr>
                </w:p>
              </w:tc>
              <w:tc>
                <w:tcPr>
                  <w:tcW w:w="1012" w:type="dxa"/>
                  <w:vMerge w:val="continue"/>
                  <w:vAlign w:val="center"/>
                </w:tcPr>
                <w:p w14:paraId="1D79D27F">
                  <w:pPr>
                    <w:jc w:val="center"/>
                    <w:rPr>
                      <w:bCs/>
                      <w:color w:val="auto"/>
                      <w:szCs w:val="21"/>
                    </w:rPr>
                  </w:pPr>
                </w:p>
              </w:tc>
              <w:tc>
                <w:tcPr>
                  <w:tcW w:w="2198" w:type="dxa"/>
                  <w:vAlign w:val="center"/>
                </w:tcPr>
                <w:p w14:paraId="0CBFCAB0">
                  <w:pPr>
                    <w:jc w:val="center"/>
                    <w:rPr>
                      <w:bCs/>
                      <w:color w:val="auto"/>
                      <w:szCs w:val="21"/>
                    </w:rPr>
                  </w:pPr>
                  <w:r>
                    <w:rPr>
                      <w:rFonts w:hint="eastAsia"/>
                      <w:bCs/>
                      <w:color w:val="auto"/>
                      <w:szCs w:val="21"/>
                    </w:rPr>
                    <w:t>工业固废堆放点、危废暂存间、危废处置</w:t>
                  </w:r>
                </w:p>
              </w:tc>
              <w:tc>
                <w:tcPr>
                  <w:tcW w:w="2217" w:type="dxa"/>
                  <w:vAlign w:val="center"/>
                </w:tcPr>
                <w:p w14:paraId="38AF8461">
                  <w:pPr>
                    <w:jc w:val="center"/>
                    <w:rPr>
                      <w:color w:val="auto"/>
                      <w:szCs w:val="21"/>
                    </w:rPr>
                  </w:pPr>
                  <w:r>
                    <w:rPr>
                      <w:rFonts w:hint="eastAsia"/>
                      <w:color w:val="auto"/>
                      <w:szCs w:val="21"/>
                    </w:rPr>
                    <w:t>一般固废暂存场所、固废分拣中心、危废仓库</w:t>
                  </w:r>
                </w:p>
              </w:tc>
              <w:tc>
                <w:tcPr>
                  <w:tcW w:w="1285" w:type="dxa"/>
                  <w:vAlign w:val="center"/>
                </w:tcPr>
                <w:p w14:paraId="7492714C">
                  <w:pPr>
                    <w:jc w:val="center"/>
                    <w:rPr>
                      <w:color w:val="auto"/>
                      <w:szCs w:val="21"/>
                    </w:rPr>
                  </w:pPr>
                  <w:r>
                    <w:rPr>
                      <w:rFonts w:hint="eastAsia"/>
                      <w:color w:val="auto"/>
                      <w:szCs w:val="21"/>
                    </w:rPr>
                    <w:t>5</w:t>
                  </w:r>
                </w:p>
              </w:tc>
            </w:tr>
            <w:tr w14:paraId="1B92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3" w:type="dxa"/>
                  <w:vAlign w:val="center"/>
                </w:tcPr>
                <w:p w14:paraId="7AC3802C">
                  <w:pPr>
                    <w:jc w:val="center"/>
                    <w:rPr>
                      <w:bCs/>
                      <w:color w:val="auto"/>
                      <w:szCs w:val="21"/>
                    </w:rPr>
                  </w:pPr>
                  <w:r>
                    <w:rPr>
                      <w:rFonts w:hint="eastAsia"/>
                      <w:bCs/>
                      <w:color w:val="auto"/>
                      <w:szCs w:val="21"/>
                    </w:rPr>
                    <w:t>4</w:t>
                  </w:r>
                </w:p>
              </w:tc>
              <w:tc>
                <w:tcPr>
                  <w:tcW w:w="739" w:type="dxa"/>
                  <w:vMerge w:val="continue"/>
                  <w:vAlign w:val="center"/>
                </w:tcPr>
                <w:p w14:paraId="2566A032">
                  <w:pPr>
                    <w:jc w:val="center"/>
                    <w:rPr>
                      <w:bCs/>
                      <w:color w:val="auto"/>
                      <w:szCs w:val="21"/>
                    </w:rPr>
                  </w:pPr>
                </w:p>
              </w:tc>
              <w:tc>
                <w:tcPr>
                  <w:tcW w:w="1012" w:type="dxa"/>
                  <w:vAlign w:val="center"/>
                </w:tcPr>
                <w:p w14:paraId="18D3B73A">
                  <w:pPr>
                    <w:jc w:val="center"/>
                    <w:rPr>
                      <w:bCs/>
                      <w:color w:val="auto"/>
                      <w:szCs w:val="21"/>
                    </w:rPr>
                  </w:pPr>
                  <w:r>
                    <w:rPr>
                      <w:rFonts w:hint="eastAsia"/>
                      <w:bCs/>
                      <w:color w:val="auto"/>
                      <w:szCs w:val="21"/>
                    </w:rPr>
                    <w:t>噪声</w:t>
                  </w:r>
                </w:p>
              </w:tc>
              <w:tc>
                <w:tcPr>
                  <w:tcW w:w="2198" w:type="dxa"/>
                  <w:vAlign w:val="center"/>
                </w:tcPr>
                <w:p w14:paraId="4F3DB4E9">
                  <w:pPr>
                    <w:jc w:val="center"/>
                    <w:rPr>
                      <w:bCs/>
                      <w:color w:val="auto"/>
                      <w:szCs w:val="21"/>
                    </w:rPr>
                  </w:pPr>
                  <w:r>
                    <w:rPr>
                      <w:rFonts w:hint="eastAsia"/>
                      <w:bCs/>
                      <w:color w:val="auto"/>
                      <w:szCs w:val="21"/>
                    </w:rPr>
                    <w:t>隔声</w:t>
                  </w:r>
                  <w:r>
                    <w:rPr>
                      <w:bCs/>
                      <w:color w:val="auto"/>
                      <w:szCs w:val="21"/>
                    </w:rPr>
                    <w:t>降噪</w:t>
                  </w:r>
                  <w:r>
                    <w:rPr>
                      <w:rFonts w:hint="eastAsia"/>
                      <w:bCs/>
                      <w:color w:val="auto"/>
                      <w:szCs w:val="21"/>
                    </w:rPr>
                    <w:t>减振</w:t>
                  </w:r>
                </w:p>
              </w:tc>
              <w:tc>
                <w:tcPr>
                  <w:tcW w:w="2217" w:type="dxa"/>
                  <w:vAlign w:val="center"/>
                </w:tcPr>
                <w:p w14:paraId="01FD3145">
                  <w:pPr>
                    <w:jc w:val="center"/>
                    <w:rPr>
                      <w:color w:val="auto"/>
                      <w:szCs w:val="21"/>
                    </w:rPr>
                  </w:pPr>
                  <w:r>
                    <w:rPr>
                      <w:rFonts w:hint="eastAsia"/>
                      <w:color w:val="auto"/>
                      <w:szCs w:val="21"/>
                    </w:rPr>
                    <w:t>生产设备降噪</w:t>
                  </w:r>
                </w:p>
              </w:tc>
              <w:tc>
                <w:tcPr>
                  <w:tcW w:w="1285" w:type="dxa"/>
                  <w:vAlign w:val="center"/>
                </w:tcPr>
                <w:p w14:paraId="36139A82">
                  <w:pPr>
                    <w:jc w:val="center"/>
                    <w:rPr>
                      <w:rFonts w:hint="eastAsia" w:eastAsia="宋体"/>
                      <w:color w:val="auto"/>
                      <w:szCs w:val="21"/>
                      <w:lang w:eastAsia="zh-CN"/>
                    </w:rPr>
                  </w:pPr>
                  <w:r>
                    <w:rPr>
                      <w:rFonts w:hint="eastAsia"/>
                      <w:color w:val="auto"/>
                      <w:szCs w:val="21"/>
                      <w:lang w:val="en-US" w:eastAsia="zh-CN"/>
                    </w:rPr>
                    <w:t>3</w:t>
                  </w:r>
                </w:p>
              </w:tc>
            </w:tr>
            <w:tr w14:paraId="1CA6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53" w:type="dxa"/>
                  <w:vAlign w:val="center"/>
                </w:tcPr>
                <w:p w14:paraId="458459A0">
                  <w:pPr>
                    <w:jc w:val="center"/>
                    <w:rPr>
                      <w:bCs/>
                      <w:color w:val="auto"/>
                      <w:szCs w:val="21"/>
                    </w:rPr>
                  </w:pPr>
                  <w:r>
                    <w:rPr>
                      <w:rFonts w:hint="eastAsia"/>
                      <w:bCs/>
                      <w:color w:val="auto"/>
                      <w:szCs w:val="21"/>
                    </w:rPr>
                    <w:t>5</w:t>
                  </w:r>
                </w:p>
              </w:tc>
              <w:tc>
                <w:tcPr>
                  <w:tcW w:w="1751" w:type="dxa"/>
                  <w:gridSpan w:val="2"/>
                  <w:vAlign w:val="center"/>
                </w:tcPr>
                <w:p w14:paraId="60DB4930">
                  <w:pPr>
                    <w:jc w:val="center"/>
                    <w:rPr>
                      <w:bCs/>
                      <w:color w:val="auto"/>
                      <w:szCs w:val="21"/>
                    </w:rPr>
                  </w:pPr>
                  <w:r>
                    <w:rPr>
                      <w:rFonts w:hint="eastAsia"/>
                      <w:bCs/>
                      <w:color w:val="auto"/>
                      <w:szCs w:val="21"/>
                    </w:rPr>
                    <w:t>应急防范</w:t>
                  </w:r>
                </w:p>
              </w:tc>
              <w:tc>
                <w:tcPr>
                  <w:tcW w:w="2198" w:type="dxa"/>
                  <w:vAlign w:val="center"/>
                </w:tcPr>
                <w:p w14:paraId="5D6FE9BF">
                  <w:pPr>
                    <w:jc w:val="center"/>
                    <w:rPr>
                      <w:bCs/>
                      <w:color w:val="auto"/>
                      <w:szCs w:val="21"/>
                    </w:rPr>
                  </w:pPr>
                  <w:r>
                    <w:rPr>
                      <w:rFonts w:hint="eastAsia"/>
                      <w:color w:val="auto"/>
                      <w:szCs w:val="21"/>
                    </w:rPr>
                    <w:t>应急物资</w:t>
                  </w:r>
                </w:p>
              </w:tc>
              <w:tc>
                <w:tcPr>
                  <w:tcW w:w="2217" w:type="dxa"/>
                  <w:vAlign w:val="center"/>
                </w:tcPr>
                <w:p w14:paraId="0ECCAF4D">
                  <w:pPr>
                    <w:jc w:val="center"/>
                    <w:rPr>
                      <w:color w:val="auto"/>
                      <w:szCs w:val="21"/>
                    </w:rPr>
                  </w:pPr>
                  <w:r>
                    <w:rPr>
                      <w:rFonts w:hint="eastAsia"/>
                      <w:color w:val="auto"/>
                      <w:szCs w:val="21"/>
                    </w:rPr>
                    <w:t>应急物资</w:t>
                  </w:r>
                </w:p>
              </w:tc>
              <w:tc>
                <w:tcPr>
                  <w:tcW w:w="1285" w:type="dxa"/>
                  <w:vAlign w:val="center"/>
                </w:tcPr>
                <w:p w14:paraId="7FF27873">
                  <w:pPr>
                    <w:jc w:val="center"/>
                    <w:rPr>
                      <w:color w:val="auto"/>
                      <w:szCs w:val="21"/>
                    </w:rPr>
                  </w:pPr>
                  <w:r>
                    <w:rPr>
                      <w:rFonts w:hint="eastAsia"/>
                      <w:color w:val="auto"/>
                      <w:szCs w:val="21"/>
                    </w:rPr>
                    <w:t>2</w:t>
                  </w:r>
                </w:p>
              </w:tc>
            </w:tr>
            <w:tr w14:paraId="7470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2" w:type="dxa"/>
                  <w:gridSpan w:val="4"/>
                  <w:vAlign w:val="center"/>
                </w:tcPr>
                <w:p w14:paraId="77B3BDF2">
                  <w:pPr>
                    <w:jc w:val="center"/>
                    <w:rPr>
                      <w:color w:val="auto"/>
                      <w:szCs w:val="21"/>
                    </w:rPr>
                  </w:pPr>
                  <w:r>
                    <w:rPr>
                      <w:rFonts w:hAnsi="宋体"/>
                      <w:color w:val="auto"/>
                      <w:szCs w:val="21"/>
                    </w:rPr>
                    <w:t>合计</w:t>
                  </w:r>
                </w:p>
              </w:tc>
              <w:tc>
                <w:tcPr>
                  <w:tcW w:w="2217" w:type="dxa"/>
                  <w:tcBorders>
                    <w:bottom w:val="single" w:color="auto" w:sz="4" w:space="0"/>
                  </w:tcBorders>
                  <w:vAlign w:val="center"/>
                </w:tcPr>
                <w:p w14:paraId="0A8D6859">
                  <w:pPr>
                    <w:jc w:val="center"/>
                    <w:rPr>
                      <w:color w:val="auto"/>
                      <w:szCs w:val="21"/>
                    </w:rPr>
                  </w:pPr>
                  <w:r>
                    <w:rPr>
                      <w:rFonts w:hint="eastAsia"/>
                      <w:color w:val="auto"/>
                      <w:szCs w:val="21"/>
                    </w:rPr>
                    <w:t>/</w:t>
                  </w:r>
                </w:p>
              </w:tc>
              <w:tc>
                <w:tcPr>
                  <w:tcW w:w="1285" w:type="dxa"/>
                  <w:tcBorders>
                    <w:bottom w:val="single" w:color="auto" w:sz="4" w:space="0"/>
                  </w:tcBorders>
                  <w:vAlign w:val="center"/>
                </w:tcPr>
                <w:p w14:paraId="552352A0">
                  <w:pPr>
                    <w:jc w:val="center"/>
                    <w:rPr>
                      <w:color w:val="auto"/>
                      <w:szCs w:val="21"/>
                    </w:rPr>
                  </w:pPr>
                  <w:r>
                    <w:rPr>
                      <w:rFonts w:hint="eastAsia"/>
                      <w:color w:val="auto"/>
                      <w:szCs w:val="21"/>
                    </w:rPr>
                    <w:t>20</w:t>
                  </w:r>
                </w:p>
              </w:tc>
            </w:tr>
          </w:tbl>
          <w:p w14:paraId="10EB5D3F">
            <w:pPr>
              <w:pStyle w:val="2"/>
              <w:ind w:firstLine="440"/>
              <w:rPr>
                <w:bCs/>
                <w:color w:val="auto"/>
                <w:spacing w:val="-10"/>
                <w:sz w:val="24"/>
              </w:rPr>
            </w:pPr>
          </w:p>
        </w:tc>
      </w:tr>
    </w:tbl>
    <w:p w14:paraId="0CCFFBA8">
      <w:pPr>
        <w:adjustRightInd w:val="0"/>
        <w:snapToGrid w:val="0"/>
        <w:spacing w:line="360" w:lineRule="auto"/>
        <w:rPr>
          <w:b/>
          <w:color w:val="0000FF"/>
          <w:kern w:val="0"/>
          <w:sz w:val="28"/>
          <w:szCs w:val="28"/>
        </w:rPr>
        <w:sectPr>
          <w:pgSz w:w="11905" w:h="16838"/>
          <w:pgMar w:top="1701" w:right="1531" w:bottom="2126" w:left="1531" w:header="851" w:footer="850" w:gutter="0"/>
          <w:pgBorders>
            <w:top w:val="none" w:sz="0" w:space="0"/>
            <w:left w:val="none" w:sz="0" w:space="0"/>
            <w:bottom w:val="none" w:sz="0" w:space="0"/>
            <w:right w:val="none" w:sz="0" w:space="0"/>
          </w:pgBorders>
          <w:cols w:space="0" w:num="1"/>
          <w:docGrid w:linePitch="312" w:charSpace="0"/>
        </w:sectPr>
      </w:pPr>
    </w:p>
    <w:p w14:paraId="6F2D505F">
      <w:pPr>
        <w:pStyle w:val="32"/>
        <w:spacing w:before="0" w:beforeAutospacing="0" w:after="0" w:afterAutospacing="0"/>
        <w:jc w:val="center"/>
        <w:outlineLvl w:val="0"/>
        <w:rPr>
          <w:rFonts w:ascii="Times New Roman" w:hAnsi="Times New Roman"/>
          <w:snapToGrid w:val="0"/>
          <w:color w:val="auto"/>
          <w:sz w:val="30"/>
          <w:szCs w:val="30"/>
        </w:rPr>
      </w:pPr>
      <w:bookmarkStart w:id="16" w:name="_Toc200"/>
      <w:bookmarkStart w:id="17" w:name="_Toc22324"/>
      <w:r>
        <w:rPr>
          <w:rFonts w:ascii="Times New Roman"/>
          <w:snapToGrid w:val="0"/>
          <w:color w:val="auto"/>
          <w:sz w:val="30"/>
          <w:szCs w:val="30"/>
        </w:rPr>
        <w:t>五、</w:t>
      </w:r>
      <w:bookmarkStart w:id="18" w:name="_Hlk54167917"/>
      <w:r>
        <w:rPr>
          <w:rFonts w:ascii="Times New Roman"/>
          <w:snapToGrid w:val="0"/>
          <w:color w:val="auto"/>
          <w:sz w:val="30"/>
          <w:szCs w:val="30"/>
        </w:rPr>
        <w:t>环境保护措施监督检查清单</w:t>
      </w:r>
      <w:bookmarkEnd w:id="16"/>
      <w:bookmarkEnd w:id="17"/>
      <w:bookmarkEnd w:id="18"/>
    </w:p>
    <w:tbl>
      <w:tblPr>
        <w:tblStyle w:val="37"/>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318"/>
        <w:gridCol w:w="1438"/>
        <w:gridCol w:w="1900"/>
        <w:gridCol w:w="2312"/>
        <w:gridCol w:w="1103"/>
      </w:tblGrid>
      <w:tr w14:paraId="1816B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000" w:type="dxa"/>
            <w:vMerge w:val="restart"/>
            <w:tcBorders>
              <w:tl2br w:val="single" w:color="auto" w:sz="4" w:space="0"/>
            </w:tcBorders>
          </w:tcPr>
          <w:p w14:paraId="07DCFA62">
            <w:pPr>
              <w:adjustRightInd w:val="0"/>
              <w:snapToGrid w:val="0"/>
              <w:jc w:val="right"/>
              <w:rPr>
                <w:color w:val="auto"/>
                <w:sz w:val="24"/>
              </w:rPr>
            </w:pPr>
            <w:r>
              <w:rPr>
                <w:rFonts w:hAnsi="宋体"/>
                <w:color w:val="auto"/>
                <w:sz w:val="24"/>
              </w:rPr>
              <w:t>内容</w:t>
            </w:r>
          </w:p>
          <w:p w14:paraId="10DD1F7F">
            <w:pPr>
              <w:adjustRightInd w:val="0"/>
              <w:snapToGrid w:val="0"/>
              <w:rPr>
                <w:rFonts w:hAnsi="宋体"/>
                <w:color w:val="auto"/>
                <w:sz w:val="24"/>
              </w:rPr>
            </w:pPr>
          </w:p>
          <w:p w14:paraId="25AC4375">
            <w:pPr>
              <w:adjustRightInd w:val="0"/>
              <w:snapToGrid w:val="0"/>
              <w:rPr>
                <w:color w:val="auto"/>
                <w:sz w:val="24"/>
              </w:rPr>
            </w:pPr>
            <w:r>
              <w:rPr>
                <w:rFonts w:hAnsi="宋体"/>
                <w:color w:val="auto"/>
                <w:sz w:val="24"/>
              </w:rPr>
              <w:t>要素</w:t>
            </w:r>
          </w:p>
        </w:tc>
        <w:tc>
          <w:tcPr>
            <w:tcW w:w="1318" w:type="dxa"/>
            <w:vMerge w:val="restart"/>
            <w:vAlign w:val="center"/>
          </w:tcPr>
          <w:p w14:paraId="21B917E8">
            <w:pPr>
              <w:adjustRightInd w:val="0"/>
              <w:snapToGrid w:val="0"/>
              <w:jc w:val="center"/>
              <w:rPr>
                <w:color w:val="auto"/>
                <w:sz w:val="24"/>
              </w:rPr>
            </w:pPr>
            <w:r>
              <w:rPr>
                <w:rFonts w:hAnsi="宋体"/>
                <w:color w:val="auto"/>
                <w:sz w:val="24"/>
              </w:rPr>
              <w:t>排放口</w:t>
            </w:r>
            <w:r>
              <w:rPr>
                <w:color w:val="auto"/>
                <w:sz w:val="24"/>
              </w:rPr>
              <w:t>(</w:t>
            </w:r>
            <w:r>
              <w:rPr>
                <w:rFonts w:hAnsi="宋体"/>
                <w:color w:val="auto"/>
                <w:sz w:val="24"/>
              </w:rPr>
              <w:t>编号、名称</w:t>
            </w:r>
            <w:r>
              <w:rPr>
                <w:color w:val="auto"/>
                <w:sz w:val="24"/>
              </w:rPr>
              <w:t>)/</w:t>
            </w:r>
            <w:r>
              <w:rPr>
                <w:rFonts w:hAnsi="宋体"/>
                <w:color w:val="auto"/>
                <w:sz w:val="24"/>
              </w:rPr>
              <w:t>污染源</w:t>
            </w:r>
          </w:p>
        </w:tc>
        <w:tc>
          <w:tcPr>
            <w:tcW w:w="1438" w:type="dxa"/>
            <w:vMerge w:val="restart"/>
            <w:vAlign w:val="center"/>
          </w:tcPr>
          <w:p w14:paraId="78723BB0">
            <w:pPr>
              <w:adjustRightInd w:val="0"/>
              <w:snapToGrid w:val="0"/>
              <w:jc w:val="center"/>
              <w:rPr>
                <w:color w:val="auto"/>
                <w:sz w:val="24"/>
              </w:rPr>
            </w:pPr>
            <w:r>
              <w:rPr>
                <w:rFonts w:hAnsi="宋体"/>
                <w:color w:val="auto"/>
                <w:sz w:val="24"/>
              </w:rPr>
              <w:t>污染物项目</w:t>
            </w:r>
          </w:p>
        </w:tc>
        <w:tc>
          <w:tcPr>
            <w:tcW w:w="1900" w:type="dxa"/>
            <w:vMerge w:val="restart"/>
            <w:vAlign w:val="center"/>
          </w:tcPr>
          <w:p w14:paraId="377447FF">
            <w:pPr>
              <w:adjustRightInd w:val="0"/>
              <w:snapToGrid w:val="0"/>
              <w:jc w:val="center"/>
              <w:rPr>
                <w:color w:val="auto"/>
                <w:sz w:val="24"/>
              </w:rPr>
            </w:pPr>
            <w:r>
              <w:rPr>
                <w:rFonts w:hAnsi="宋体"/>
                <w:color w:val="auto"/>
                <w:sz w:val="24"/>
              </w:rPr>
              <w:t>环境保护措施</w:t>
            </w:r>
          </w:p>
        </w:tc>
        <w:tc>
          <w:tcPr>
            <w:tcW w:w="3415" w:type="dxa"/>
            <w:gridSpan w:val="2"/>
            <w:vAlign w:val="center"/>
          </w:tcPr>
          <w:p w14:paraId="5A1950AE">
            <w:pPr>
              <w:adjustRightInd w:val="0"/>
              <w:snapToGrid w:val="0"/>
              <w:jc w:val="center"/>
              <w:rPr>
                <w:color w:val="auto"/>
                <w:sz w:val="24"/>
              </w:rPr>
            </w:pPr>
            <w:r>
              <w:rPr>
                <w:rFonts w:hAnsi="宋体"/>
                <w:color w:val="auto"/>
                <w:sz w:val="24"/>
              </w:rPr>
              <w:t>执行标准</w:t>
            </w:r>
          </w:p>
        </w:tc>
      </w:tr>
      <w:tr w14:paraId="62305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000" w:type="dxa"/>
            <w:vMerge w:val="continue"/>
            <w:tcBorders>
              <w:tl2br w:val="single" w:color="auto" w:sz="4" w:space="0"/>
            </w:tcBorders>
          </w:tcPr>
          <w:p w14:paraId="3E72C91D">
            <w:pPr>
              <w:adjustRightInd w:val="0"/>
              <w:snapToGrid w:val="0"/>
              <w:jc w:val="center"/>
              <w:rPr>
                <w:color w:val="auto"/>
              </w:rPr>
            </w:pPr>
          </w:p>
        </w:tc>
        <w:tc>
          <w:tcPr>
            <w:tcW w:w="1318" w:type="dxa"/>
            <w:vMerge w:val="continue"/>
            <w:vAlign w:val="center"/>
          </w:tcPr>
          <w:p w14:paraId="1E33E393">
            <w:pPr>
              <w:adjustRightInd w:val="0"/>
              <w:snapToGrid w:val="0"/>
              <w:jc w:val="center"/>
              <w:rPr>
                <w:color w:val="auto"/>
              </w:rPr>
            </w:pPr>
          </w:p>
        </w:tc>
        <w:tc>
          <w:tcPr>
            <w:tcW w:w="1438" w:type="dxa"/>
            <w:vMerge w:val="continue"/>
            <w:vAlign w:val="center"/>
          </w:tcPr>
          <w:p w14:paraId="4273BEC6">
            <w:pPr>
              <w:adjustRightInd w:val="0"/>
              <w:snapToGrid w:val="0"/>
              <w:jc w:val="center"/>
              <w:rPr>
                <w:color w:val="auto"/>
              </w:rPr>
            </w:pPr>
          </w:p>
        </w:tc>
        <w:tc>
          <w:tcPr>
            <w:tcW w:w="1900" w:type="dxa"/>
            <w:vMerge w:val="continue"/>
            <w:vAlign w:val="center"/>
          </w:tcPr>
          <w:p w14:paraId="4C3A8C82">
            <w:pPr>
              <w:adjustRightInd w:val="0"/>
              <w:snapToGrid w:val="0"/>
              <w:jc w:val="center"/>
              <w:rPr>
                <w:color w:val="auto"/>
              </w:rPr>
            </w:pPr>
          </w:p>
        </w:tc>
        <w:tc>
          <w:tcPr>
            <w:tcW w:w="2312" w:type="dxa"/>
            <w:vAlign w:val="center"/>
          </w:tcPr>
          <w:p w14:paraId="0EE47659">
            <w:pPr>
              <w:adjustRightInd w:val="0"/>
              <w:snapToGrid w:val="0"/>
              <w:jc w:val="center"/>
              <w:rPr>
                <w:rFonts w:hAnsi="宋体"/>
                <w:color w:val="auto"/>
                <w:sz w:val="24"/>
              </w:rPr>
            </w:pPr>
            <w:r>
              <w:rPr>
                <w:rFonts w:hint="eastAsia" w:hAnsi="宋体"/>
                <w:color w:val="auto"/>
                <w:sz w:val="24"/>
              </w:rPr>
              <w:t>名称/文号</w:t>
            </w:r>
          </w:p>
        </w:tc>
        <w:tc>
          <w:tcPr>
            <w:tcW w:w="1103" w:type="dxa"/>
            <w:vAlign w:val="center"/>
          </w:tcPr>
          <w:p w14:paraId="06C0ED35">
            <w:pPr>
              <w:adjustRightInd w:val="0"/>
              <w:snapToGrid w:val="0"/>
              <w:jc w:val="center"/>
              <w:rPr>
                <w:rFonts w:hAnsi="宋体"/>
                <w:color w:val="auto"/>
                <w:sz w:val="24"/>
              </w:rPr>
            </w:pPr>
            <w:r>
              <w:rPr>
                <w:rFonts w:hint="eastAsia" w:hAnsi="宋体"/>
                <w:color w:val="auto"/>
                <w:sz w:val="24"/>
              </w:rPr>
              <w:t>限值</w:t>
            </w:r>
          </w:p>
        </w:tc>
      </w:tr>
      <w:tr w14:paraId="1555A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0" w:type="dxa"/>
            <w:vMerge w:val="restart"/>
            <w:vAlign w:val="center"/>
          </w:tcPr>
          <w:p w14:paraId="47DE107B">
            <w:pPr>
              <w:adjustRightInd w:val="0"/>
              <w:snapToGrid w:val="0"/>
              <w:jc w:val="center"/>
              <w:rPr>
                <w:rFonts w:hAnsi="宋体"/>
                <w:color w:val="auto"/>
                <w:sz w:val="24"/>
              </w:rPr>
            </w:pPr>
            <w:r>
              <w:rPr>
                <w:rFonts w:hAnsi="宋体"/>
                <w:color w:val="auto"/>
                <w:sz w:val="24"/>
              </w:rPr>
              <w:t>大气</w:t>
            </w:r>
          </w:p>
          <w:p w14:paraId="214C14D0">
            <w:pPr>
              <w:adjustRightInd w:val="0"/>
              <w:snapToGrid w:val="0"/>
              <w:jc w:val="center"/>
              <w:rPr>
                <w:color w:val="auto"/>
                <w:sz w:val="24"/>
              </w:rPr>
            </w:pPr>
            <w:r>
              <w:rPr>
                <w:rFonts w:hAnsi="宋体"/>
                <w:color w:val="auto"/>
                <w:sz w:val="24"/>
              </w:rPr>
              <w:t>环境</w:t>
            </w:r>
          </w:p>
        </w:tc>
        <w:tc>
          <w:tcPr>
            <w:tcW w:w="1318" w:type="dxa"/>
            <w:vMerge w:val="restart"/>
            <w:vAlign w:val="center"/>
          </w:tcPr>
          <w:p w14:paraId="3F2E0DBE">
            <w:pPr>
              <w:adjustRightInd w:val="0"/>
              <w:snapToGrid w:val="0"/>
              <w:jc w:val="center"/>
              <w:rPr>
                <w:color w:val="auto"/>
                <w:sz w:val="24"/>
              </w:rPr>
            </w:pPr>
            <w:r>
              <w:rPr>
                <w:color w:val="auto"/>
                <w:sz w:val="24"/>
              </w:rPr>
              <w:t>DA001</w:t>
            </w:r>
          </w:p>
          <w:p w14:paraId="15F65F6C">
            <w:pPr>
              <w:adjustRightInd w:val="0"/>
              <w:snapToGrid w:val="0"/>
              <w:jc w:val="center"/>
              <w:rPr>
                <w:color w:val="auto"/>
                <w:sz w:val="24"/>
              </w:rPr>
            </w:pPr>
            <w:r>
              <w:rPr>
                <w:rFonts w:hint="eastAsia" w:ascii="宋体" w:hAnsi="宋体"/>
                <w:color w:val="auto"/>
                <w:sz w:val="24"/>
                <w:lang w:eastAsia="zh-CN"/>
              </w:rPr>
              <w:t>注塑</w:t>
            </w:r>
            <w:r>
              <w:rPr>
                <w:rFonts w:hint="eastAsia" w:ascii="宋体" w:hAnsi="宋体"/>
                <w:color w:val="auto"/>
                <w:sz w:val="24"/>
              </w:rPr>
              <w:t>废气</w:t>
            </w:r>
          </w:p>
        </w:tc>
        <w:tc>
          <w:tcPr>
            <w:tcW w:w="1438" w:type="dxa"/>
            <w:vAlign w:val="center"/>
          </w:tcPr>
          <w:p w14:paraId="314BCE8E">
            <w:pPr>
              <w:pStyle w:val="2"/>
              <w:ind w:firstLine="0" w:firstLineChars="0"/>
              <w:jc w:val="center"/>
              <w:rPr>
                <w:rFonts w:hint="eastAsia" w:ascii="Times New Roman" w:hAnsi="Times New Roman" w:eastAsia="宋体" w:cs="Times New Roman"/>
                <w:color w:val="auto"/>
                <w:sz w:val="24"/>
              </w:rPr>
            </w:pPr>
            <w:r>
              <w:rPr>
                <w:rFonts w:hint="eastAsia"/>
                <w:color w:val="auto"/>
                <w:sz w:val="24"/>
              </w:rPr>
              <w:t>非</w:t>
            </w:r>
            <w:r>
              <w:rPr>
                <w:rFonts w:hint="eastAsia" w:ascii="Times New Roman" w:hAnsi="Times New Roman" w:eastAsia="宋体" w:cs="Times New Roman"/>
                <w:color w:val="auto"/>
                <w:sz w:val="24"/>
              </w:rPr>
              <w:t>甲烷总烃</w:t>
            </w:r>
          </w:p>
          <w:p w14:paraId="3A4502DD">
            <w:pPr>
              <w:pStyle w:val="2"/>
              <w:ind w:firstLine="0" w:firstLineChars="0"/>
              <w:jc w:val="center"/>
              <w:rPr>
                <w:rFonts w:hint="eastAsia" w:eastAsia="楷体"/>
                <w:color w:val="auto"/>
                <w:lang w:eastAsia="zh-CN"/>
              </w:rPr>
            </w:pPr>
          </w:p>
        </w:tc>
        <w:tc>
          <w:tcPr>
            <w:tcW w:w="1900" w:type="dxa"/>
            <w:vMerge w:val="restart"/>
            <w:vAlign w:val="center"/>
          </w:tcPr>
          <w:p w14:paraId="46D22493">
            <w:pPr>
              <w:adjustRightInd w:val="0"/>
              <w:snapToGrid w:val="0"/>
              <w:jc w:val="left"/>
              <w:rPr>
                <w:color w:val="auto"/>
              </w:rPr>
            </w:pPr>
            <w:r>
              <w:rPr>
                <w:rFonts w:hAnsi="宋体"/>
                <w:color w:val="auto"/>
                <w:sz w:val="24"/>
              </w:rPr>
              <w:t>收集并经</w:t>
            </w:r>
            <w:r>
              <w:rPr>
                <w:rFonts w:hint="eastAsia"/>
                <w:color w:val="auto"/>
                <w:sz w:val="24"/>
              </w:rPr>
              <w:t>活性炭吸附设备</w:t>
            </w:r>
            <w:r>
              <w:rPr>
                <w:color w:val="auto"/>
                <w:sz w:val="24"/>
              </w:rPr>
              <w:t>（TA001）</w:t>
            </w:r>
            <w:r>
              <w:rPr>
                <w:rFonts w:hint="eastAsia"/>
                <w:color w:val="auto"/>
                <w:sz w:val="24"/>
              </w:rPr>
              <w:t>处理</w:t>
            </w:r>
            <w:r>
              <w:rPr>
                <w:rFonts w:hAnsi="宋体"/>
                <w:color w:val="auto"/>
                <w:sz w:val="24"/>
              </w:rPr>
              <w:t>后通过</w:t>
            </w:r>
            <w:r>
              <w:rPr>
                <w:rFonts w:hint="eastAsia"/>
                <w:color w:val="auto"/>
                <w:sz w:val="24"/>
              </w:rPr>
              <w:t>30</w:t>
            </w:r>
            <w:r>
              <w:rPr>
                <w:color w:val="auto"/>
                <w:sz w:val="24"/>
              </w:rPr>
              <w:t>m</w:t>
            </w:r>
            <w:r>
              <w:rPr>
                <w:rFonts w:hAnsi="宋体"/>
                <w:color w:val="auto"/>
                <w:sz w:val="24"/>
              </w:rPr>
              <w:t>高排气筒排放</w:t>
            </w:r>
            <w:r>
              <w:rPr>
                <w:rFonts w:hint="eastAsia" w:hAnsi="宋体"/>
                <w:color w:val="auto"/>
                <w:sz w:val="24"/>
              </w:rPr>
              <w:t>。</w:t>
            </w:r>
          </w:p>
        </w:tc>
        <w:tc>
          <w:tcPr>
            <w:tcW w:w="2312" w:type="dxa"/>
            <w:vMerge w:val="restart"/>
            <w:vAlign w:val="center"/>
          </w:tcPr>
          <w:p w14:paraId="487281DC">
            <w:pPr>
              <w:adjustRightInd w:val="0"/>
              <w:snapToGrid w:val="0"/>
              <w:jc w:val="left"/>
              <w:rPr>
                <w:color w:val="auto"/>
                <w:sz w:val="24"/>
              </w:rPr>
            </w:pPr>
            <w:r>
              <w:rPr>
                <w:color w:val="auto"/>
                <w:sz w:val="24"/>
              </w:rPr>
              <w:t>《合成树脂工业污染物排放标准》（GB31572-2015）</w:t>
            </w:r>
          </w:p>
        </w:tc>
        <w:tc>
          <w:tcPr>
            <w:tcW w:w="1103" w:type="dxa"/>
            <w:vAlign w:val="center"/>
          </w:tcPr>
          <w:p w14:paraId="3813781B">
            <w:pPr>
              <w:adjustRightInd w:val="0"/>
              <w:snapToGrid w:val="0"/>
              <w:jc w:val="center"/>
              <w:rPr>
                <w:color w:val="auto"/>
                <w:sz w:val="24"/>
              </w:rPr>
            </w:pPr>
            <w:r>
              <w:rPr>
                <w:rFonts w:hint="eastAsia"/>
                <w:color w:val="auto"/>
                <w:sz w:val="24"/>
              </w:rPr>
              <w:t>60</w:t>
            </w:r>
          </w:p>
          <w:p w14:paraId="4811B84C">
            <w:pPr>
              <w:adjustRightInd w:val="0"/>
              <w:snapToGrid w:val="0"/>
              <w:jc w:val="center"/>
              <w:rPr>
                <w:rFonts w:ascii="宋体" w:hAnsi="宋体"/>
                <w:color w:val="auto"/>
                <w:sz w:val="24"/>
              </w:rPr>
            </w:pPr>
            <w:r>
              <w:rPr>
                <w:rFonts w:hint="eastAsia"/>
                <w:color w:val="auto"/>
                <w:sz w:val="24"/>
              </w:rPr>
              <w:t>mg/m</w:t>
            </w:r>
            <w:r>
              <w:rPr>
                <w:rFonts w:hint="eastAsia"/>
                <w:color w:val="auto"/>
                <w:sz w:val="24"/>
                <w:vertAlign w:val="superscript"/>
              </w:rPr>
              <w:t>3</w:t>
            </w:r>
          </w:p>
        </w:tc>
      </w:tr>
      <w:tr w14:paraId="49253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0" w:type="dxa"/>
            <w:vMerge w:val="continue"/>
            <w:vAlign w:val="center"/>
          </w:tcPr>
          <w:p w14:paraId="3449AC7C">
            <w:pPr>
              <w:adjustRightInd w:val="0"/>
              <w:snapToGrid w:val="0"/>
              <w:jc w:val="center"/>
              <w:rPr>
                <w:rFonts w:hAnsi="宋体"/>
                <w:color w:val="auto"/>
                <w:sz w:val="24"/>
              </w:rPr>
            </w:pPr>
          </w:p>
        </w:tc>
        <w:tc>
          <w:tcPr>
            <w:tcW w:w="1318" w:type="dxa"/>
            <w:vMerge w:val="continue"/>
            <w:vAlign w:val="center"/>
          </w:tcPr>
          <w:p w14:paraId="28CA8934">
            <w:pPr>
              <w:adjustRightInd w:val="0"/>
              <w:snapToGrid w:val="0"/>
              <w:jc w:val="center"/>
              <w:rPr>
                <w:rFonts w:hint="eastAsia" w:ascii="宋体" w:hAnsi="宋体"/>
                <w:color w:val="auto"/>
                <w:sz w:val="24"/>
                <w:lang w:eastAsia="zh-CN"/>
              </w:rPr>
            </w:pPr>
          </w:p>
        </w:tc>
        <w:tc>
          <w:tcPr>
            <w:tcW w:w="1438" w:type="dxa"/>
            <w:vAlign w:val="center"/>
          </w:tcPr>
          <w:p w14:paraId="3A49CDBA">
            <w:pPr>
              <w:pStyle w:val="2"/>
              <w:ind w:firstLine="0" w:firstLineChars="0"/>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苯乙烯</w:t>
            </w:r>
          </w:p>
        </w:tc>
        <w:tc>
          <w:tcPr>
            <w:tcW w:w="1900" w:type="dxa"/>
            <w:vMerge w:val="continue"/>
            <w:vAlign w:val="center"/>
          </w:tcPr>
          <w:p w14:paraId="38974D6E">
            <w:pPr>
              <w:adjustRightInd w:val="0"/>
              <w:snapToGrid w:val="0"/>
              <w:jc w:val="left"/>
              <w:rPr>
                <w:rFonts w:hAnsi="宋体"/>
                <w:color w:val="auto"/>
                <w:sz w:val="24"/>
              </w:rPr>
            </w:pPr>
          </w:p>
        </w:tc>
        <w:tc>
          <w:tcPr>
            <w:tcW w:w="2312" w:type="dxa"/>
            <w:vMerge w:val="continue"/>
            <w:vAlign w:val="center"/>
          </w:tcPr>
          <w:p w14:paraId="31B98CC5">
            <w:pPr>
              <w:adjustRightInd w:val="0"/>
              <w:snapToGrid w:val="0"/>
              <w:jc w:val="left"/>
              <w:rPr>
                <w:color w:val="auto"/>
                <w:sz w:val="24"/>
              </w:rPr>
            </w:pPr>
          </w:p>
        </w:tc>
        <w:tc>
          <w:tcPr>
            <w:tcW w:w="1103" w:type="dxa"/>
            <w:vAlign w:val="center"/>
          </w:tcPr>
          <w:p w14:paraId="0B5B7C71">
            <w:pPr>
              <w:adjustRightInd w:val="0"/>
              <w:snapToGrid w:val="0"/>
              <w:jc w:val="center"/>
              <w:rPr>
                <w:rFonts w:hint="eastAsia"/>
                <w:color w:val="auto"/>
                <w:sz w:val="24"/>
                <w:lang w:val="en-US" w:eastAsia="zh-CN"/>
              </w:rPr>
            </w:pPr>
            <w:r>
              <w:rPr>
                <w:rFonts w:hint="eastAsia"/>
                <w:color w:val="auto"/>
                <w:sz w:val="24"/>
                <w:lang w:val="en-US" w:eastAsia="zh-CN"/>
              </w:rPr>
              <w:t>20</w:t>
            </w:r>
          </w:p>
          <w:p w14:paraId="2406B522">
            <w:pPr>
              <w:adjustRightInd w:val="0"/>
              <w:snapToGrid w:val="0"/>
              <w:jc w:val="center"/>
              <w:rPr>
                <w:rFonts w:hint="eastAsia"/>
                <w:color w:val="auto"/>
                <w:sz w:val="24"/>
              </w:rPr>
            </w:pPr>
            <w:r>
              <w:rPr>
                <w:rFonts w:hint="eastAsia"/>
                <w:color w:val="auto"/>
                <w:sz w:val="24"/>
              </w:rPr>
              <w:t>mg/m</w:t>
            </w:r>
            <w:r>
              <w:rPr>
                <w:rFonts w:hint="eastAsia"/>
                <w:color w:val="auto"/>
                <w:sz w:val="24"/>
                <w:vertAlign w:val="superscript"/>
              </w:rPr>
              <w:t>3</w:t>
            </w:r>
          </w:p>
        </w:tc>
      </w:tr>
      <w:tr w14:paraId="457B5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0" w:type="dxa"/>
            <w:vMerge w:val="continue"/>
            <w:vAlign w:val="center"/>
          </w:tcPr>
          <w:p w14:paraId="601286A5">
            <w:pPr>
              <w:adjustRightInd w:val="0"/>
              <w:snapToGrid w:val="0"/>
              <w:jc w:val="center"/>
              <w:rPr>
                <w:rFonts w:hAnsi="宋体"/>
                <w:color w:val="auto"/>
                <w:sz w:val="24"/>
              </w:rPr>
            </w:pPr>
          </w:p>
        </w:tc>
        <w:tc>
          <w:tcPr>
            <w:tcW w:w="1318" w:type="dxa"/>
            <w:vMerge w:val="continue"/>
            <w:vAlign w:val="center"/>
          </w:tcPr>
          <w:p w14:paraId="269C096E">
            <w:pPr>
              <w:adjustRightInd w:val="0"/>
              <w:snapToGrid w:val="0"/>
              <w:jc w:val="center"/>
              <w:rPr>
                <w:rFonts w:hint="eastAsia" w:ascii="宋体" w:hAnsi="宋体"/>
                <w:color w:val="auto"/>
                <w:sz w:val="24"/>
                <w:lang w:eastAsia="zh-CN"/>
              </w:rPr>
            </w:pPr>
          </w:p>
        </w:tc>
        <w:tc>
          <w:tcPr>
            <w:tcW w:w="1438" w:type="dxa"/>
            <w:vAlign w:val="center"/>
          </w:tcPr>
          <w:p w14:paraId="5338CF36">
            <w:pPr>
              <w:pStyle w:val="2"/>
              <w:ind w:firstLine="0" w:firstLineChars="0"/>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臭气</w:t>
            </w:r>
          </w:p>
        </w:tc>
        <w:tc>
          <w:tcPr>
            <w:tcW w:w="1900" w:type="dxa"/>
            <w:vMerge w:val="continue"/>
            <w:vAlign w:val="center"/>
          </w:tcPr>
          <w:p w14:paraId="792BC16B">
            <w:pPr>
              <w:adjustRightInd w:val="0"/>
              <w:snapToGrid w:val="0"/>
              <w:jc w:val="left"/>
              <w:rPr>
                <w:rFonts w:hAnsi="宋体"/>
                <w:color w:val="auto"/>
                <w:sz w:val="24"/>
              </w:rPr>
            </w:pPr>
          </w:p>
        </w:tc>
        <w:tc>
          <w:tcPr>
            <w:tcW w:w="2312" w:type="dxa"/>
            <w:vAlign w:val="center"/>
          </w:tcPr>
          <w:p w14:paraId="4D372146">
            <w:pPr>
              <w:adjustRightInd w:val="0"/>
              <w:snapToGrid w:val="0"/>
              <w:jc w:val="left"/>
              <w:rPr>
                <w:color w:val="auto"/>
                <w:sz w:val="24"/>
              </w:rPr>
            </w:pPr>
            <w:r>
              <w:rPr>
                <w:rFonts w:hint="eastAsia"/>
                <w:color w:val="auto"/>
                <w:sz w:val="24"/>
              </w:rPr>
              <w:t>《关于印发&lt;湖州市木业、漆包线及塑料行业废气整治规范&gt;的通知》</w:t>
            </w:r>
          </w:p>
        </w:tc>
        <w:tc>
          <w:tcPr>
            <w:tcW w:w="1103" w:type="dxa"/>
            <w:vAlign w:val="center"/>
          </w:tcPr>
          <w:p w14:paraId="3CFE8E37">
            <w:pPr>
              <w:adjustRightInd w:val="0"/>
              <w:snapToGrid w:val="0"/>
              <w:jc w:val="center"/>
              <w:rPr>
                <w:rFonts w:hint="eastAsia"/>
                <w:color w:val="auto"/>
                <w:sz w:val="24"/>
              </w:rPr>
            </w:pPr>
            <w:r>
              <w:rPr>
                <w:rFonts w:hint="eastAsia"/>
                <w:color w:val="auto"/>
                <w:sz w:val="24"/>
              </w:rPr>
              <w:t>1000（无量纲）</w:t>
            </w:r>
          </w:p>
        </w:tc>
      </w:tr>
      <w:tr w14:paraId="2012C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0" w:type="dxa"/>
            <w:vMerge w:val="continue"/>
            <w:vAlign w:val="center"/>
          </w:tcPr>
          <w:p w14:paraId="12CBFBFF">
            <w:pPr>
              <w:adjustRightInd w:val="0"/>
              <w:snapToGrid w:val="0"/>
              <w:jc w:val="center"/>
              <w:rPr>
                <w:rFonts w:hAnsi="宋体"/>
                <w:color w:val="auto"/>
                <w:sz w:val="24"/>
              </w:rPr>
            </w:pPr>
          </w:p>
        </w:tc>
        <w:tc>
          <w:tcPr>
            <w:tcW w:w="1318" w:type="dxa"/>
            <w:vAlign w:val="center"/>
          </w:tcPr>
          <w:p w14:paraId="03A1A2C7">
            <w:pPr>
              <w:adjustRightInd w:val="0"/>
              <w:snapToGrid w:val="0"/>
              <w:jc w:val="center"/>
              <w:rPr>
                <w:color w:val="auto"/>
                <w:sz w:val="24"/>
              </w:rPr>
            </w:pPr>
            <w:r>
              <w:rPr>
                <w:rFonts w:hint="eastAsia"/>
                <w:color w:val="auto"/>
                <w:sz w:val="24"/>
                <w:lang w:eastAsia="zh-CN"/>
              </w:rPr>
              <w:t>金属</w:t>
            </w:r>
            <w:r>
              <w:rPr>
                <w:rFonts w:hint="eastAsia"/>
                <w:color w:val="auto"/>
                <w:sz w:val="24"/>
              </w:rPr>
              <w:t>粉尘</w:t>
            </w:r>
          </w:p>
        </w:tc>
        <w:tc>
          <w:tcPr>
            <w:tcW w:w="1438" w:type="dxa"/>
            <w:vAlign w:val="center"/>
          </w:tcPr>
          <w:p w14:paraId="106ADEBB">
            <w:pPr>
              <w:pStyle w:val="2"/>
              <w:ind w:firstLine="0" w:firstLineChars="0"/>
              <w:jc w:val="center"/>
              <w:rPr>
                <w:color w:val="auto"/>
                <w:sz w:val="24"/>
              </w:rPr>
            </w:pPr>
            <w:r>
              <w:rPr>
                <w:rFonts w:hint="eastAsia"/>
                <w:color w:val="auto"/>
                <w:sz w:val="24"/>
              </w:rPr>
              <w:t>颗粒物</w:t>
            </w:r>
          </w:p>
        </w:tc>
        <w:tc>
          <w:tcPr>
            <w:tcW w:w="1900" w:type="dxa"/>
            <w:tcBorders>
              <w:bottom w:val="single" w:color="000000" w:sz="6" w:space="0"/>
            </w:tcBorders>
            <w:vAlign w:val="center"/>
          </w:tcPr>
          <w:p w14:paraId="26A60E42">
            <w:pPr>
              <w:adjustRightInd w:val="0"/>
              <w:snapToGrid w:val="0"/>
              <w:jc w:val="left"/>
              <w:rPr>
                <w:rFonts w:hAnsi="宋体"/>
                <w:color w:val="auto"/>
                <w:sz w:val="24"/>
              </w:rPr>
            </w:pPr>
            <w:r>
              <w:rPr>
                <w:color w:val="auto"/>
                <w:sz w:val="24"/>
              </w:rPr>
              <w:t>经过</w:t>
            </w:r>
            <w:r>
              <w:rPr>
                <w:rFonts w:hint="eastAsia"/>
                <w:color w:val="auto"/>
                <w:sz w:val="24"/>
              </w:rPr>
              <w:t>移动式除尘装置（TA002）</w:t>
            </w:r>
            <w:r>
              <w:rPr>
                <w:color w:val="auto"/>
                <w:sz w:val="24"/>
              </w:rPr>
              <w:t>处理后达标无组织排放</w:t>
            </w:r>
            <w:r>
              <w:rPr>
                <w:rFonts w:hint="eastAsia"/>
                <w:color w:val="auto"/>
                <w:sz w:val="24"/>
              </w:rPr>
              <w:t>。</w:t>
            </w:r>
          </w:p>
        </w:tc>
        <w:tc>
          <w:tcPr>
            <w:tcW w:w="2312" w:type="dxa"/>
            <w:tcBorders>
              <w:top w:val="single" w:color="000000" w:sz="6" w:space="0"/>
              <w:bottom w:val="single" w:color="000000" w:sz="6" w:space="0"/>
            </w:tcBorders>
            <w:vAlign w:val="center"/>
          </w:tcPr>
          <w:p w14:paraId="56B6F8D3">
            <w:pPr>
              <w:adjustRightInd w:val="0"/>
              <w:snapToGrid w:val="0"/>
              <w:jc w:val="left"/>
              <w:rPr>
                <w:rFonts w:hAnsi="宋体"/>
                <w:color w:val="auto"/>
                <w:sz w:val="24"/>
              </w:rPr>
            </w:pPr>
            <w:r>
              <w:rPr>
                <w:rFonts w:hint="eastAsia"/>
                <w:color w:val="auto"/>
                <w:kern w:val="0"/>
                <w:sz w:val="24"/>
              </w:rPr>
              <w:t>《大气污染物综合排放标准》（GB16297-1996）中规定的表2无组织监控浓度限值</w:t>
            </w:r>
          </w:p>
        </w:tc>
        <w:tc>
          <w:tcPr>
            <w:tcW w:w="1103" w:type="dxa"/>
            <w:vAlign w:val="center"/>
          </w:tcPr>
          <w:p w14:paraId="33225052">
            <w:pPr>
              <w:adjustRightInd w:val="0"/>
              <w:snapToGrid w:val="0"/>
              <w:jc w:val="center"/>
              <w:rPr>
                <w:color w:val="auto"/>
                <w:sz w:val="24"/>
              </w:rPr>
            </w:pPr>
            <w:r>
              <w:rPr>
                <w:rFonts w:hint="eastAsia"/>
                <w:color w:val="auto"/>
                <w:sz w:val="24"/>
              </w:rPr>
              <w:t>1.0</w:t>
            </w:r>
          </w:p>
          <w:p w14:paraId="25129C5D">
            <w:pPr>
              <w:adjustRightInd w:val="0"/>
              <w:snapToGrid w:val="0"/>
              <w:jc w:val="center"/>
              <w:rPr>
                <w:color w:val="auto"/>
                <w:sz w:val="24"/>
              </w:rPr>
            </w:pPr>
            <w:r>
              <w:rPr>
                <w:rFonts w:hint="eastAsia"/>
                <w:color w:val="auto"/>
                <w:sz w:val="24"/>
              </w:rPr>
              <w:t>mg/m</w:t>
            </w:r>
            <w:r>
              <w:rPr>
                <w:rFonts w:hint="eastAsia"/>
                <w:color w:val="auto"/>
                <w:sz w:val="24"/>
                <w:vertAlign w:val="superscript"/>
              </w:rPr>
              <w:t>3</w:t>
            </w:r>
          </w:p>
        </w:tc>
      </w:tr>
      <w:tr w14:paraId="3071D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0" w:type="dxa"/>
            <w:vMerge w:val="continue"/>
            <w:vAlign w:val="center"/>
          </w:tcPr>
          <w:p w14:paraId="6817729D">
            <w:pPr>
              <w:adjustRightInd w:val="0"/>
              <w:snapToGrid w:val="0"/>
              <w:jc w:val="center"/>
              <w:rPr>
                <w:rFonts w:hAnsi="宋体"/>
                <w:color w:val="auto"/>
                <w:sz w:val="24"/>
              </w:rPr>
            </w:pPr>
          </w:p>
        </w:tc>
        <w:tc>
          <w:tcPr>
            <w:tcW w:w="1318" w:type="dxa"/>
            <w:vAlign w:val="center"/>
          </w:tcPr>
          <w:p w14:paraId="71C2E775">
            <w:pPr>
              <w:adjustRightInd w:val="0"/>
              <w:snapToGrid w:val="0"/>
              <w:jc w:val="center"/>
              <w:rPr>
                <w:rFonts w:hint="eastAsia"/>
                <w:color w:val="auto"/>
                <w:sz w:val="24"/>
                <w:lang w:eastAsia="zh-CN"/>
              </w:rPr>
            </w:pPr>
            <w:r>
              <w:rPr>
                <w:rFonts w:hint="eastAsia"/>
                <w:color w:val="auto"/>
                <w:sz w:val="24"/>
                <w:lang w:eastAsia="zh-CN"/>
              </w:rPr>
              <w:t>焊接烟尘</w:t>
            </w:r>
          </w:p>
        </w:tc>
        <w:tc>
          <w:tcPr>
            <w:tcW w:w="1438" w:type="dxa"/>
            <w:vAlign w:val="center"/>
          </w:tcPr>
          <w:p w14:paraId="25C16826">
            <w:pPr>
              <w:pStyle w:val="2"/>
              <w:ind w:firstLine="0" w:firstLineChars="0"/>
              <w:jc w:val="center"/>
              <w:rPr>
                <w:rFonts w:hint="eastAsia" w:eastAsia="宋体"/>
                <w:color w:val="auto"/>
                <w:sz w:val="24"/>
                <w:lang w:eastAsia="zh-CN"/>
              </w:rPr>
            </w:pPr>
            <w:r>
              <w:rPr>
                <w:rFonts w:hint="eastAsia"/>
                <w:color w:val="auto"/>
                <w:sz w:val="24"/>
                <w:lang w:eastAsia="zh-CN"/>
              </w:rPr>
              <w:t>颗粒物</w:t>
            </w:r>
          </w:p>
        </w:tc>
        <w:tc>
          <w:tcPr>
            <w:tcW w:w="1900" w:type="dxa"/>
            <w:tcBorders>
              <w:bottom w:val="single" w:color="000000" w:sz="6" w:space="0"/>
            </w:tcBorders>
            <w:vAlign w:val="center"/>
          </w:tcPr>
          <w:p w14:paraId="255B560A">
            <w:pPr>
              <w:adjustRightInd w:val="0"/>
              <w:snapToGrid w:val="0"/>
              <w:jc w:val="left"/>
              <w:rPr>
                <w:color w:val="auto"/>
                <w:sz w:val="24"/>
              </w:rPr>
            </w:pPr>
            <w:r>
              <w:rPr>
                <w:color w:val="auto"/>
                <w:sz w:val="24"/>
              </w:rPr>
              <w:t>经过</w:t>
            </w:r>
            <w:r>
              <w:rPr>
                <w:rFonts w:hint="eastAsia"/>
                <w:color w:val="auto"/>
                <w:sz w:val="24"/>
              </w:rPr>
              <w:t>移动式</w:t>
            </w:r>
            <w:r>
              <w:rPr>
                <w:rFonts w:hint="eastAsia"/>
                <w:color w:val="auto"/>
                <w:sz w:val="24"/>
                <w:lang w:eastAsia="zh-CN"/>
              </w:rPr>
              <w:t>焊烟净化器</w:t>
            </w:r>
            <w:r>
              <w:rPr>
                <w:rFonts w:hint="eastAsia"/>
                <w:color w:val="auto"/>
                <w:sz w:val="24"/>
              </w:rPr>
              <w:t>（TA00</w:t>
            </w:r>
            <w:r>
              <w:rPr>
                <w:rFonts w:hint="eastAsia"/>
                <w:color w:val="auto"/>
                <w:sz w:val="24"/>
                <w:lang w:val="en-US" w:eastAsia="zh-CN"/>
              </w:rPr>
              <w:t>3</w:t>
            </w:r>
            <w:r>
              <w:rPr>
                <w:rFonts w:hint="eastAsia"/>
                <w:color w:val="auto"/>
                <w:sz w:val="24"/>
              </w:rPr>
              <w:t>）</w:t>
            </w:r>
            <w:r>
              <w:rPr>
                <w:color w:val="auto"/>
                <w:sz w:val="24"/>
              </w:rPr>
              <w:t>处理后达标无组织排放</w:t>
            </w:r>
          </w:p>
        </w:tc>
        <w:tc>
          <w:tcPr>
            <w:tcW w:w="2312" w:type="dxa"/>
            <w:tcBorders>
              <w:top w:val="single" w:color="000000" w:sz="6" w:space="0"/>
              <w:bottom w:val="single" w:color="000000" w:sz="6" w:space="0"/>
            </w:tcBorders>
            <w:vAlign w:val="center"/>
          </w:tcPr>
          <w:p w14:paraId="32EE9D64">
            <w:pPr>
              <w:adjustRightInd w:val="0"/>
              <w:snapToGrid w:val="0"/>
              <w:jc w:val="left"/>
              <w:rPr>
                <w:rFonts w:hint="eastAsia"/>
                <w:color w:val="auto"/>
                <w:kern w:val="0"/>
                <w:sz w:val="24"/>
              </w:rPr>
            </w:pPr>
            <w:r>
              <w:rPr>
                <w:rFonts w:hint="eastAsia"/>
                <w:color w:val="auto"/>
                <w:kern w:val="0"/>
                <w:sz w:val="24"/>
              </w:rPr>
              <w:t>《大气污染物综合排放标准》（GB16297-1996）中规定的表2无组织监控浓度限值</w:t>
            </w:r>
          </w:p>
        </w:tc>
        <w:tc>
          <w:tcPr>
            <w:tcW w:w="1103" w:type="dxa"/>
            <w:vAlign w:val="center"/>
          </w:tcPr>
          <w:p w14:paraId="45DD0A6A">
            <w:pPr>
              <w:adjustRightInd w:val="0"/>
              <w:snapToGrid w:val="0"/>
              <w:jc w:val="center"/>
              <w:rPr>
                <w:color w:val="auto"/>
                <w:sz w:val="24"/>
              </w:rPr>
            </w:pPr>
            <w:r>
              <w:rPr>
                <w:rFonts w:hint="eastAsia"/>
                <w:color w:val="auto"/>
                <w:sz w:val="24"/>
              </w:rPr>
              <w:t>1.0</w:t>
            </w:r>
          </w:p>
          <w:p w14:paraId="4CBE0EE7">
            <w:pPr>
              <w:adjustRightInd w:val="0"/>
              <w:snapToGrid w:val="0"/>
              <w:jc w:val="center"/>
              <w:rPr>
                <w:rFonts w:hint="eastAsia"/>
                <w:color w:val="auto"/>
                <w:sz w:val="24"/>
              </w:rPr>
            </w:pPr>
            <w:r>
              <w:rPr>
                <w:rFonts w:hint="eastAsia"/>
                <w:color w:val="auto"/>
                <w:sz w:val="24"/>
              </w:rPr>
              <w:t>mg/m</w:t>
            </w:r>
            <w:r>
              <w:rPr>
                <w:rFonts w:hint="eastAsia"/>
                <w:color w:val="auto"/>
                <w:sz w:val="24"/>
                <w:vertAlign w:val="superscript"/>
              </w:rPr>
              <w:t>3</w:t>
            </w:r>
          </w:p>
        </w:tc>
      </w:tr>
      <w:tr w14:paraId="74E7A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00" w:type="dxa"/>
            <w:vMerge w:val="continue"/>
            <w:vAlign w:val="center"/>
          </w:tcPr>
          <w:p w14:paraId="589E2CDD">
            <w:pPr>
              <w:adjustRightInd w:val="0"/>
              <w:snapToGrid w:val="0"/>
              <w:jc w:val="center"/>
              <w:rPr>
                <w:rFonts w:hAnsi="宋体"/>
                <w:color w:val="auto"/>
                <w:sz w:val="24"/>
              </w:rPr>
            </w:pPr>
          </w:p>
        </w:tc>
        <w:tc>
          <w:tcPr>
            <w:tcW w:w="1318" w:type="dxa"/>
            <w:vMerge w:val="restart"/>
            <w:vAlign w:val="center"/>
          </w:tcPr>
          <w:p w14:paraId="65C06656">
            <w:pPr>
              <w:adjustRightInd w:val="0"/>
              <w:snapToGrid w:val="0"/>
              <w:jc w:val="center"/>
              <w:rPr>
                <w:color w:val="auto"/>
                <w:sz w:val="24"/>
              </w:rPr>
            </w:pPr>
            <w:r>
              <w:rPr>
                <w:color w:val="auto"/>
                <w:sz w:val="24"/>
              </w:rPr>
              <w:t>厂界无组织</w:t>
            </w:r>
          </w:p>
        </w:tc>
        <w:tc>
          <w:tcPr>
            <w:tcW w:w="1438" w:type="dxa"/>
            <w:vAlign w:val="center"/>
          </w:tcPr>
          <w:p w14:paraId="71D0B704">
            <w:pPr>
              <w:pStyle w:val="2"/>
              <w:ind w:firstLine="0" w:firstLineChars="0"/>
              <w:jc w:val="center"/>
              <w:rPr>
                <w:color w:val="auto"/>
                <w:sz w:val="24"/>
              </w:rPr>
            </w:pPr>
            <w:r>
              <w:rPr>
                <w:rFonts w:hint="eastAsia"/>
                <w:color w:val="auto"/>
                <w:sz w:val="24"/>
              </w:rPr>
              <w:t>非甲烷总烃</w:t>
            </w:r>
          </w:p>
        </w:tc>
        <w:tc>
          <w:tcPr>
            <w:tcW w:w="1900" w:type="dxa"/>
            <w:vMerge w:val="restart"/>
            <w:tcBorders>
              <w:top w:val="single" w:color="000000" w:sz="6" w:space="0"/>
            </w:tcBorders>
            <w:vAlign w:val="center"/>
          </w:tcPr>
          <w:p w14:paraId="7CCA57A9">
            <w:pPr>
              <w:adjustRightInd w:val="0"/>
              <w:snapToGrid w:val="0"/>
              <w:jc w:val="left"/>
              <w:rPr>
                <w:rFonts w:hAnsi="宋体"/>
                <w:color w:val="auto"/>
                <w:sz w:val="24"/>
              </w:rPr>
            </w:pPr>
            <w:r>
              <w:rPr>
                <w:rFonts w:hint="eastAsia" w:hAnsi="宋体"/>
                <w:color w:val="auto"/>
                <w:sz w:val="24"/>
              </w:rPr>
              <w:t>加强管理，定期对设备进行检查和维护，保证设备的严密性，防止跑冒滴漏的产生，无组织排放。</w:t>
            </w:r>
          </w:p>
        </w:tc>
        <w:tc>
          <w:tcPr>
            <w:tcW w:w="2312" w:type="dxa"/>
            <w:vMerge w:val="restart"/>
            <w:tcBorders>
              <w:top w:val="single" w:color="000000" w:sz="6" w:space="0"/>
            </w:tcBorders>
            <w:vAlign w:val="center"/>
          </w:tcPr>
          <w:p w14:paraId="176CE691">
            <w:pPr>
              <w:adjustRightInd w:val="0"/>
              <w:snapToGrid w:val="0"/>
              <w:jc w:val="left"/>
              <w:rPr>
                <w:rFonts w:ascii="宋体" w:hAnsi="宋体"/>
                <w:color w:val="auto"/>
                <w:sz w:val="24"/>
              </w:rPr>
            </w:pPr>
            <w:r>
              <w:rPr>
                <w:color w:val="auto"/>
                <w:sz w:val="24"/>
              </w:rPr>
              <w:t>《合成树脂工业污染物排放标准》（GB31572-2015）</w:t>
            </w:r>
          </w:p>
        </w:tc>
        <w:tc>
          <w:tcPr>
            <w:tcW w:w="1103" w:type="dxa"/>
            <w:vAlign w:val="center"/>
          </w:tcPr>
          <w:p w14:paraId="26D7E980">
            <w:pPr>
              <w:adjustRightInd w:val="0"/>
              <w:snapToGrid w:val="0"/>
              <w:jc w:val="center"/>
              <w:rPr>
                <w:color w:val="auto"/>
                <w:sz w:val="24"/>
              </w:rPr>
            </w:pPr>
            <w:r>
              <w:rPr>
                <w:rFonts w:hint="eastAsia"/>
                <w:color w:val="auto"/>
                <w:sz w:val="24"/>
              </w:rPr>
              <w:t>4.0</w:t>
            </w:r>
          </w:p>
          <w:p w14:paraId="412D42A8">
            <w:pPr>
              <w:adjustRightInd w:val="0"/>
              <w:snapToGrid w:val="0"/>
              <w:jc w:val="center"/>
              <w:rPr>
                <w:rFonts w:ascii="宋体" w:hAnsi="宋体"/>
                <w:color w:val="auto"/>
                <w:sz w:val="24"/>
              </w:rPr>
            </w:pPr>
            <w:r>
              <w:rPr>
                <w:rFonts w:hint="eastAsia"/>
                <w:color w:val="auto"/>
                <w:sz w:val="24"/>
              </w:rPr>
              <w:t>mg/m</w:t>
            </w:r>
            <w:r>
              <w:rPr>
                <w:rFonts w:hint="eastAsia"/>
                <w:color w:val="auto"/>
                <w:sz w:val="24"/>
                <w:vertAlign w:val="superscript"/>
              </w:rPr>
              <w:t>3</w:t>
            </w:r>
          </w:p>
        </w:tc>
      </w:tr>
      <w:tr w14:paraId="3939C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00" w:type="dxa"/>
            <w:vMerge w:val="continue"/>
            <w:vAlign w:val="center"/>
          </w:tcPr>
          <w:p w14:paraId="79DEB728">
            <w:pPr>
              <w:adjustRightInd w:val="0"/>
              <w:snapToGrid w:val="0"/>
              <w:jc w:val="center"/>
              <w:rPr>
                <w:rFonts w:hAnsi="宋体"/>
                <w:color w:val="auto"/>
                <w:sz w:val="24"/>
              </w:rPr>
            </w:pPr>
          </w:p>
        </w:tc>
        <w:tc>
          <w:tcPr>
            <w:tcW w:w="1318" w:type="dxa"/>
            <w:vMerge w:val="continue"/>
            <w:vAlign w:val="center"/>
          </w:tcPr>
          <w:p w14:paraId="3DD38E72">
            <w:pPr>
              <w:adjustRightInd w:val="0"/>
              <w:snapToGrid w:val="0"/>
              <w:jc w:val="center"/>
              <w:rPr>
                <w:color w:val="auto"/>
                <w:sz w:val="24"/>
              </w:rPr>
            </w:pPr>
          </w:p>
        </w:tc>
        <w:tc>
          <w:tcPr>
            <w:tcW w:w="1438" w:type="dxa"/>
            <w:vAlign w:val="center"/>
          </w:tcPr>
          <w:p w14:paraId="2FA8BEEF">
            <w:pPr>
              <w:pStyle w:val="2"/>
              <w:ind w:firstLine="0" w:firstLineChars="0"/>
              <w:jc w:val="center"/>
              <w:rPr>
                <w:rFonts w:hint="eastAsia" w:eastAsia="宋体"/>
                <w:color w:val="auto"/>
                <w:sz w:val="24"/>
                <w:lang w:eastAsia="zh-CN"/>
              </w:rPr>
            </w:pPr>
            <w:r>
              <w:rPr>
                <w:rFonts w:hint="eastAsia"/>
                <w:color w:val="auto"/>
                <w:sz w:val="24"/>
                <w:lang w:eastAsia="zh-CN"/>
              </w:rPr>
              <w:t>苯乙烯</w:t>
            </w:r>
          </w:p>
        </w:tc>
        <w:tc>
          <w:tcPr>
            <w:tcW w:w="1900" w:type="dxa"/>
            <w:vMerge w:val="continue"/>
            <w:vAlign w:val="center"/>
          </w:tcPr>
          <w:p w14:paraId="090FE3DA">
            <w:pPr>
              <w:adjustRightInd w:val="0"/>
              <w:snapToGrid w:val="0"/>
              <w:jc w:val="left"/>
              <w:rPr>
                <w:rFonts w:hAnsi="宋体"/>
                <w:color w:val="auto"/>
                <w:sz w:val="24"/>
              </w:rPr>
            </w:pPr>
          </w:p>
        </w:tc>
        <w:tc>
          <w:tcPr>
            <w:tcW w:w="2312" w:type="dxa"/>
            <w:vMerge w:val="continue"/>
            <w:vAlign w:val="center"/>
          </w:tcPr>
          <w:p w14:paraId="45783D3B">
            <w:pPr>
              <w:adjustRightInd w:val="0"/>
              <w:snapToGrid w:val="0"/>
              <w:jc w:val="left"/>
              <w:rPr>
                <w:rFonts w:ascii="宋体" w:hAnsi="宋体"/>
                <w:color w:val="auto"/>
                <w:sz w:val="24"/>
              </w:rPr>
            </w:pPr>
          </w:p>
        </w:tc>
        <w:tc>
          <w:tcPr>
            <w:tcW w:w="1103" w:type="dxa"/>
            <w:vAlign w:val="center"/>
          </w:tcPr>
          <w:p w14:paraId="4D475489">
            <w:pPr>
              <w:adjustRightInd w:val="0"/>
              <w:snapToGrid w:val="0"/>
              <w:jc w:val="center"/>
              <w:rPr>
                <w:color w:val="auto"/>
                <w:sz w:val="24"/>
              </w:rPr>
            </w:pPr>
            <w:r>
              <w:rPr>
                <w:rFonts w:hint="eastAsia"/>
                <w:color w:val="auto"/>
                <w:sz w:val="24"/>
                <w:lang w:val="en-US" w:eastAsia="zh-CN"/>
              </w:rPr>
              <w:t>5</w:t>
            </w:r>
            <w:r>
              <w:rPr>
                <w:rFonts w:hint="eastAsia"/>
                <w:color w:val="auto"/>
                <w:sz w:val="24"/>
              </w:rPr>
              <w:t>.0</w:t>
            </w:r>
          </w:p>
          <w:p w14:paraId="1C0DDC01">
            <w:pPr>
              <w:adjustRightInd w:val="0"/>
              <w:snapToGrid w:val="0"/>
              <w:jc w:val="center"/>
              <w:rPr>
                <w:color w:val="auto"/>
              </w:rPr>
            </w:pPr>
            <w:r>
              <w:rPr>
                <w:rFonts w:hint="eastAsia"/>
                <w:color w:val="auto"/>
                <w:sz w:val="24"/>
              </w:rPr>
              <w:t>mg/m</w:t>
            </w:r>
            <w:r>
              <w:rPr>
                <w:rFonts w:hint="eastAsia"/>
                <w:color w:val="auto"/>
                <w:sz w:val="24"/>
                <w:vertAlign w:val="superscript"/>
              </w:rPr>
              <w:t>3</w:t>
            </w:r>
          </w:p>
        </w:tc>
      </w:tr>
      <w:tr w14:paraId="30ECB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00" w:type="dxa"/>
            <w:vMerge w:val="continue"/>
            <w:vAlign w:val="center"/>
          </w:tcPr>
          <w:p w14:paraId="664A731A">
            <w:pPr>
              <w:adjustRightInd w:val="0"/>
              <w:snapToGrid w:val="0"/>
              <w:jc w:val="center"/>
              <w:rPr>
                <w:rFonts w:hAnsi="宋体"/>
                <w:color w:val="auto"/>
                <w:sz w:val="24"/>
              </w:rPr>
            </w:pPr>
          </w:p>
        </w:tc>
        <w:tc>
          <w:tcPr>
            <w:tcW w:w="1318" w:type="dxa"/>
            <w:vMerge w:val="continue"/>
            <w:vAlign w:val="center"/>
          </w:tcPr>
          <w:p w14:paraId="58AB5584">
            <w:pPr>
              <w:adjustRightInd w:val="0"/>
              <w:snapToGrid w:val="0"/>
              <w:jc w:val="center"/>
              <w:rPr>
                <w:color w:val="auto"/>
                <w:sz w:val="24"/>
              </w:rPr>
            </w:pPr>
          </w:p>
        </w:tc>
        <w:tc>
          <w:tcPr>
            <w:tcW w:w="1438" w:type="dxa"/>
            <w:vAlign w:val="center"/>
          </w:tcPr>
          <w:p w14:paraId="672F2957">
            <w:pPr>
              <w:pStyle w:val="2"/>
              <w:ind w:firstLine="0" w:firstLineChars="0"/>
              <w:jc w:val="center"/>
              <w:rPr>
                <w:rFonts w:hint="eastAsia"/>
                <w:color w:val="auto"/>
                <w:sz w:val="24"/>
                <w:lang w:eastAsia="zh-CN"/>
              </w:rPr>
            </w:pPr>
            <w:r>
              <w:rPr>
                <w:rFonts w:hint="eastAsia"/>
                <w:color w:val="auto"/>
                <w:sz w:val="24"/>
                <w:lang w:eastAsia="zh-CN"/>
              </w:rPr>
              <w:t>臭气浓度</w:t>
            </w:r>
          </w:p>
        </w:tc>
        <w:tc>
          <w:tcPr>
            <w:tcW w:w="1900" w:type="dxa"/>
            <w:vMerge w:val="continue"/>
            <w:vAlign w:val="center"/>
          </w:tcPr>
          <w:p w14:paraId="19EB9C0A">
            <w:pPr>
              <w:adjustRightInd w:val="0"/>
              <w:snapToGrid w:val="0"/>
              <w:jc w:val="left"/>
              <w:rPr>
                <w:rFonts w:hAnsi="宋体"/>
                <w:color w:val="auto"/>
                <w:sz w:val="24"/>
              </w:rPr>
            </w:pPr>
          </w:p>
        </w:tc>
        <w:tc>
          <w:tcPr>
            <w:tcW w:w="2312" w:type="dxa"/>
            <w:vAlign w:val="center"/>
          </w:tcPr>
          <w:p w14:paraId="555855E2">
            <w:pPr>
              <w:adjustRightInd w:val="0"/>
              <w:snapToGrid w:val="0"/>
              <w:jc w:val="left"/>
              <w:rPr>
                <w:color w:val="auto"/>
                <w:sz w:val="24"/>
              </w:rPr>
            </w:pPr>
            <w:r>
              <w:rPr>
                <w:rFonts w:hint="eastAsia"/>
                <w:color w:val="auto"/>
                <w:sz w:val="24"/>
              </w:rPr>
              <w:t>《恶臭污染物排放标准》</w:t>
            </w:r>
          </w:p>
          <w:p w14:paraId="76283877">
            <w:pPr>
              <w:adjustRightInd w:val="0"/>
              <w:snapToGrid w:val="0"/>
              <w:jc w:val="left"/>
              <w:rPr>
                <w:rFonts w:ascii="宋体" w:hAnsi="宋体"/>
                <w:color w:val="auto"/>
                <w:sz w:val="24"/>
              </w:rPr>
            </w:pPr>
            <w:r>
              <w:rPr>
                <w:rFonts w:hint="eastAsia"/>
                <w:color w:val="auto"/>
                <w:sz w:val="24"/>
              </w:rPr>
              <w:t>（GB 14554-93）</w:t>
            </w:r>
          </w:p>
        </w:tc>
        <w:tc>
          <w:tcPr>
            <w:tcW w:w="1103" w:type="dxa"/>
            <w:vAlign w:val="center"/>
          </w:tcPr>
          <w:p w14:paraId="3A9D3E76">
            <w:pPr>
              <w:adjustRightInd w:val="0"/>
              <w:snapToGrid w:val="0"/>
              <w:jc w:val="center"/>
              <w:rPr>
                <w:rFonts w:hint="eastAsia"/>
                <w:color w:val="auto"/>
                <w:sz w:val="24"/>
              </w:rPr>
            </w:pPr>
            <w:r>
              <w:rPr>
                <w:rFonts w:hint="eastAsia"/>
                <w:color w:val="auto"/>
                <w:sz w:val="24"/>
              </w:rPr>
              <w:t>20（无量纲）</w:t>
            </w:r>
          </w:p>
        </w:tc>
      </w:tr>
      <w:tr w14:paraId="45FBA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00" w:type="dxa"/>
            <w:vMerge w:val="continue"/>
            <w:vAlign w:val="center"/>
          </w:tcPr>
          <w:p w14:paraId="7BA38D8B">
            <w:pPr>
              <w:adjustRightInd w:val="0"/>
              <w:snapToGrid w:val="0"/>
              <w:jc w:val="center"/>
              <w:rPr>
                <w:rFonts w:hAnsi="宋体"/>
                <w:color w:val="auto"/>
                <w:sz w:val="24"/>
              </w:rPr>
            </w:pPr>
          </w:p>
        </w:tc>
        <w:tc>
          <w:tcPr>
            <w:tcW w:w="1318" w:type="dxa"/>
            <w:vMerge w:val="continue"/>
            <w:vAlign w:val="center"/>
          </w:tcPr>
          <w:p w14:paraId="2C387D29">
            <w:pPr>
              <w:adjustRightInd w:val="0"/>
              <w:snapToGrid w:val="0"/>
              <w:jc w:val="center"/>
              <w:rPr>
                <w:color w:val="auto"/>
                <w:sz w:val="24"/>
              </w:rPr>
            </w:pPr>
          </w:p>
        </w:tc>
        <w:tc>
          <w:tcPr>
            <w:tcW w:w="1438" w:type="dxa"/>
            <w:vAlign w:val="center"/>
          </w:tcPr>
          <w:p w14:paraId="72024DFD">
            <w:pPr>
              <w:pStyle w:val="2"/>
              <w:ind w:firstLine="0" w:firstLineChars="0"/>
              <w:jc w:val="center"/>
              <w:rPr>
                <w:rFonts w:hint="eastAsia"/>
                <w:color w:val="auto"/>
                <w:sz w:val="24"/>
                <w:lang w:eastAsia="zh-CN"/>
              </w:rPr>
            </w:pPr>
            <w:r>
              <w:rPr>
                <w:rFonts w:hint="eastAsia"/>
                <w:color w:val="auto"/>
                <w:sz w:val="24"/>
                <w:lang w:eastAsia="zh-CN"/>
              </w:rPr>
              <w:t>颗粒物</w:t>
            </w:r>
          </w:p>
        </w:tc>
        <w:tc>
          <w:tcPr>
            <w:tcW w:w="1900" w:type="dxa"/>
            <w:vMerge w:val="continue"/>
            <w:vAlign w:val="center"/>
          </w:tcPr>
          <w:p w14:paraId="7C03CF69">
            <w:pPr>
              <w:adjustRightInd w:val="0"/>
              <w:snapToGrid w:val="0"/>
              <w:jc w:val="left"/>
              <w:rPr>
                <w:rFonts w:hAnsi="宋体"/>
                <w:color w:val="auto"/>
                <w:sz w:val="24"/>
              </w:rPr>
            </w:pPr>
          </w:p>
        </w:tc>
        <w:tc>
          <w:tcPr>
            <w:tcW w:w="2312" w:type="dxa"/>
            <w:vAlign w:val="center"/>
          </w:tcPr>
          <w:p w14:paraId="68A028FB">
            <w:pPr>
              <w:adjustRightInd w:val="0"/>
              <w:snapToGrid w:val="0"/>
              <w:jc w:val="left"/>
              <w:rPr>
                <w:rFonts w:ascii="宋体" w:hAnsi="宋体"/>
                <w:color w:val="auto"/>
                <w:sz w:val="24"/>
              </w:rPr>
            </w:pPr>
            <w:r>
              <w:rPr>
                <w:rFonts w:hint="eastAsia"/>
                <w:color w:val="auto"/>
                <w:kern w:val="0"/>
                <w:sz w:val="24"/>
              </w:rPr>
              <w:t>《大气污染物综合排放标准》（GB16297-1996）</w:t>
            </w:r>
          </w:p>
        </w:tc>
        <w:tc>
          <w:tcPr>
            <w:tcW w:w="1103" w:type="dxa"/>
            <w:vAlign w:val="center"/>
          </w:tcPr>
          <w:p w14:paraId="54949E6B">
            <w:pPr>
              <w:adjustRightInd w:val="0"/>
              <w:snapToGrid w:val="0"/>
              <w:jc w:val="center"/>
              <w:rPr>
                <w:color w:val="auto"/>
                <w:sz w:val="24"/>
              </w:rPr>
            </w:pPr>
            <w:r>
              <w:rPr>
                <w:rFonts w:hint="eastAsia"/>
                <w:color w:val="auto"/>
                <w:sz w:val="24"/>
              </w:rPr>
              <w:t>1.0</w:t>
            </w:r>
          </w:p>
          <w:p w14:paraId="4F9976B5">
            <w:pPr>
              <w:adjustRightInd w:val="0"/>
              <w:snapToGrid w:val="0"/>
              <w:jc w:val="center"/>
              <w:rPr>
                <w:rFonts w:hint="eastAsia"/>
                <w:color w:val="auto"/>
                <w:sz w:val="24"/>
              </w:rPr>
            </w:pPr>
            <w:r>
              <w:rPr>
                <w:rFonts w:hint="eastAsia"/>
                <w:color w:val="auto"/>
                <w:sz w:val="24"/>
              </w:rPr>
              <w:t>mg/m</w:t>
            </w:r>
            <w:r>
              <w:rPr>
                <w:rFonts w:hint="eastAsia"/>
                <w:color w:val="auto"/>
                <w:sz w:val="24"/>
                <w:vertAlign w:val="superscript"/>
              </w:rPr>
              <w:t>3</w:t>
            </w:r>
          </w:p>
        </w:tc>
      </w:tr>
      <w:tr w14:paraId="19F5A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0" w:type="dxa"/>
            <w:vMerge w:val="continue"/>
            <w:vAlign w:val="center"/>
          </w:tcPr>
          <w:p w14:paraId="7D9DF8C1">
            <w:pPr>
              <w:adjustRightInd w:val="0"/>
              <w:snapToGrid w:val="0"/>
              <w:jc w:val="center"/>
              <w:rPr>
                <w:rFonts w:hAnsi="宋体"/>
                <w:color w:val="auto"/>
                <w:sz w:val="24"/>
              </w:rPr>
            </w:pPr>
          </w:p>
        </w:tc>
        <w:tc>
          <w:tcPr>
            <w:tcW w:w="1318" w:type="dxa"/>
            <w:vAlign w:val="center"/>
          </w:tcPr>
          <w:p w14:paraId="2BB02700">
            <w:pPr>
              <w:adjustRightInd w:val="0"/>
              <w:snapToGrid w:val="0"/>
              <w:jc w:val="center"/>
              <w:rPr>
                <w:rFonts w:ascii="宋体" w:hAnsi="宋体"/>
                <w:color w:val="auto"/>
                <w:sz w:val="24"/>
              </w:rPr>
            </w:pPr>
            <w:r>
              <w:rPr>
                <w:rFonts w:hint="eastAsia" w:ascii="宋体" w:hAnsi="宋体"/>
                <w:color w:val="auto"/>
                <w:sz w:val="24"/>
              </w:rPr>
              <w:t>厂区内</w:t>
            </w:r>
          </w:p>
          <w:p w14:paraId="5E5B2E2F">
            <w:pPr>
              <w:adjustRightInd w:val="0"/>
              <w:snapToGrid w:val="0"/>
              <w:jc w:val="center"/>
              <w:rPr>
                <w:rFonts w:ascii="宋体" w:hAnsi="宋体"/>
                <w:color w:val="auto"/>
                <w:sz w:val="24"/>
              </w:rPr>
            </w:pPr>
            <w:r>
              <w:rPr>
                <w:rFonts w:hint="eastAsia" w:ascii="宋体" w:hAnsi="宋体"/>
                <w:color w:val="auto"/>
                <w:sz w:val="24"/>
              </w:rPr>
              <w:t>无组织</w:t>
            </w:r>
          </w:p>
        </w:tc>
        <w:tc>
          <w:tcPr>
            <w:tcW w:w="1438" w:type="dxa"/>
            <w:vAlign w:val="center"/>
          </w:tcPr>
          <w:p w14:paraId="59D2577B">
            <w:pPr>
              <w:pStyle w:val="2"/>
              <w:ind w:firstLine="0" w:firstLineChars="0"/>
              <w:jc w:val="center"/>
              <w:rPr>
                <w:color w:val="auto"/>
                <w:sz w:val="24"/>
              </w:rPr>
            </w:pPr>
            <w:r>
              <w:rPr>
                <w:rFonts w:hint="eastAsia"/>
                <w:color w:val="auto"/>
                <w:sz w:val="24"/>
              </w:rPr>
              <w:t>非甲烷总烃</w:t>
            </w:r>
          </w:p>
        </w:tc>
        <w:tc>
          <w:tcPr>
            <w:tcW w:w="1900" w:type="dxa"/>
            <w:vMerge w:val="continue"/>
            <w:vAlign w:val="center"/>
          </w:tcPr>
          <w:p w14:paraId="1735B274">
            <w:pPr>
              <w:adjustRightInd w:val="0"/>
              <w:snapToGrid w:val="0"/>
              <w:jc w:val="left"/>
              <w:rPr>
                <w:rFonts w:hAnsi="宋体"/>
                <w:color w:val="auto"/>
                <w:sz w:val="24"/>
              </w:rPr>
            </w:pPr>
          </w:p>
        </w:tc>
        <w:tc>
          <w:tcPr>
            <w:tcW w:w="2312" w:type="dxa"/>
            <w:vAlign w:val="center"/>
          </w:tcPr>
          <w:p w14:paraId="52905AAF">
            <w:pPr>
              <w:adjustRightInd w:val="0"/>
              <w:snapToGrid w:val="0"/>
              <w:jc w:val="left"/>
              <w:rPr>
                <w:rFonts w:ascii="宋体" w:hAnsi="宋体"/>
                <w:color w:val="auto"/>
                <w:sz w:val="24"/>
              </w:rPr>
            </w:pPr>
            <w:r>
              <w:rPr>
                <w:color w:val="auto"/>
                <w:sz w:val="24"/>
              </w:rPr>
              <w:t>《挥发性有机物无组织排放控制标准》</w:t>
            </w:r>
          </w:p>
        </w:tc>
        <w:tc>
          <w:tcPr>
            <w:tcW w:w="1103" w:type="dxa"/>
            <w:vAlign w:val="center"/>
          </w:tcPr>
          <w:p w14:paraId="355BE210">
            <w:pPr>
              <w:adjustRightInd w:val="0"/>
              <w:snapToGrid w:val="0"/>
              <w:jc w:val="left"/>
              <w:rPr>
                <w:color w:val="auto"/>
                <w:sz w:val="24"/>
              </w:rPr>
            </w:pPr>
            <w:r>
              <w:rPr>
                <w:color w:val="auto"/>
                <w:sz w:val="24"/>
              </w:rPr>
              <w:t>1h平均：6mg/m</w:t>
            </w:r>
            <w:r>
              <w:rPr>
                <w:color w:val="auto"/>
                <w:sz w:val="24"/>
                <w:vertAlign w:val="superscript"/>
              </w:rPr>
              <w:t>3</w:t>
            </w:r>
          </w:p>
          <w:p w14:paraId="35455AEA">
            <w:pPr>
              <w:adjustRightInd w:val="0"/>
              <w:snapToGrid w:val="0"/>
              <w:jc w:val="left"/>
              <w:rPr>
                <w:rFonts w:ascii="宋体" w:hAnsi="宋体"/>
                <w:color w:val="auto"/>
                <w:sz w:val="24"/>
              </w:rPr>
            </w:pPr>
            <w:r>
              <w:rPr>
                <w:color w:val="auto"/>
                <w:sz w:val="24"/>
              </w:rPr>
              <w:t>任意1次：20mg/m</w:t>
            </w:r>
            <w:r>
              <w:rPr>
                <w:color w:val="auto"/>
                <w:sz w:val="24"/>
                <w:vertAlign w:val="superscript"/>
              </w:rPr>
              <w:t>3</w:t>
            </w:r>
          </w:p>
        </w:tc>
      </w:tr>
      <w:tr w14:paraId="62C88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00" w:type="dxa"/>
            <w:vAlign w:val="center"/>
          </w:tcPr>
          <w:p w14:paraId="0EFF9FF9">
            <w:pPr>
              <w:adjustRightInd w:val="0"/>
              <w:snapToGrid w:val="0"/>
              <w:jc w:val="center"/>
              <w:rPr>
                <w:color w:val="auto"/>
                <w:sz w:val="24"/>
              </w:rPr>
            </w:pPr>
            <w:r>
              <w:rPr>
                <w:rFonts w:hAnsi="宋体"/>
                <w:color w:val="auto"/>
                <w:sz w:val="24"/>
              </w:rPr>
              <w:t>地表水环境</w:t>
            </w:r>
          </w:p>
        </w:tc>
        <w:tc>
          <w:tcPr>
            <w:tcW w:w="1318" w:type="dxa"/>
            <w:vAlign w:val="center"/>
          </w:tcPr>
          <w:p w14:paraId="22EE5983">
            <w:pPr>
              <w:adjustRightInd w:val="0"/>
              <w:snapToGrid w:val="0"/>
              <w:jc w:val="center"/>
              <w:rPr>
                <w:color w:val="auto"/>
                <w:sz w:val="24"/>
              </w:rPr>
            </w:pPr>
            <w:r>
              <w:rPr>
                <w:rFonts w:hAnsi="宋体"/>
                <w:color w:val="auto"/>
                <w:sz w:val="24"/>
              </w:rPr>
              <w:t>生活污水</w:t>
            </w:r>
          </w:p>
        </w:tc>
        <w:tc>
          <w:tcPr>
            <w:tcW w:w="1438" w:type="dxa"/>
            <w:vAlign w:val="center"/>
          </w:tcPr>
          <w:p w14:paraId="41020FDF">
            <w:pPr>
              <w:adjustRightInd w:val="0"/>
              <w:snapToGrid w:val="0"/>
              <w:jc w:val="center"/>
              <w:rPr>
                <w:rFonts w:hAnsi="宋体"/>
                <w:color w:val="auto"/>
                <w:sz w:val="24"/>
              </w:rPr>
            </w:pPr>
            <w:r>
              <w:rPr>
                <w:color w:val="auto"/>
                <w:sz w:val="24"/>
              </w:rPr>
              <w:t>COD</w:t>
            </w:r>
            <w:r>
              <w:rPr>
                <w:color w:val="auto"/>
                <w:sz w:val="24"/>
                <w:vertAlign w:val="subscript"/>
              </w:rPr>
              <w:t>Cr</w:t>
            </w:r>
            <w:r>
              <w:rPr>
                <w:rFonts w:hAnsi="宋体"/>
                <w:color w:val="auto"/>
                <w:sz w:val="24"/>
              </w:rPr>
              <w:t>、</w:t>
            </w:r>
          </w:p>
          <w:p w14:paraId="0B2B1EB4">
            <w:pPr>
              <w:adjustRightInd w:val="0"/>
              <w:snapToGrid w:val="0"/>
              <w:jc w:val="center"/>
              <w:rPr>
                <w:color w:val="auto"/>
                <w:sz w:val="24"/>
              </w:rPr>
            </w:pPr>
            <w:r>
              <w:rPr>
                <w:rFonts w:hAnsi="宋体"/>
                <w:color w:val="auto"/>
                <w:sz w:val="24"/>
              </w:rPr>
              <w:t>氨氮</w:t>
            </w:r>
          </w:p>
        </w:tc>
        <w:tc>
          <w:tcPr>
            <w:tcW w:w="1900" w:type="dxa"/>
            <w:vAlign w:val="center"/>
          </w:tcPr>
          <w:p w14:paraId="13AC487E">
            <w:pPr>
              <w:pStyle w:val="2"/>
              <w:ind w:firstLine="0" w:firstLineChars="0"/>
              <w:jc w:val="left"/>
              <w:rPr>
                <w:color w:val="auto"/>
                <w:sz w:val="24"/>
              </w:rPr>
            </w:pPr>
            <w:r>
              <w:rPr>
                <w:rFonts w:hAnsi="宋体"/>
                <w:color w:val="auto"/>
                <w:kern w:val="0"/>
                <w:sz w:val="24"/>
              </w:rPr>
              <w:t>生活污水经化粪池预处理达到纳管标准后，接入市政污水管网。</w:t>
            </w:r>
          </w:p>
        </w:tc>
        <w:tc>
          <w:tcPr>
            <w:tcW w:w="2312" w:type="dxa"/>
            <w:vAlign w:val="center"/>
          </w:tcPr>
          <w:p w14:paraId="317C0C45">
            <w:pPr>
              <w:adjustRightInd w:val="0"/>
              <w:snapToGrid w:val="0"/>
              <w:jc w:val="left"/>
              <w:rPr>
                <w:color w:val="auto"/>
              </w:rPr>
            </w:pPr>
            <w:r>
              <w:rPr>
                <w:rFonts w:hAnsi="宋体"/>
                <w:color w:val="auto"/>
                <w:kern w:val="0"/>
                <w:sz w:val="24"/>
              </w:rPr>
              <w:t>达到</w:t>
            </w:r>
            <w:r>
              <w:rPr>
                <w:rFonts w:hint="eastAsia"/>
                <w:bCs/>
                <w:color w:val="auto"/>
                <w:sz w:val="24"/>
                <w:lang w:val="en-GB"/>
              </w:rPr>
              <w:t>安吉净源污水处理有限公司城北污水处理厂纳管标准</w:t>
            </w:r>
          </w:p>
        </w:tc>
        <w:tc>
          <w:tcPr>
            <w:tcW w:w="1103" w:type="dxa"/>
            <w:vAlign w:val="center"/>
          </w:tcPr>
          <w:p w14:paraId="31BBB236">
            <w:pPr>
              <w:adjustRightInd w:val="0"/>
              <w:snapToGrid w:val="0"/>
              <w:jc w:val="center"/>
              <w:rPr>
                <w:color w:val="auto"/>
                <w:sz w:val="24"/>
              </w:rPr>
            </w:pPr>
            <w:r>
              <w:rPr>
                <w:rFonts w:hint="eastAsia"/>
                <w:color w:val="auto"/>
                <w:sz w:val="24"/>
              </w:rPr>
              <w:t>4</w:t>
            </w:r>
            <w:r>
              <w:rPr>
                <w:rFonts w:hint="eastAsia"/>
                <w:color w:val="auto"/>
                <w:sz w:val="24"/>
                <w:lang w:val="en-US" w:eastAsia="zh-CN"/>
              </w:rPr>
              <w:t>5</w:t>
            </w:r>
            <w:r>
              <w:rPr>
                <w:rFonts w:hint="eastAsia"/>
                <w:color w:val="auto"/>
                <w:sz w:val="24"/>
              </w:rPr>
              <w:t>0mg/L</w:t>
            </w:r>
          </w:p>
          <w:p w14:paraId="3900822E">
            <w:pPr>
              <w:adjustRightInd w:val="0"/>
              <w:snapToGrid w:val="0"/>
              <w:jc w:val="center"/>
              <w:rPr>
                <w:rFonts w:hAnsi="宋体"/>
                <w:color w:val="auto"/>
                <w:kern w:val="0"/>
                <w:sz w:val="24"/>
              </w:rPr>
            </w:pPr>
            <w:r>
              <w:rPr>
                <w:rFonts w:hint="eastAsia"/>
                <w:color w:val="auto"/>
                <w:sz w:val="24"/>
              </w:rPr>
              <w:t>2</w:t>
            </w:r>
            <w:r>
              <w:rPr>
                <w:rFonts w:hint="eastAsia"/>
                <w:color w:val="auto"/>
                <w:sz w:val="24"/>
                <w:lang w:val="en-US" w:eastAsia="zh-CN"/>
              </w:rPr>
              <w:t>0</w:t>
            </w:r>
            <w:r>
              <w:rPr>
                <w:rFonts w:hint="eastAsia"/>
                <w:color w:val="auto"/>
                <w:sz w:val="24"/>
              </w:rPr>
              <w:t>mg/L</w:t>
            </w:r>
          </w:p>
        </w:tc>
      </w:tr>
      <w:tr w14:paraId="404FA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0" w:type="dxa"/>
            <w:vAlign w:val="center"/>
          </w:tcPr>
          <w:p w14:paraId="2249318E">
            <w:pPr>
              <w:adjustRightInd w:val="0"/>
              <w:snapToGrid w:val="0"/>
              <w:jc w:val="center"/>
              <w:rPr>
                <w:color w:val="auto"/>
                <w:sz w:val="24"/>
              </w:rPr>
            </w:pPr>
            <w:r>
              <w:rPr>
                <w:rFonts w:hAnsi="宋体"/>
                <w:color w:val="auto"/>
                <w:sz w:val="24"/>
              </w:rPr>
              <w:t>声环境</w:t>
            </w:r>
          </w:p>
        </w:tc>
        <w:tc>
          <w:tcPr>
            <w:tcW w:w="1318" w:type="dxa"/>
            <w:vAlign w:val="center"/>
          </w:tcPr>
          <w:p w14:paraId="29856EDC">
            <w:pPr>
              <w:adjustRightInd w:val="0"/>
              <w:snapToGrid w:val="0"/>
              <w:jc w:val="center"/>
              <w:rPr>
                <w:color w:val="auto"/>
                <w:sz w:val="24"/>
              </w:rPr>
            </w:pPr>
            <w:r>
              <w:rPr>
                <w:rFonts w:hAnsi="宋体"/>
                <w:color w:val="auto"/>
                <w:sz w:val="24"/>
              </w:rPr>
              <w:t>设备运行噪声</w:t>
            </w:r>
          </w:p>
        </w:tc>
        <w:tc>
          <w:tcPr>
            <w:tcW w:w="1438" w:type="dxa"/>
            <w:vAlign w:val="center"/>
          </w:tcPr>
          <w:p w14:paraId="5A5317F6">
            <w:pPr>
              <w:adjustRightInd w:val="0"/>
              <w:snapToGrid w:val="0"/>
              <w:jc w:val="center"/>
              <w:rPr>
                <w:color w:val="auto"/>
                <w:sz w:val="24"/>
              </w:rPr>
            </w:pPr>
            <w:r>
              <w:rPr>
                <w:color w:val="auto"/>
                <w:sz w:val="24"/>
              </w:rPr>
              <w:t>Leq</w:t>
            </w:r>
            <w:r>
              <w:rPr>
                <w:rFonts w:hAnsi="宋体"/>
                <w:color w:val="auto"/>
                <w:sz w:val="24"/>
              </w:rPr>
              <w:t>（</w:t>
            </w:r>
            <w:r>
              <w:rPr>
                <w:color w:val="auto"/>
                <w:sz w:val="24"/>
              </w:rPr>
              <w:t>A</w:t>
            </w:r>
            <w:r>
              <w:rPr>
                <w:rFonts w:hAnsi="宋体"/>
                <w:color w:val="auto"/>
                <w:sz w:val="24"/>
              </w:rPr>
              <w:t>）</w:t>
            </w:r>
          </w:p>
        </w:tc>
        <w:tc>
          <w:tcPr>
            <w:tcW w:w="1900" w:type="dxa"/>
            <w:vAlign w:val="center"/>
          </w:tcPr>
          <w:p w14:paraId="6BDA7005">
            <w:pPr>
              <w:pStyle w:val="96"/>
              <w:snapToGrid w:val="0"/>
              <w:spacing w:line="240" w:lineRule="auto"/>
              <w:ind w:firstLine="0" w:firstLineChars="0"/>
              <w:rPr>
                <w:rFonts w:eastAsia="宋体"/>
                <w:color w:val="auto"/>
              </w:rPr>
            </w:pPr>
            <w:r>
              <w:rPr>
                <w:rFonts w:hAnsi="宋体" w:eastAsia="宋体"/>
                <w:color w:val="auto"/>
              </w:rPr>
              <w:t>选用低噪声设备，对高噪声设备采取减振隔振措施；风机设置隔声罩；设备合理布局，高噪声设备尽量布置在车间中部区域；加强设备维修与保养，避免设备老化引起的噪声；生产时关闭门窗，制定相关操作规程，原料及成品的搬运、装卸做到轻拿轻放。</w:t>
            </w:r>
          </w:p>
        </w:tc>
        <w:tc>
          <w:tcPr>
            <w:tcW w:w="2312" w:type="dxa"/>
            <w:vAlign w:val="center"/>
          </w:tcPr>
          <w:p w14:paraId="081ED91E">
            <w:pPr>
              <w:adjustRightInd w:val="0"/>
              <w:snapToGrid w:val="0"/>
              <w:jc w:val="left"/>
              <w:rPr>
                <w:color w:val="auto"/>
                <w:sz w:val="24"/>
              </w:rPr>
            </w:pPr>
            <w:r>
              <w:rPr>
                <w:rFonts w:hAnsi="宋体"/>
                <w:color w:val="auto"/>
                <w:sz w:val="24"/>
              </w:rPr>
              <w:t>《工业企业厂界环境噪声排放标准》（</w:t>
            </w:r>
            <w:r>
              <w:rPr>
                <w:color w:val="auto"/>
                <w:sz w:val="24"/>
              </w:rPr>
              <w:t>GB12348-2008</w:t>
            </w:r>
            <w:r>
              <w:rPr>
                <w:rFonts w:hAnsi="宋体"/>
                <w:color w:val="auto"/>
                <w:sz w:val="24"/>
              </w:rPr>
              <w:t>）中的</w:t>
            </w:r>
            <w:r>
              <w:rPr>
                <w:color w:val="auto"/>
                <w:sz w:val="24"/>
              </w:rPr>
              <w:t>3</w:t>
            </w:r>
            <w:r>
              <w:rPr>
                <w:rFonts w:hAnsi="宋体"/>
                <w:color w:val="auto"/>
                <w:sz w:val="24"/>
              </w:rPr>
              <w:t>类标准</w:t>
            </w:r>
          </w:p>
        </w:tc>
        <w:tc>
          <w:tcPr>
            <w:tcW w:w="1103" w:type="dxa"/>
            <w:vAlign w:val="center"/>
          </w:tcPr>
          <w:p w14:paraId="7111B0DD">
            <w:pPr>
              <w:adjustRightInd w:val="0"/>
              <w:snapToGrid w:val="0"/>
              <w:jc w:val="center"/>
              <w:rPr>
                <w:rFonts w:hAnsi="宋体"/>
                <w:color w:val="auto"/>
                <w:sz w:val="24"/>
              </w:rPr>
            </w:pPr>
            <w:r>
              <w:rPr>
                <w:color w:val="auto"/>
                <w:sz w:val="24"/>
              </w:rPr>
              <w:t>昼间65dB(A)</w:t>
            </w:r>
            <w:r>
              <w:rPr>
                <w:rFonts w:hint="eastAsia"/>
                <w:color w:val="auto"/>
                <w:sz w:val="24"/>
              </w:rPr>
              <w:t>（夜间不生产）</w:t>
            </w:r>
          </w:p>
        </w:tc>
      </w:tr>
      <w:tr w14:paraId="031ED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0" w:type="dxa"/>
            <w:vAlign w:val="center"/>
          </w:tcPr>
          <w:p w14:paraId="7AC78970">
            <w:pPr>
              <w:adjustRightInd w:val="0"/>
              <w:snapToGrid w:val="0"/>
              <w:jc w:val="center"/>
              <w:rPr>
                <w:rFonts w:hAnsi="宋体"/>
                <w:color w:val="auto"/>
                <w:sz w:val="24"/>
              </w:rPr>
            </w:pPr>
            <w:r>
              <w:rPr>
                <w:rFonts w:hAnsi="宋体"/>
                <w:color w:val="auto"/>
                <w:sz w:val="24"/>
              </w:rPr>
              <w:t>电磁</w:t>
            </w:r>
          </w:p>
          <w:p w14:paraId="789F4769">
            <w:pPr>
              <w:adjustRightInd w:val="0"/>
              <w:snapToGrid w:val="0"/>
              <w:jc w:val="center"/>
              <w:rPr>
                <w:color w:val="auto"/>
                <w:sz w:val="24"/>
              </w:rPr>
            </w:pPr>
            <w:r>
              <w:rPr>
                <w:rFonts w:hAnsi="宋体"/>
                <w:color w:val="auto"/>
                <w:sz w:val="24"/>
              </w:rPr>
              <w:t>辐射</w:t>
            </w:r>
          </w:p>
        </w:tc>
        <w:tc>
          <w:tcPr>
            <w:tcW w:w="1318" w:type="dxa"/>
            <w:vAlign w:val="center"/>
          </w:tcPr>
          <w:p w14:paraId="69F5C29C">
            <w:pPr>
              <w:adjustRightInd w:val="0"/>
              <w:snapToGrid w:val="0"/>
              <w:jc w:val="center"/>
              <w:rPr>
                <w:color w:val="auto"/>
                <w:sz w:val="24"/>
              </w:rPr>
            </w:pPr>
            <w:r>
              <w:rPr>
                <w:color w:val="auto"/>
                <w:sz w:val="24"/>
              </w:rPr>
              <w:t>/</w:t>
            </w:r>
          </w:p>
        </w:tc>
        <w:tc>
          <w:tcPr>
            <w:tcW w:w="1438" w:type="dxa"/>
            <w:vAlign w:val="center"/>
          </w:tcPr>
          <w:p w14:paraId="6870F03A">
            <w:pPr>
              <w:adjustRightInd w:val="0"/>
              <w:snapToGrid w:val="0"/>
              <w:jc w:val="center"/>
              <w:rPr>
                <w:color w:val="auto"/>
                <w:sz w:val="24"/>
              </w:rPr>
            </w:pPr>
            <w:r>
              <w:rPr>
                <w:color w:val="auto"/>
                <w:sz w:val="24"/>
              </w:rPr>
              <w:t>/</w:t>
            </w:r>
          </w:p>
        </w:tc>
        <w:tc>
          <w:tcPr>
            <w:tcW w:w="1900" w:type="dxa"/>
            <w:vAlign w:val="center"/>
          </w:tcPr>
          <w:p w14:paraId="709711ED">
            <w:pPr>
              <w:adjustRightInd w:val="0"/>
              <w:snapToGrid w:val="0"/>
              <w:jc w:val="center"/>
              <w:rPr>
                <w:color w:val="auto"/>
                <w:sz w:val="24"/>
              </w:rPr>
            </w:pPr>
            <w:r>
              <w:rPr>
                <w:color w:val="auto"/>
                <w:sz w:val="24"/>
              </w:rPr>
              <w:t>/</w:t>
            </w:r>
          </w:p>
        </w:tc>
        <w:tc>
          <w:tcPr>
            <w:tcW w:w="3415" w:type="dxa"/>
            <w:gridSpan w:val="2"/>
            <w:vAlign w:val="center"/>
          </w:tcPr>
          <w:p w14:paraId="72B8F72B">
            <w:pPr>
              <w:adjustRightInd w:val="0"/>
              <w:snapToGrid w:val="0"/>
              <w:jc w:val="center"/>
              <w:rPr>
                <w:color w:val="auto"/>
                <w:sz w:val="24"/>
              </w:rPr>
            </w:pPr>
            <w:r>
              <w:rPr>
                <w:color w:val="auto"/>
                <w:sz w:val="24"/>
              </w:rPr>
              <w:t>/</w:t>
            </w:r>
          </w:p>
        </w:tc>
      </w:tr>
      <w:tr w14:paraId="3B6211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00" w:type="dxa"/>
            <w:vAlign w:val="center"/>
          </w:tcPr>
          <w:p w14:paraId="206ABB63">
            <w:pPr>
              <w:adjustRightInd w:val="0"/>
              <w:snapToGrid w:val="0"/>
              <w:jc w:val="center"/>
              <w:rPr>
                <w:rFonts w:hAnsi="宋体"/>
                <w:color w:val="auto"/>
                <w:sz w:val="24"/>
              </w:rPr>
            </w:pPr>
            <w:r>
              <w:rPr>
                <w:rFonts w:hAnsi="宋体"/>
                <w:color w:val="auto"/>
                <w:sz w:val="24"/>
              </w:rPr>
              <w:t>固体</w:t>
            </w:r>
          </w:p>
          <w:p w14:paraId="1430AFA6">
            <w:pPr>
              <w:adjustRightInd w:val="0"/>
              <w:snapToGrid w:val="0"/>
              <w:jc w:val="center"/>
              <w:rPr>
                <w:color w:val="auto"/>
                <w:sz w:val="24"/>
              </w:rPr>
            </w:pPr>
            <w:r>
              <w:rPr>
                <w:rFonts w:hAnsi="宋体"/>
                <w:color w:val="auto"/>
                <w:sz w:val="24"/>
              </w:rPr>
              <w:t>废物</w:t>
            </w:r>
          </w:p>
        </w:tc>
        <w:tc>
          <w:tcPr>
            <w:tcW w:w="8071" w:type="dxa"/>
            <w:gridSpan w:val="5"/>
            <w:vAlign w:val="center"/>
          </w:tcPr>
          <w:p w14:paraId="61073A6F">
            <w:pPr>
              <w:pStyle w:val="96"/>
              <w:numPr>
                <w:ilvl w:val="0"/>
                <w:numId w:val="10"/>
              </w:numPr>
              <w:snapToGrid w:val="0"/>
              <w:spacing w:line="340" w:lineRule="exact"/>
              <w:ind w:firstLine="0" w:firstLineChars="0"/>
              <w:jc w:val="both"/>
              <w:rPr>
                <w:rFonts w:hAnsi="宋体" w:eastAsia="宋体"/>
                <w:color w:val="auto"/>
              </w:rPr>
            </w:pPr>
            <w:r>
              <w:rPr>
                <w:rFonts w:hAnsi="宋体" w:eastAsia="宋体"/>
                <w:color w:val="auto"/>
              </w:rPr>
              <w:t>各类固废分类收集、暂存及处置。</w:t>
            </w:r>
          </w:p>
          <w:p w14:paraId="5BD019D9">
            <w:pPr>
              <w:pStyle w:val="96"/>
              <w:snapToGrid w:val="0"/>
              <w:spacing w:line="340" w:lineRule="exact"/>
              <w:ind w:firstLine="0" w:firstLineChars="0"/>
              <w:jc w:val="both"/>
              <w:rPr>
                <w:rFonts w:hAnsi="宋体" w:eastAsia="宋体"/>
                <w:color w:val="auto"/>
              </w:rPr>
            </w:pPr>
            <w:r>
              <w:rPr>
                <w:rFonts w:hint="eastAsia" w:eastAsia="宋体"/>
                <w:color w:val="auto"/>
              </w:rPr>
              <w:t>2</w:t>
            </w:r>
            <w:r>
              <w:rPr>
                <w:rFonts w:eastAsia="宋体"/>
                <w:color w:val="auto"/>
              </w:rPr>
              <w:t xml:space="preserve">. </w:t>
            </w:r>
            <w:r>
              <w:rPr>
                <w:rFonts w:hint="eastAsia" w:hAnsi="宋体" w:eastAsia="宋体"/>
                <w:color w:val="auto"/>
              </w:rPr>
              <w:t>一般废弃包装材料、</w:t>
            </w:r>
            <w:r>
              <w:rPr>
                <w:rFonts w:hint="eastAsia" w:hAnsi="宋体" w:eastAsia="宋体"/>
                <w:color w:val="auto"/>
                <w:lang w:eastAsia="zh-CN"/>
              </w:rPr>
              <w:t>金属次品及</w:t>
            </w:r>
            <w:r>
              <w:rPr>
                <w:rFonts w:hint="eastAsia" w:hAnsi="宋体" w:eastAsia="宋体"/>
                <w:color w:val="auto"/>
              </w:rPr>
              <w:t>集尘灰收</w:t>
            </w:r>
            <w:r>
              <w:rPr>
                <w:rFonts w:hint="eastAsia" w:eastAsia="宋体"/>
                <w:color w:val="auto"/>
              </w:rPr>
              <w:t>集后</w:t>
            </w:r>
            <w:r>
              <w:rPr>
                <w:rFonts w:hAnsi="宋体" w:eastAsia="宋体"/>
                <w:color w:val="auto"/>
              </w:rPr>
              <w:t>出售给</w:t>
            </w:r>
            <w:r>
              <w:rPr>
                <w:rFonts w:hint="eastAsia" w:hAnsi="宋体" w:eastAsia="宋体"/>
                <w:color w:val="auto"/>
              </w:rPr>
              <w:t>物资回收公司</w:t>
            </w:r>
            <w:r>
              <w:rPr>
                <w:rFonts w:hAnsi="宋体" w:eastAsia="宋体"/>
                <w:color w:val="auto"/>
              </w:rPr>
              <w:t>。</w:t>
            </w:r>
          </w:p>
          <w:p w14:paraId="4561CB63">
            <w:pPr>
              <w:pStyle w:val="96"/>
              <w:snapToGrid w:val="0"/>
              <w:spacing w:line="340" w:lineRule="exact"/>
              <w:ind w:firstLine="0" w:firstLineChars="0"/>
              <w:jc w:val="both"/>
              <w:rPr>
                <w:rFonts w:hAnsi="宋体" w:eastAsia="宋体"/>
                <w:color w:val="auto"/>
              </w:rPr>
            </w:pPr>
            <w:r>
              <w:rPr>
                <w:rFonts w:hint="eastAsia" w:eastAsia="宋体"/>
                <w:color w:val="auto"/>
              </w:rPr>
              <w:t>3.</w:t>
            </w:r>
            <w:r>
              <w:rPr>
                <w:rFonts w:hint="eastAsia" w:hAnsi="宋体" w:eastAsia="宋体"/>
                <w:color w:val="auto"/>
              </w:rPr>
              <w:t xml:space="preserve"> 废活性炭、废润滑油、废油桶、</w:t>
            </w:r>
            <w:r>
              <w:rPr>
                <w:rFonts w:hint="eastAsia" w:eastAsia="宋体"/>
                <w:color w:val="auto"/>
              </w:rPr>
              <w:t>废含油抹布和劳保用品</w:t>
            </w:r>
            <w:r>
              <w:rPr>
                <w:rFonts w:hAnsi="宋体" w:eastAsia="宋体"/>
                <w:color w:val="auto"/>
              </w:rPr>
              <w:t>委托有资质单位处理。</w:t>
            </w:r>
          </w:p>
          <w:p w14:paraId="145C4C65">
            <w:pPr>
              <w:pStyle w:val="96"/>
              <w:snapToGrid w:val="0"/>
              <w:spacing w:line="340" w:lineRule="exact"/>
              <w:ind w:firstLine="0" w:firstLineChars="0"/>
              <w:jc w:val="both"/>
              <w:rPr>
                <w:rFonts w:hAnsi="宋体" w:eastAsia="宋体"/>
                <w:color w:val="auto"/>
              </w:rPr>
            </w:pPr>
            <w:r>
              <w:rPr>
                <w:rFonts w:hint="eastAsia" w:hAnsi="宋体" w:eastAsia="宋体"/>
                <w:color w:val="auto"/>
              </w:rPr>
              <w:t>4</w:t>
            </w:r>
            <w:r>
              <w:rPr>
                <w:rFonts w:hAnsi="宋体" w:eastAsia="宋体"/>
                <w:color w:val="auto"/>
              </w:rPr>
              <w:t>. 生活垃圾由当地环卫部门统一清运。</w:t>
            </w:r>
          </w:p>
          <w:p w14:paraId="7E049A65">
            <w:pPr>
              <w:pStyle w:val="96"/>
              <w:snapToGrid w:val="0"/>
              <w:spacing w:line="340" w:lineRule="exact"/>
              <w:ind w:firstLine="0" w:firstLineChars="0"/>
              <w:jc w:val="both"/>
              <w:rPr>
                <w:rFonts w:eastAsia="宋体"/>
                <w:color w:val="auto"/>
              </w:rPr>
            </w:pPr>
            <w:r>
              <w:rPr>
                <w:rFonts w:hint="eastAsia" w:eastAsia="宋体"/>
                <w:color w:val="auto"/>
              </w:rPr>
              <w:t>5.</w:t>
            </w:r>
            <w:r>
              <w:rPr>
                <w:rFonts w:eastAsia="宋体"/>
                <w:color w:val="auto"/>
              </w:rPr>
              <w:t xml:space="preserve"> </w:t>
            </w:r>
            <w:r>
              <w:rPr>
                <w:rFonts w:hAnsi="宋体" w:eastAsia="宋体"/>
                <w:color w:val="auto"/>
              </w:rPr>
              <w:t>设置符合规范的一般固废暂存场所及危险废物暂存场所，落实相关环境管理要求。</w:t>
            </w:r>
          </w:p>
        </w:tc>
      </w:tr>
      <w:tr w14:paraId="16C9D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00" w:type="dxa"/>
            <w:vAlign w:val="center"/>
          </w:tcPr>
          <w:p w14:paraId="05657F33">
            <w:pPr>
              <w:adjustRightInd w:val="0"/>
              <w:snapToGrid w:val="0"/>
              <w:jc w:val="center"/>
              <w:rPr>
                <w:color w:val="auto"/>
                <w:sz w:val="24"/>
              </w:rPr>
            </w:pPr>
            <w:r>
              <w:rPr>
                <w:rFonts w:hAnsi="宋体"/>
                <w:color w:val="auto"/>
                <w:sz w:val="24"/>
              </w:rPr>
              <w:t>土壤及地下水污染防治措施</w:t>
            </w:r>
          </w:p>
        </w:tc>
        <w:tc>
          <w:tcPr>
            <w:tcW w:w="8071" w:type="dxa"/>
            <w:gridSpan w:val="5"/>
            <w:vAlign w:val="center"/>
          </w:tcPr>
          <w:p w14:paraId="79A92421">
            <w:pPr>
              <w:numPr>
                <w:ilvl w:val="0"/>
                <w:numId w:val="11"/>
              </w:numPr>
              <w:adjustRightInd w:val="0"/>
              <w:snapToGrid w:val="0"/>
              <w:spacing w:line="340" w:lineRule="exact"/>
              <w:jc w:val="left"/>
              <w:rPr>
                <w:color w:val="auto"/>
                <w:sz w:val="24"/>
              </w:rPr>
            </w:pPr>
            <w:r>
              <w:rPr>
                <w:rFonts w:hAnsi="宋体"/>
                <w:color w:val="auto"/>
                <w:sz w:val="24"/>
              </w:rPr>
              <w:t>对</w:t>
            </w:r>
            <w:r>
              <w:rPr>
                <w:rFonts w:hint="eastAsia" w:hAnsi="宋体"/>
                <w:color w:val="auto"/>
                <w:sz w:val="24"/>
              </w:rPr>
              <w:t>生产车间</w:t>
            </w:r>
            <w:r>
              <w:rPr>
                <w:rFonts w:hAnsi="宋体"/>
                <w:color w:val="auto"/>
                <w:sz w:val="24"/>
              </w:rPr>
              <w:t>地面进行硬化处理；</w:t>
            </w:r>
          </w:p>
          <w:p w14:paraId="0BAA2397">
            <w:pPr>
              <w:numPr>
                <w:ilvl w:val="0"/>
                <w:numId w:val="11"/>
              </w:numPr>
              <w:adjustRightInd w:val="0"/>
              <w:snapToGrid w:val="0"/>
              <w:spacing w:line="340" w:lineRule="exact"/>
              <w:jc w:val="left"/>
              <w:rPr>
                <w:color w:val="auto"/>
                <w:sz w:val="24"/>
              </w:rPr>
            </w:pPr>
            <w:r>
              <w:rPr>
                <w:rFonts w:hAnsi="宋体"/>
                <w:color w:val="auto"/>
                <w:sz w:val="24"/>
              </w:rPr>
              <w:t>危险暂存区按照</w:t>
            </w:r>
            <w:r>
              <w:rPr>
                <w:rFonts w:hint="eastAsia"/>
                <w:color w:val="auto"/>
                <w:sz w:val="24"/>
              </w:rPr>
              <w:t>《危险废物贮存污染控制标准》（</w:t>
            </w:r>
            <w:r>
              <w:rPr>
                <w:color w:val="auto"/>
                <w:sz w:val="24"/>
              </w:rPr>
              <w:t>GB18597-20</w:t>
            </w:r>
            <w:r>
              <w:rPr>
                <w:rFonts w:hint="eastAsia"/>
                <w:color w:val="auto"/>
                <w:sz w:val="24"/>
              </w:rPr>
              <w:t>23）</w:t>
            </w:r>
            <w:r>
              <w:rPr>
                <w:rFonts w:hAnsi="宋体"/>
                <w:color w:val="auto"/>
                <w:sz w:val="24"/>
              </w:rPr>
              <w:t>中的防渗要求进行；</w:t>
            </w:r>
          </w:p>
        </w:tc>
      </w:tr>
      <w:tr w14:paraId="3AB45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00" w:type="dxa"/>
            <w:vAlign w:val="center"/>
          </w:tcPr>
          <w:p w14:paraId="0AE4CB0C">
            <w:pPr>
              <w:adjustRightInd w:val="0"/>
              <w:snapToGrid w:val="0"/>
              <w:jc w:val="center"/>
              <w:rPr>
                <w:color w:val="auto"/>
                <w:sz w:val="24"/>
              </w:rPr>
            </w:pPr>
            <w:r>
              <w:rPr>
                <w:rFonts w:hAnsi="宋体"/>
                <w:color w:val="auto"/>
                <w:sz w:val="24"/>
              </w:rPr>
              <w:t>生态保护措施</w:t>
            </w:r>
          </w:p>
        </w:tc>
        <w:tc>
          <w:tcPr>
            <w:tcW w:w="8071" w:type="dxa"/>
            <w:gridSpan w:val="5"/>
            <w:vAlign w:val="center"/>
          </w:tcPr>
          <w:p w14:paraId="3F03009F">
            <w:pPr>
              <w:adjustRightInd w:val="0"/>
              <w:snapToGrid w:val="0"/>
              <w:spacing w:line="340" w:lineRule="exact"/>
              <w:jc w:val="center"/>
              <w:rPr>
                <w:color w:val="auto"/>
                <w:sz w:val="24"/>
              </w:rPr>
            </w:pPr>
            <w:r>
              <w:rPr>
                <w:color w:val="auto"/>
                <w:sz w:val="24"/>
              </w:rPr>
              <w:t>/</w:t>
            </w:r>
          </w:p>
        </w:tc>
      </w:tr>
      <w:tr w14:paraId="67E34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00" w:type="dxa"/>
            <w:vAlign w:val="center"/>
          </w:tcPr>
          <w:p w14:paraId="626F525C">
            <w:pPr>
              <w:adjustRightInd w:val="0"/>
              <w:snapToGrid w:val="0"/>
              <w:jc w:val="center"/>
              <w:rPr>
                <w:color w:val="auto"/>
                <w:spacing w:val="-8"/>
                <w:sz w:val="24"/>
              </w:rPr>
            </w:pPr>
            <w:r>
              <w:rPr>
                <w:rFonts w:hAnsi="宋体"/>
                <w:color w:val="auto"/>
                <w:spacing w:val="-8"/>
                <w:sz w:val="24"/>
              </w:rPr>
              <w:t>环境风险防范措施</w:t>
            </w:r>
          </w:p>
        </w:tc>
        <w:tc>
          <w:tcPr>
            <w:tcW w:w="8071" w:type="dxa"/>
            <w:gridSpan w:val="5"/>
            <w:vAlign w:val="center"/>
          </w:tcPr>
          <w:p w14:paraId="57DD6E60">
            <w:pPr>
              <w:pStyle w:val="80"/>
              <w:snapToGrid w:val="0"/>
              <w:spacing w:line="240" w:lineRule="auto"/>
              <w:ind w:firstLine="0" w:firstLineChars="0"/>
              <w:rPr>
                <w:color w:val="auto"/>
              </w:rPr>
            </w:pPr>
            <w:r>
              <w:rPr>
                <w:rFonts w:hint="eastAsia" w:hAnsi="宋体" w:eastAsia="宋体"/>
                <w:color w:val="auto"/>
              </w:rPr>
              <w:t>要求企业设置标准化危废暂存间，做好防扬散、防流失、防渗漏措施，安装防雨棚，防止雨水冲刷，同时做好及时清运工作及危险品的贮存、交接、外运等台账记录。</w:t>
            </w:r>
          </w:p>
        </w:tc>
      </w:tr>
      <w:tr w14:paraId="4222C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00" w:type="dxa"/>
            <w:vAlign w:val="center"/>
          </w:tcPr>
          <w:p w14:paraId="73BE774D">
            <w:pPr>
              <w:adjustRightInd w:val="0"/>
              <w:snapToGrid w:val="0"/>
              <w:jc w:val="center"/>
              <w:rPr>
                <w:color w:val="auto"/>
                <w:spacing w:val="-8"/>
                <w:sz w:val="24"/>
              </w:rPr>
            </w:pPr>
            <w:r>
              <w:rPr>
                <w:rFonts w:hAnsi="宋体"/>
                <w:color w:val="auto"/>
                <w:spacing w:val="-8"/>
                <w:sz w:val="24"/>
              </w:rPr>
              <w:t>其他环境管理要求</w:t>
            </w:r>
          </w:p>
        </w:tc>
        <w:tc>
          <w:tcPr>
            <w:tcW w:w="8071" w:type="dxa"/>
            <w:gridSpan w:val="5"/>
            <w:vAlign w:val="center"/>
          </w:tcPr>
          <w:p w14:paraId="7B1452C1">
            <w:pPr>
              <w:pStyle w:val="80"/>
              <w:snapToGrid w:val="0"/>
              <w:spacing w:line="240" w:lineRule="auto"/>
              <w:ind w:firstLine="0" w:firstLineChars="0"/>
              <w:rPr>
                <w:rFonts w:hAnsi="宋体" w:eastAsia="宋体"/>
                <w:color w:val="auto"/>
              </w:rPr>
            </w:pPr>
            <w:r>
              <w:rPr>
                <w:rFonts w:hint="eastAsia" w:hAnsi="宋体" w:eastAsia="宋体"/>
                <w:color w:val="auto"/>
              </w:rPr>
              <w:t>1、建设单位如产品方案、工艺、设备、原辅材料消耗（或组分）、厂区平面布置等情况或建设地块发生变化时，应向生态环境部门及时申报，明确是否需要重新进行环境影响评价。</w:t>
            </w:r>
          </w:p>
          <w:p w14:paraId="4B85ACA6">
            <w:pPr>
              <w:pStyle w:val="80"/>
              <w:snapToGrid w:val="0"/>
              <w:spacing w:line="240" w:lineRule="auto"/>
              <w:ind w:firstLine="0" w:firstLineChars="0"/>
              <w:rPr>
                <w:rFonts w:hAnsi="宋体" w:eastAsia="宋体"/>
                <w:color w:val="auto"/>
              </w:rPr>
            </w:pPr>
            <w:r>
              <w:rPr>
                <w:rFonts w:hint="eastAsia" w:hAnsi="宋体" w:eastAsia="宋体"/>
                <w:color w:val="auto"/>
              </w:rPr>
              <w:t>2、根据《排污许可管理办法（试行）》、《固定污染源排污许可分类管理名录（2019年版）》、《固定污染源排污登记工作指南（试行）》等文件的要求，在新建排污单位发生实际排污行为之前，必须依法申领排污许可证（或填报排污登记表）并按证（表）排污。该排污单位的行业类别为“十六.家具制造业21”中的“其他”，建议填报排污登记。项目建成后应当在启动生产设施或者发生实际排污之前填报排污登记表。</w:t>
            </w:r>
          </w:p>
          <w:p w14:paraId="15BD7FBD">
            <w:pPr>
              <w:pStyle w:val="80"/>
              <w:snapToGrid w:val="0"/>
              <w:spacing w:line="240" w:lineRule="auto"/>
              <w:ind w:firstLine="0" w:firstLineChars="0"/>
              <w:rPr>
                <w:rFonts w:hAnsi="宋体" w:eastAsia="宋体"/>
                <w:color w:val="auto"/>
              </w:rPr>
            </w:pPr>
            <w:r>
              <w:rPr>
                <w:rFonts w:hint="eastAsia" w:hAnsi="宋体" w:eastAsia="宋体"/>
                <w:color w:val="auto"/>
              </w:rPr>
              <w:t>3、建设单位应妥善保存各类环保台账5年以上。</w:t>
            </w:r>
          </w:p>
          <w:p w14:paraId="57AC2C90">
            <w:pPr>
              <w:pStyle w:val="2"/>
              <w:rPr>
                <w:color w:val="auto"/>
              </w:rPr>
            </w:pPr>
          </w:p>
          <w:p w14:paraId="6BC0D716">
            <w:pPr>
              <w:pStyle w:val="3"/>
              <w:rPr>
                <w:color w:val="auto"/>
              </w:rPr>
            </w:pPr>
          </w:p>
          <w:p w14:paraId="63EFB67E">
            <w:pPr>
              <w:pStyle w:val="3"/>
              <w:rPr>
                <w:color w:val="auto"/>
              </w:rPr>
            </w:pPr>
          </w:p>
          <w:p w14:paraId="705821E7">
            <w:pPr>
              <w:pStyle w:val="3"/>
              <w:rPr>
                <w:color w:val="auto"/>
              </w:rPr>
            </w:pPr>
          </w:p>
          <w:p w14:paraId="25D869C5">
            <w:pPr>
              <w:pStyle w:val="3"/>
              <w:rPr>
                <w:color w:val="auto"/>
              </w:rPr>
            </w:pPr>
          </w:p>
          <w:p w14:paraId="48814698">
            <w:pPr>
              <w:pStyle w:val="3"/>
              <w:rPr>
                <w:color w:val="auto"/>
              </w:rPr>
            </w:pPr>
          </w:p>
          <w:p w14:paraId="1CA8AD71">
            <w:pPr>
              <w:pStyle w:val="3"/>
              <w:rPr>
                <w:color w:val="auto"/>
              </w:rPr>
            </w:pPr>
          </w:p>
          <w:p w14:paraId="24AC4572">
            <w:pPr>
              <w:pStyle w:val="3"/>
              <w:rPr>
                <w:color w:val="auto"/>
                <w:szCs w:val="20"/>
              </w:rPr>
            </w:pPr>
          </w:p>
        </w:tc>
      </w:tr>
    </w:tbl>
    <w:p w14:paraId="65C0DEB8">
      <w:pPr>
        <w:pStyle w:val="32"/>
        <w:spacing w:before="0" w:beforeAutospacing="0" w:after="0" w:afterAutospacing="0"/>
        <w:jc w:val="center"/>
        <w:outlineLvl w:val="0"/>
        <w:rPr>
          <w:rFonts w:ascii="Times New Roman" w:hAnsi="Times New Roman"/>
          <w:snapToGrid w:val="0"/>
          <w:color w:val="0000FF"/>
          <w:sz w:val="30"/>
          <w:szCs w:val="30"/>
        </w:rPr>
      </w:pPr>
      <w:r>
        <w:rPr>
          <w:rFonts w:ascii="Times New Roman" w:hAnsi="Times New Roman"/>
          <w:snapToGrid w:val="0"/>
          <w:color w:val="0000FF"/>
        </w:rPr>
        <w:br w:type="page"/>
      </w:r>
      <w:bookmarkStart w:id="19" w:name="_Toc15657"/>
      <w:bookmarkStart w:id="20" w:name="_Toc17186"/>
      <w:r>
        <w:rPr>
          <w:rFonts w:ascii="Times New Roman"/>
          <w:snapToGrid w:val="0"/>
          <w:color w:val="0000FF"/>
          <w:sz w:val="30"/>
          <w:szCs w:val="30"/>
        </w:rPr>
        <w:t>六、结论</w:t>
      </w:r>
      <w:bookmarkEnd w:id="19"/>
      <w:bookmarkEnd w:id="20"/>
    </w:p>
    <w:tbl>
      <w:tblPr>
        <w:tblStyle w:val="37"/>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5AF8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2D911CC6">
            <w:pPr>
              <w:pStyle w:val="104"/>
              <w:ind w:firstLine="0" w:firstLineChars="0"/>
              <w:jc w:val="left"/>
              <w:rPr>
                <w:rFonts w:hAnsi="宋体"/>
                <w:b/>
                <w:color w:val="0000FF"/>
              </w:rPr>
            </w:pPr>
          </w:p>
          <w:p w14:paraId="44B5364A">
            <w:pPr>
              <w:pStyle w:val="104"/>
              <w:ind w:firstLine="0" w:firstLineChars="0"/>
              <w:rPr>
                <w:rFonts w:hAnsi="宋体"/>
                <w:b/>
                <w:color w:val="0000FF"/>
              </w:rPr>
            </w:pPr>
          </w:p>
          <w:p w14:paraId="220A6A3F">
            <w:pPr>
              <w:pStyle w:val="104"/>
              <w:ind w:firstLine="0" w:firstLineChars="0"/>
              <w:rPr>
                <w:rFonts w:hAnsi="宋体"/>
                <w:b/>
                <w:color w:val="0000FF"/>
              </w:rPr>
            </w:pPr>
          </w:p>
          <w:p w14:paraId="6186934E">
            <w:pPr>
              <w:pStyle w:val="104"/>
              <w:ind w:firstLine="0" w:firstLineChars="0"/>
              <w:rPr>
                <w:rFonts w:hAnsi="宋体"/>
                <w:b/>
                <w:color w:val="0000FF"/>
              </w:rPr>
            </w:pPr>
          </w:p>
          <w:p w14:paraId="5A654DE3">
            <w:pPr>
              <w:pStyle w:val="104"/>
              <w:ind w:firstLine="0" w:firstLineChars="0"/>
              <w:rPr>
                <w:rFonts w:hAnsi="宋体"/>
                <w:b/>
                <w:color w:val="0000FF"/>
              </w:rPr>
            </w:pPr>
          </w:p>
          <w:p w14:paraId="133BAC9C">
            <w:pPr>
              <w:pStyle w:val="104"/>
              <w:ind w:firstLine="0" w:firstLineChars="0"/>
              <w:rPr>
                <w:rFonts w:hAnsi="宋体"/>
                <w:b/>
                <w:color w:val="0000FF"/>
              </w:rPr>
            </w:pPr>
          </w:p>
          <w:p w14:paraId="1BDFCDC8">
            <w:pPr>
              <w:pStyle w:val="104"/>
              <w:ind w:firstLine="0" w:firstLineChars="0"/>
              <w:rPr>
                <w:rFonts w:hAnsi="宋体" w:eastAsia="宋体"/>
                <w:b/>
                <w:color w:val="0000FF"/>
              </w:rPr>
            </w:pPr>
            <w:r>
              <w:rPr>
                <w:rFonts w:hint="eastAsia" w:hAnsi="宋体" w:eastAsia="宋体"/>
                <w:b/>
                <w:color w:val="0000FF"/>
              </w:rPr>
              <w:t xml:space="preserve">    </w:t>
            </w:r>
            <w:r>
              <w:rPr>
                <w:rFonts w:hAnsi="宋体" w:eastAsia="宋体"/>
                <w:b/>
                <w:color w:val="0000FF"/>
              </w:rPr>
              <w:t xml:space="preserve">经过本项目建设内容、建设规模、产品方案、生产工艺、污染防治措施、环境影响等进行综合分析，得出以下评价结论： </w:t>
            </w:r>
            <w:r>
              <w:rPr>
                <w:rFonts w:hint="eastAsia" w:hAnsi="宋体" w:eastAsia="宋体"/>
                <w:b/>
                <w:color w:val="0000FF"/>
                <w:lang w:eastAsia="zh-CN"/>
              </w:rPr>
              <w:t>安吉联红五金制品厂年产100万套塑料配件、30万套五金配件迁建项目</w:t>
            </w:r>
            <w:r>
              <w:rPr>
                <w:rFonts w:hAnsi="宋体" w:eastAsia="宋体"/>
                <w:b/>
                <w:color w:val="0000FF"/>
              </w:rPr>
              <w:t>符合当地总体规划，符合国家、地方产业政策，项目营运过程中各类污染源均可得到有效控制并能做到达标排放，基本总量控制和达标排放的原则，对环境影响不大，环境风险较小，项目实施不会改变所在地的环境质量水平和环境功能。 从环保角度看，本项目的实施是可行的。</w:t>
            </w:r>
          </w:p>
          <w:p w14:paraId="1C4D21E0">
            <w:pPr>
              <w:pStyle w:val="104"/>
              <w:ind w:firstLine="0" w:firstLineChars="0"/>
              <w:rPr>
                <w:rFonts w:hAnsi="宋体"/>
                <w:b/>
                <w:color w:val="0000FF"/>
              </w:rPr>
            </w:pPr>
          </w:p>
          <w:p w14:paraId="4F027B44">
            <w:pPr>
              <w:pStyle w:val="104"/>
              <w:ind w:firstLine="0" w:firstLineChars="0"/>
              <w:rPr>
                <w:rFonts w:hAnsi="宋体"/>
                <w:b/>
                <w:color w:val="0000FF"/>
              </w:rPr>
            </w:pPr>
          </w:p>
          <w:p w14:paraId="4B354C28">
            <w:pPr>
              <w:pStyle w:val="104"/>
              <w:ind w:firstLine="0" w:firstLineChars="0"/>
              <w:rPr>
                <w:rFonts w:hAnsi="宋体"/>
                <w:b/>
                <w:color w:val="0000FF"/>
              </w:rPr>
            </w:pPr>
          </w:p>
          <w:p w14:paraId="1FDF4ED1">
            <w:pPr>
              <w:pStyle w:val="104"/>
              <w:ind w:firstLine="0" w:firstLineChars="0"/>
              <w:rPr>
                <w:color w:val="0000FF"/>
              </w:rPr>
            </w:pPr>
          </w:p>
          <w:p w14:paraId="7F74E877">
            <w:pPr>
              <w:pStyle w:val="2"/>
              <w:ind w:firstLine="480"/>
              <w:rPr>
                <w:color w:val="0000FF"/>
                <w:sz w:val="24"/>
              </w:rPr>
            </w:pPr>
          </w:p>
          <w:p w14:paraId="14F9F820">
            <w:pPr>
              <w:pStyle w:val="2"/>
              <w:ind w:firstLine="480"/>
              <w:rPr>
                <w:color w:val="0000FF"/>
                <w:sz w:val="24"/>
              </w:rPr>
            </w:pPr>
          </w:p>
          <w:p w14:paraId="41FE8E15">
            <w:pPr>
              <w:pStyle w:val="2"/>
              <w:ind w:firstLine="480"/>
              <w:rPr>
                <w:color w:val="0000FF"/>
                <w:sz w:val="24"/>
              </w:rPr>
            </w:pPr>
          </w:p>
          <w:p w14:paraId="6BFF4B99">
            <w:pPr>
              <w:pStyle w:val="2"/>
              <w:ind w:firstLine="480"/>
              <w:rPr>
                <w:color w:val="0000FF"/>
                <w:sz w:val="24"/>
              </w:rPr>
            </w:pPr>
          </w:p>
          <w:p w14:paraId="0E1FC90B">
            <w:pPr>
              <w:pStyle w:val="2"/>
              <w:ind w:firstLine="480"/>
              <w:rPr>
                <w:color w:val="0000FF"/>
                <w:sz w:val="24"/>
              </w:rPr>
            </w:pPr>
          </w:p>
          <w:p w14:paraId="0819855D">
            <w:pPr>
              <w:pStyle w:val="2"/>
              <w:ind w:firstLine="480"/>
              <w:rPr>
                <w:color w:val="0000FF"/>
                <w:sz w:val="24"/>
              </w:rPr>
            </w:pPr>
          </w:p>
          <w:p w14:paraId="0F5CAC19">
            <w:pPr>
              <w:pStyle w:val="2"/>
              <w:ind w:firstLine="480"/>
              <w:rPr>
                <w:color w:val="0000FF"/>
                <w:sz w:val="24"/>
              </w:rPr>
            </w:pPr>
          </w:p>
          <w:p w14:paraId="2435813F">
            <w:pPr>
              <w:pStyle w:val="2"/>
              <w:ind w:firstLine="480"/>
              <w:rPr>
                <w:color w:val="0000FF"/>
                <w:sz w:val="24"/>
              </w:rPr>
            </w:pPr>
          </w:p>
          <w:p w14:paraId="0A113D16">
            <w:pPr>
              <w:pStyle w:val="2"/>
              <w:ind w:firstLine="480"/>
              <w:rPr>
                <w:color w:val="0000FF"/>
                <w:sz w:val="24"/>
              </w:rPr>
            </w:pPr>
          </w:p>
          <w:p w14:paraId="16069F6C">
            <w:pPr>
              <w:pStyle w:val="2"/>
              <w:ind w:firstLine="480"/>
              <w:rPr>
                <w:color w:val="0000FF"/>
                <w:sz w:val="24"/>
              </w:rPr>
            </w:pPr>
          </w:p>
          <w:p w14:paraId="00B027E8">
            <w:pPr>
              <w:pStyle w:val="2"/>
              <w:ind w:firstLine="480"/>
              <w:rPr>
                <w:color w:val="0000FF"/>
                <w:sz w:val="24"/>
              </w:rPr>
            </w:pPr>
          </w:p>
          <w:p w14:paraId="1725E7B6">
            <w:pPr>
              <w:pStyle w:val="2"/>
              <w:ind w:firstLine="480"/>
              <w:rPr>
                <w:color w:val="0000FF"/>
                <w:sz w:val="24"/>
              </w:rPr>
            </w:pPr>
          </w:p>
          <w:p w14:paraId="164F7BDC">
            <w:pPr>
              <w:pStyle w:val="2"/>
              <w:ind w:firstLine="480"/>
              <w:rPr>
                <w:color w:val="0000FF"/>
                <w:sz w:val="24"/>
              </w:rPr>
            </w:pPr>
          </w:p>
          <w:p w14:paraId="163530BA">
            <w:pPr>
              <w:pStyle w:val="2"/>
              <w:ind w:firstLine="480"/>
              <w:rPr>
                <w:color w:val="0000FF"/>
                <w:sz w:val="24"/>
              </w:rPr>
            </w:pPr>
          </w:p>
          <w:p w14:paraId="1F2B2133">
            <w:pPr>
              <w:pStyle w:val="2"/>
              <w:ind w:firstLine="480"/>
              <w:rPr>
                <w:color w:val="0000FF"/>
                <w:sz w:val="24"/>
              </w:rPr>
            </w:pPr>
          </w:p>
          <w:p w14:paraId="31B8173B">
            <w:pPr>
              <w:pStyle w:val="2"/>
              <w:ind w:firstLine="480"/>
              <w:rPr>
                <w:color w:val="0000FF"/>
                <w:sz w:val="24"/>
              </w:rPr>
            </w:pPr>
          </w:p>
          <w:p w14:paraId="53AF14A1">
            <w:pPr>
              <w:pStyle w:val="2"/>
              <w:ind w:firstLine="480"/>
              <w:rPr>
                <w:color w:val="0000FF"/>
                <w:sz w:val="24"/>
              </w:rPr>
            </w:pPr>
          </w:p>
        </w:tc>
      </w:tr>
    </w:tbl>
    <w:p w14:paraId="55ECDB10">
      <w:pPr>
        <w:rPr>
          <w:color w:val="auto"/>
        </w:rPr>
        <w:sectPr>
          <w:pgSz w:w="11905" w:h="16838"/>
          <w:pgMar w:top="1701" w:right="1531" w:bottom="2126" w:left="1531" w:header="851" w:footer="850" w:gutter="0"/>
          <w:pgBorders>
            <w:top w:val="none" w:sz="0" w:space="0"/>
            <w:left w:val="none" w:sz="0" w:space="0"/>
            <w:bottom w:val="none" w:sz="0" w:space="0"/>
            <w:right w:val="none" w:sz="0" w:space="0"/>
          </w:pgBorders>
          <w:cols w:space="0" w:num="1"/>
          <w:docGrid w:linePitch="312" w:charSpace="0"/>
        </w:sectPr>
      </w:pPr>
    </w:p>
    <w:p w14:paraId="4289E8C1">
      <w:pPr>
        <w:pStyle w:val="32"/>
        <w:adjustRightInd w:val="0"/>
        <w:snapToGrid w:val="0"/>
        <w:spacing w:before="0" w:beforeAutospacing="0" w:after="0" w:afterAutospacing="0"/>
        <w:outlineLvl w:val="1"/>
        <w:rPr>
          <w:rFonts w:ascii="Times New Roman" w:hAnsi="Times New Roman"/>
          <w:snapToGrid w:val="0"/>
          <w:color w:val="auto"/>
          <w:sz w:val="32"/>
          <w:szCs w:val="32"/>
        </w:rPr>
      </w:pPr>
      <w:r>
        <w:rPr>
          <w:rFonts w:ascii="Times New Roman"/>
          <w:snapToGrid w:val="0"/>
          <w:color w:val="auto"/>
          <w:sz w:val="32"/>
          <w:szCs w:val="32"/>
        </w:rPr>
        <w:t>附表</w:t>
      </w:r>
    </w:p>
    <w:p w14:paraId="172527B9">
      <w:pPr>
        <w:pStyle w:val="32"/>
        <w:adjustRightInd w:val="0"/>
        <w:snapToGrid w:val="0"/>
        <w:spacing w:before="0" w:beforeAutospacing="0" w:after="0" w:afterAutospacing="0"/>
        <w:jc w:val="center"/>
        <w:rPr>
          <w:rFonts w:ascii="Times New Roman" w:hAnsi="Times New Roman"/>
          <w:snapToGrid w:val="0"/>
          <w:color w:val="auto"/>
          <w:sz w:val="38"/>
          <w:szCs w:val="38"/>
        </w:rPr>
      </w:pPr>
      <w:r>
        <w:rPr>
          <w:rFonts w:ascii="Times New Roman"/>
          <w:snapToGrid w:val="0"/>
          <w:color w:val="auto"/>
          <w:sz w:val="38"/>
          <w:szCs w:val="38"/>
        </w:rPr>
        <w:t>建设项目污染物排放量汇总表</w:t>
      </w:r>
    </w:p>
    <w:tbl>
      <w:tblPr>
        <w:tblStyle w:val="3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59"/>
        <w:gridCol w:w="1559"/>
        <w:gridCol w:w="1276"/>
        <w:gridCol w:w="1701"/>
        <w:gridCol w:w="1559"/>
        <w:gridCol w:w="1615"/>
        <w:gridCol w:w="1787"/>
        <w:gridCol w:w="1144"/>
      </w:tblGrid>
      <w:tr w14:paraId="6E22F8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tcBorders>
              <w:tl2br w:val="single" w:color="auto" w:sz="4" w:space="0"/>
            </w:tcBorders>
            <w:tcMar>
              <w:left w:w="28" w:type="dxa"/>
              <w:right w:w="28" w:type="dxa"/>
            </w:tcMar>
            <w:vAlign w:val="center"/>
          </w:tcPr>
          <w:p w14:paraId="5B5FA8E8">
            <w:pPr>
              <w:pStyle w:val="75"/>
              <w:spacing w:beforeLines="0" w:afterLines="0" w:line="240" w:lineRule="auto"/>
              <w:jc w:val="right"/>
              <w:rPr>
                <w:rFonts w:ascii="Times New Roman"/>
                <w:snapToGrid w:val="0"/>
                <w:color w:val="auto"/>
                <w:spacing w:val="-6"/>
                <w:kern w:val="21"/>
                <w:szCs w:val="21"/>
              </w:rPr>
            </w:pPr>
            <w:r>
              <w:rPr>
                <w:rFonts w:ascii="Times New Roman" w:hAnsi="宋体"/>
                <w:snapToGrid w:val="0"/>
                <w:color w:val="auto"/>
                <w:spacing w:val="-6"/>
                <w:kern w:val="21"/>
                <w:szCs w:val="21"/>
              </w:rPr>
              <w:t>项目</w:t>
            </w:r>
          </w:p>
          <w:p w14:paraId="4425C7E8">
            <w:pPr>
              <w:pStyle w:val="75"/>
              <w:spacing w:beforeLines="0" w:afterLines="0" w:line="240" w:lineRule="auto"/>
              <w:jc w:val="left"/>
              <w:rPr>
                <w:rFonts w:ascii="Times New Roman"/>
                <w:snapToGrid w:val="0"/>
                <w:color w:val="auto"/>
                <w:spacing w:val="-6"/>
                <w:kern w:val="21"/>
                <w:szCs w:val="21"/>
              </w:rPr>
            </w:pPr>
            <w:r>
              <w:rPr>
                <w:rFonts w:ascii="Times New Roman" w:hAnsi="宋体"/>
                <w:snapToGrid w:val="0"/>
                <w:color w:val="auto"/>
                <w:spacing w:val="-6"/>
                <w:kern w:val="21"/>
                <w:szCs w:val="21"/>
              </w:rPr>
              <w:t>分类</w:t>
            </w:r>
          </w:p>
        </w:tc>
        <w:tc>
          <w:tcPr>
            <w:tcW w:w="1559" w:type="dxa"/>
            <w:tcMar>
              <w:left w:w="28" w:type="dxa"/>
              <w:right w:w="28" w:type="dxa"/>
            </w:tcMar>
            <w:vAlign w:val="center"/>
          </w:tcPr>
          <w:p w14:paraId="26B9E447">
            <w:pPr>
              <w:pStyle w:val="75"/>
              <w:spacing w:beforeLines="0" w:afterLines="0" w:line="240" w:lineRule="auto"/>
              <w:rPr>
                <w:rFonts w:ascii="Times New Roman"/>
                <w:snapToGrid w:val="0"/>
                <w:color w:val="auto"/>
                <w:spacing w:val="-6"/>
                <w:kern w:val="21"/>
                <w:szCs w:val="21"/>
              </w:rPr>
            </w:pPr>
            <w:r>
              <w:rPr>
                <w:rFonts w:ascii="Times New Roman" w:hAnsi="宋体"/>
                <w:snapToGrid w:val="0"/>
                <w:color w:val="auto"/>
                <w:spacing w:val="-6"/>
                <w:kern w:val="21"/>
                <w:szCs w:val="21"/>
              </w:rPr>
              <w:t>污染物名称</w:t>
            </w:r>
          </w:p>
        </w:tc>
        <w:tc>
          <w:tcPr>
            <w:tcW w:w="1559" w:type="dxa"/>
            <w:tcMar>
              <w:left w:w="28" w:type="dxa"/>
              <w:right w:w="28" w:type="dxa"/>
            </w:tcMar>
            <w:vAlign w:val="center"/>
          </w:tcPr>
          <w:p w14:paraId="0023E418">
            <w:pPr>
              <w:pStyle w:val="75"/>
              <w:spacing w:beforeLines="0" w:afterLines="0" w:line="240" w:lineRule="auto"/>
              <w:rPr>
                <w:rFonts w:ascii="Times New Roman"/>
                <w:snapToGrid w:val="0"/>
                <w:color w:val="auto"/>
                <w:spacing w:val="-6"/>
                <w:kern w:val="21"/>
                <w:szCs w:val="21"/>
              </w:rPr>
            </w:pPr>
            <w:r>
              <w:rPr>
                <w:rFonts w:ascii="Times New Roman" w:hAnsi="宋体"/>
                <w:snapToGrid w:val="0"/>
                <w:color w:val="auto"/>
                <w:spacing w:val="-6"/>
                <w:kern w:val="21"/>
                <w:szCs w:val="21"/>
              </w:rPr>
              <w:t>现有工程</w:t>
            </w:r>
          </w:p>
          <w:p w14:paraId="1423C0F2">
            <w:pPr>
              <w:pStyle w:val="75"/>
              <w:spacing w:beforeLines="0" w:afterLines="0" w:line="240" w:lineRule="auto"/>
              <w:rPr>
                <w:rFonts w:ascii="Times New Roman"/>
                <w:snapToGrid w:val="0"/>
                <w:color w:val="auto"/>
                <w:spacing w:val="-6"/>
                <w:kern w:val="21"/>
                <w:szCs w:val="21"/>
              </w:rPr>
            </w:pPr>
            <w:r>
              <w:rPr>
                <w:rFonts w:ascii="Times New Roman" w:hAnsi="宋体"/>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Ansi="宋体"/>
                <w:color w:val="auto"/>
                <w:kern w:val="2"/>
                <w:szCs w:val="21"/>
              </w:rPr>
              <w:t>①</w:t>
            </w:r>
            <w:r>
              <w:rPr>
                <w:rFonts w:ascii="Times New Roman"/>
                <w:snapToGrid w:val="0"/>
                <w:color w:val="auto"/>
                <w:spacing w:val="-6"/>
                <w:kern w:val="21"/>
                <w:szCs w:val="21"/>
              </w:rPr>
              <w:fldChar w:fldCharType="end"/>
            </w:r>
          </w:p>
        </w:tc>
        <w:tc>
          <w:tcPr>
            <w:tcW w:w="1276" w:type="dxa"/>
            <w:tcMar>
              <w:left w:w="28" w:type="dxa"/>
              <w:right w:w="28" w:type="dxa"/>
            </w:tcMar>
            <w:vAlign w:val="center"/>
          </w:tcPr>
          <w:p w14:paraId="67966446">
            <w:pPr>
              <w:pStyle w:val="75"/>
              <w:spacing w:beforeLines="0" w:afterLines="0" w:line="240" w:lineRule="auto"/>
              <w:rPr>
                <w:rFonts w:ascii="Times New Roman"/>
                <w:snapToGrid w:val="0"/>
                <w:color w:val="auto"/>
                <w:spacing w:val="-6"/>
                <w:kern w:val="21"/>
                <w:szCs w:val="21"/>
              </w:rPr>
            </w:pPr>
            <w:r>
              <w:rPr>
                <w:rFonts w:ascii="Times New Roman" w:hAnsi="宋体"/>
                <w:snapToGrid w:val="0"/>
                <w:color w:val="auto"/>
                <w:spacing w:val="-6"/>
                <w:kern w:val="21"/>
                <w:szCs w:val="21"/>
              </w:rPr>
              <w:t>现有工程</w:t>
            </w:r>
          </w:p>
          <w:p w14:paraId="2D089261">
            <w:pPr>
              <w:pStyle w:val="75"/>
              <w:spacing w:beforeLines="0" w:afterLines="0" w:line="240" w:lineRule="auto"/>
              <w:rPr>
                <w:rFonts w:ascii="Times New Roman"/>
                <w:snapToGrid w:val="0"/>
                <w:color w:val="auto"/>
                <w:spacing w:val="-6"/>
                <w:kern w:val="21"/>
                <w:szCs w:val="21"/>
              </w:rPr>
            </w:pPr>
            <w:r>
              <w:rPr>
                <w:rFonts w:ascii="Times New Roman" w:hAnsi="宋体"/>
                <w:snapToGrid w:val="0"/>
                <w:color w:val="auto"/>
                <w:spacing w:val="-6"/>
                <w:kern w:val="21"/>
                <w:szCs w:val="21"/>
              </w:rPr>
              <w:t>许可排放量</w:t>
            </w:r>
          </w:p>
          <w:p w14:paraId="3B78009C">
            <w:pPr>
              <w:pStyle w:val="7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hAnsi="宋体"/>
                <w:snapToGrid w:val="0"/>
                <w:color w:val="auto"/>
                <w:spacing w:val="-6"/>
                <w:kern w:val="21"/>
                <w:szCs w:val="21"/>
              </w:rPr>
              <w:t>②</w:t>
            </w:r>
            <w:r>
              <w:rPr>
                <w:rFonts w:ascii="Times New Roman"/>
                <w:snapToGrid w:val="0"/>
                <w:color w:val="auto"/>
                <w:spacing w:val="-6"/>
                <w:kern w:val="21"/>
                <w:szCs w:val="21"/>
              </w:rPr>
              <w:fldChar w:fldCharType="end"/>
            </w:r>
          </w:p>
        </w:tc>
        <w:tc>
          <w:tcPr>
            <w:tcW w:w="1701" w:type="dxa"/>
            <w:tcMar>
              <w:left w:w="28" w:type="dxa"/>
              <w:right w:w="28" w:type="dxa"/>
            </w:tcMar>
            <w:vAlign w:val="center"/>
          </w:tcPr>
          <w:p w14:paraId="20DA8E7A">
            <w:pPr>
              <w:pStyle w:val="75"/>
              <w:spacing w:beforeLines="0" w:afterLines="0" w:line="240" w:lineRule="auto"/>
              <w:rPr>
                <w:rFonts w:ascii="Times New Roman"/>
                <w:snapToGrid w:val="0"/>
                <w:color w:val="auto"/>
                <w:spacing w:val="-6"/>
                <w:kern w:val="21"/>
                <w:szCs w:val="21"/>
              </w:rPr>
            </w:pPr>
            <w:r>
              <w:rPr>
                <w:rFonts w:ascii="Times New Roman" w:hAnsi="宋体"/>
                <w:snapToGrid w:val="0"/>
                <w:color w:val="auto"/>
                <w:spacing w:val="-6"/>
                <w:kern w:val="21"/>
                <w:szCs w:val="21"/>
              </w:rPr>
              <w:t>在建工程</w:t>
            </w:r>
          </w:p>
          <w:p w14:paraId="35303A02">
            <w:pPr>
              <w:pStyle w:val="75"/>
              <w:spacing w:beforeLines="0" w:afterLines="0" w:line="240" w:lineRule="auto"/>
              <w:rPr>
                <w:rFonts w:ascii="Times New Roman"/>
                <w:snapToGrid w:val="0"/>
                <w:color w:val="auto"/>
                <w:spacing w:val="-6"/>
                <w:kern w:val="21"/>
                <w:szCs w:val="21"/>
              </w:rPr>
            </w:pPr>
            <w:r>
              <w:rPr>
                <w:rFonts w:ascii="Times New Roman" w:hAnsi="宋体"/>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Ansi="宋体"/>
                <w:color w:val="auto"/>
                <w:kern w:val="2"/>
                <w:szCs w:val="21"/>
              </w:rPr>
              <w:t>③</w:t>
            </w:r>
            <w:r>
              <w:rPr>
                <w:rFonts w:ascii="Times New Roman"/>
                <w:snapToGrid w:val="0"/>
                <w:color w:val="auto"/>
                <w:spacing w:val="-6"/>
                <w:kern w:val="21"/>
                <w:szCs w:val="21"/>
              </w:rPr>
              <w:fldChar w:fldCharType="end"/>
            </w:r>
          </w:p>
        </w:tc>
        <w:tc>
          <w:tcPr>
            <w:tcW w:w="1559" w:type="dxa"/>
            <w:tcMar>
              <w:left w:w="28" w:type="dxa"/>
              <w:right w:w="28" w:type="dxa"/>
            </w:tcMar>
            <w:vAlign w:val="center"/>
          </w:tcPr>
          <w:p w14:paraId="5C730511">
            <w:pPr>
              <w:pStyle w:val="75"/>
              <w:spacing w:beforeLines="0" w:afterLines="0" w:line="240" w:lineRule="auto"/>
              <w:rPr>
                <w:rFonts w:ascii="Times New Roman"/>
                <w:snapToGrid w:val="0"/>
                <w:color w:val="auto"/>
                <w:spacing w:val="-6"/>
                <w:kern w:val="21"/>
                <w:szCs w:val="21"/>
              </w:rPr>
            </w:pPr>
            <w:r>
              <w:rPr>
                <w:rFonts w:ascii="Times New Roman" w:hAnsi="宋体"/>
                <w:snapToGrid w:val="0"/>
                <w:color w:val="auto"/>
                <w:spacing w:val="-6"/>
                <w:kern w:val="21"/>
                <w:szCs w:val="21"/>
              </w:rPr>
              <w:t>本项目</w:t>
            </w:r>
          </w:p>
          <w:p w14:paraId="1FA80601">
            <w:pPr>
              <w:pStyle w:val="75"/>
              <w:spacing w:beforeLines="0" w:afterLines="0" w:line="240" w:lineRule="auto"/>
              <w:rPr>
                <w:rFonts w:ascii="Times New Roman"/>
                <w:snapToGrid w:val="0"/>
                <w:color w:val="auto"/>
                <w:spacing w:val="-6"/>
                <w:kern w:val="21"/>
                <w:szCs w:val="21"/>
              </w:rPr>
            </w:pPr>
            <w:r>
              <w:rPr>
                <w:rFonts w:ascii="Times New Roman" w:hAnsi="宋体"/>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Ansi="宋体"/>
                <w:color w:val="auto"/>
                <w:kern w:val="2"/>
                <w:szCs w:val="21"/>
              </w:rPr>
              <w:t>④</w:t>
            </w:r>
            <w:r>
              <w:rPr>
                <w:rFonts w:ascii="Times New Roman"/>
                <w:snapToGrid w:val="0"/>
                <w:color w:val="auto"/>
                <w:spacing w:val="-6"/>
                <w:kern w:val="21"/>
                <w:szCs w:val="21"/>
              </w:rPr>
              <w:fldChar w:fldCharType="end"/>
            </w:r>
          </w:p>
        </w:tc>
        <w:tc>
          <w:tcPr>
            <w:tcW w:w="1615" w:type="dxa"/>
            <w:tcMar>
              <w:left w:w="28" w:type="dxa"/>
              <w:right w:w="28" w:type="dxa"/>
            </w:tcMar>
            <w:vAlign w:val="center"/>
          </w:tcPr>
          <w:p w14:paraId="24D3464C">
            <w:pPr>
              <w:pStyle w:val="75"/>
              <w:spacing w:beforeLines="0" w:afterLines="0" w:line="240" w:lineRule="auto"/>
              <w:rPr>
                <w:rFonts w:ascii="Times New Roman"/>
                <w:snapToGrid w:val="0"/>
                <w:color w:val="auto"/>
                <w:spacing w:val="-16"/>
                <w:kern w:val="21"/>
                <w:szCs w:val="21"/>
              </w:rPr>
            </w:pPr>
            <w:r>
              <w:rPr>
                <w:rFonts w:ascii="Times New Roman" w:hAnsi="宋体"/>
                <w:snapToGrid w:val="0"/>
                <w:color w:val="auto"/>
                <w:spacing w:val="-16"/>
                <w:kern w:val="21"/>
                <w:szCs w:val="21"/>
              </w:rPr>
              <w:t>以新带老削减量</w:t>
            </w:r>
          </w:p>
          <w:p w14:paraId="77E55C42">
            <w:pPr>
              <w:pStyle w:val="75"/>
              <w:spacing w:beforeLines="0" w:afterLines="0" w:line="240" w:lineRule="auto"/>
              <w:rPr>
                <w:rFonts w:ascii="Times New Roman"/>
                <w:snapToGrid w:val="0"/>
                <w:color w:val="auto"/>
                <w:spacing w:val="-16"/>
                <w:kern w:val="21"/>
                <w:szCs w:val="21"/>
              </w:rPr>
            </w:pPr>
            <w:r>
              <w:rPr>
                <w:rFonts w:ascii="Times New Roman" w:hAnsi="宋体"/>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Ansi="宋体"/>
                <w:color w:val="auto"/>
                <w:kern w:val="2"/>
                <w:szCs w:val="21"/>
              </w:rPr>
              <w:t>⑤</w:t>
            </w:r>
            <w:r>
              <w:rPr>
                <w:rFonts w:ascii="Times New Roman"/>
                <w:snapToGrid w:val="0"/>
                <w:color w:val="auto"/>
                <w:spacing w:val="-16"/>
                <w:kern w:val="21"/>
                <w:szCs w:val="21"/>
              </w:rPr>
              <w:fldChar w:fldCharType="end"/>
            </w:r>
          </w:p>
        </w:tc>
        <w:tc>
          <w:tcPr>
            <w:tcW w:w="1787" w:type="dxa"/>
            <w:tcMar>
              <w:left w:w="28" w:type="dxa"/>
              <w:right w:w="28" w:type="dxa"/>
            </w:tcMar>
            <w:vAlign w:val="center"/>
          </w:tcPr>
          <w:p w14:paraId="56AA4170">
            <w:pPr>
              <w:pStyle w:val="75"/>
              <w:spacing w:beforeLines="0" w:afterLines="0" w:line="240" w:lineRule="auto"/>
              <w:rPr>
                <w:rFonts w:ascii="Times New Roman"/>
                <w:snapToGrid w:val="0"/>
                <w:color w:val="auto"/>
                <w:spacing w:val="-16"/>
                <w:kern w:val="21"/>
                <w:szCs w:val="21"/>
              </w:rPr>
            </w:pPr>
            <w:r>
              <w:rPr>
                <w:rFonts w:ascii="Times New Roman" w:hAnsi="宋体"/>
                <w:snapToGrid w:val="0"/>
                <w:color w:val="auto"/>
                <w:spacing w:val="-16"/>
                <w:kern w:val="21"/>
                <w:szCs w:val="21"/>
              </w:rPr>
              <w:t>本项目建成后</w:t>
            </w:r>
          </w:p>
          <w:p w14:paraId="06B14215">
            <w:pPr>
              <w:pStyle w:val="75"/>
              <w:spacing w:beforeLines="0" w:afterLines="0" w:line="240" w:lineRule="auto"/>
              <w:rPr>
                <w:rFonts w:ascii="Times New Roman"/>
                <w:snapToGrid w:val="0"/>
                <w:color w:val="auto"/>
                <w:spacing w:val="-16"/>
                <w:kern w:val="21"/>
                <w:szCs w:val="21"/>
              </w:rPr>
            </w:pPr>
            <w:r>
              <w:rPr>
                <w:rFonts w:ascii="Times New Roman" w:hAnsi="宋体"/>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Ansi="宋体"/>
                <w:color w:val="auto"/>
                <w:kern w:val="2"/>
                <w:szCs w:val="21"/>
              </w:rPr>
              <w:t>⑥</w:t>
            </w:r>
            <w:r>
              <w:rPr>
                <w:rFonts w:ascii="Times New Roman"/>
                <w:snapToGrid w:val="0"/>
                <w:color w:val="auto"/>
                <w:spacing w:val="-16"/>
                <w:kern w:val="21"/>
                <w:szCs w:val="21"/>
              </w:rPr>
              <w:fldChar w:fldCharType="end"/>
            </w:r>
          </w:p>
        </w:tc>
        <w:tc>
          <w:tcPr>
            <w:tcW w:w="1144" w:type="dxa"/>
            <w:tcMar>
              <w:left w:w="28" w:type="dxa"/>
              <w:right w:w="28" w:type="dxa"/>
            </w:tcMar>
            <w:vAlign w:val="center"/>
          </w:tcPr>
          <w:p w14:paraId="5863C4FF">
            <w:pPr>
              <w:pStyle w:val="75"/>
              <w:spacing w:beforeLines="0" w:afterLines="0" w:line="240" w:lineRule="auto"/>
              <w:rPr>
                <w:rFonts w:ascii="Times New Roman"/>
                <w:snapToGrid w:val="0"/>
                <w:color w:val="auto"/>
                <w:spacing w:val="-6"/>
                <w:kern w:val="21"/>
                <w:szCs w:val="21"/>
              </w:rPr>
            </w:pPr>
            <w:r>
              <w:rPr>
                <w:rFonts w:ascii="Times New Roman" w:hAnsi="宋体"/>
                <w:snapToGrid w:val="0"/>
                <w:color w:val="auto"/>
                <w:spacing w:val="-6"/>
                <w:kern w:val="21"/>
                <w:szCs w:val="21"/>
              </w:rPr>
              <w:t>变化量</w:t>
            </w:r>
          </w:p>
          <w:p w14:paraId="4CFEA632">
            <w:pPr>
              <w:pStyle w:val="75"/>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Ansi="宋体"/>
                <w:color w:val="auto"/>
                <w:kern w:val="2"/>
                <w:szCs w:val="21"/>
              </w:rPr>
              <w:t>⑦</w:t>
            </w:r>
            <w:r>
              <w:rPr>
                <w:rFonts w:ascii="Times New Roman"/>
                <w:snapToGrid w:val="0"/>
                <w:color w:val="auto"/>
                <w:spacing w:val="-6"/>
                <w:kern w:val="21"/>
                <w:szCs w:val="21"/>
              </w:rPr>
              <w:fldChar w:fldCharType="end"/>
            </w:r>
          </w:p>
        </w:tc>
      </w:tr>
      <w:tr w14:paraId="35E0D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14:paraId="30686275">
            <w:pPr>
              <w:pStyle w:val="75"/>
              <w:spacing w:beforeLines="0" w:afterLines="0" w:line="240" w:lineRule="auto"/>
              <w:rPr>
                <w:rFonts w:ascii="Times New Roman"/>
                <w:snapToGrid w:val="0"/>
                <w:color w:val="auto"/>
                <w:kern w:val="21"/>
                <w:szCs w:val="21"/>
              </w:rPr>
            </w:pPr>
            <w:r>
              <w:rPr>
                <w:rFonts w:ascii="Times New Roman" w:hAnsi="宋体"/>
                <w:snapToGrid w:val="0"/>
                <w:color w:val="auto"/>
                <w:kern w:val="21"/>
                <w:szCs w:val="21"/>
              </w:rPr>
              <w:t>废气</w:t>
            </w:r>
          </w:p>
        </w:tc>
        <w:tc>
          <w:tcPr>
            <w:tcW w:w="1559" w:type="dxa"/>
            <w:vAlign w:val="center"/>
          </w:tcPr>
          <w:p w14:paraId="2A2A4FA8">
            <w:pPr>
              <w:pStyle w:val="75"/>
              <w:spacing w:beforeLines="0" w:afterLines="0" w:line="240" w:lineRule="auto"/>
              <w:rPr>
                <w:rFonts w:ascii="Times New Roman" w:hAnsi="宋体"/>
                <w:snapToGrid w:val="0"/>
                <w:color w:val="auto"/>
                <w:kern w:val="21"/>
                <w:szCs w:val="21"/>
              </w:rPr>
            </w:pPr>
            <w:r>
              <w:rPr>
                <w:rFonts w:hint="eastAsia" w:ascii="Times New Roman" w:hAnsi="宋体"/>
                <w:snapToGrid w:val="0"/>
                <w:color w:val="auto"/>
                <w:kern w:val="21"/>
                <w:szCs w:val="21"/>
              </w:rPr>
              <w:t>工业烟粉尘</w:t>
            </w:r>
          </w:p>
        </w:tc>
        <w:tc>
          <w:tcPr>
            <w:tcW w:w="1559" w:type="dxa"/>
            <w:vAlign w:val="center"/>
          </w:tcPr>
          <w:p w14:paraId="4320A244">
            <w:pPr>
              <w:adjustRightInd w:val="0"/>
              <w:snapToGrid w:val="0"/>
              <w:jc w:val="center"/>
              <w:rPr>
                <w:rFonts w:hint="default" w:eastAsia="宋体"/>
                <w:snapToGrid w:val="0"/>
                <w:color w:val="auto"/>
                <w:kern w:val="21"/>
                <w:szCs w:val="21"/>
                <w:lang w:val="en-US" w:eastAsia="zh-CN"/>
              </w:rPr>
            </w:pPr>
            <w:r>
              <w:rPr>
                <w:rFonts w:hint="eastAsia"/>
                <w:color w:val="auto"/>
                <w:szCs w:val="21"/>
                <w:lang w:val="en-US" w:eastAsia="zh-CN"/>
              </w:rPr>
              <w:t>0.135</w:t>
            </w:r>
          </w:p>
        </w:tc>
        <w:tc>
          <w:tcPr>
            <w:tcW w:w="1276" w:type="dxa"/>
            <w:vAlign w:val="center"/>
          </w:tcPr>
          <w:p w14:paraId="091F3247">
            <w:pPr>
              <w:adjustRightInd w:val="0"/>
              <w:snapToGrid w:val="0"/>
              <w:jc w:val="center"/>
              <w:rPr>
                <w:snapToGrid w:val="0"/>
                <w:color w:val="auto"/>
                <w:kern w:val="21"/>
                <w:szCs w:val="21"/>
              </w:rPr>
            </w:pPr>
            <w:r>
              <w:rPr>
                <w:rFonts w:hint="eastAsia"/>
                <w:color w:val="auto"/>
                <w:szCs w:val="21"/>
                <w:lang w:val="en-US" w:eastAsia="zh-CN"/>
              </w:rPr>
              <w:t>0.135</w:t>
            </w:r>
          </w:p>
        </w:tc>
        <w:tc>
          <w:tcPr>
            <w:tcW w:w="1701" w:type="dxa"/>
            <w:vAlign w:val="center"/>
          </w:tcPr>
          <w:p w14:paraId="32D251D7">
            <w:pPr>
              <w:adjustRightInd w:val="0"/>
              <w:snapToGrid w:val="0"/>
              <w:jc w:val="center"/>
              <w:rPr>
                <w:snapToGrid w:val="0"/>
                <w:color w:val="auto"/>
                <w:kern w:val="21"/>
                <w:szCs w:val="21"/>
              </w:rPr>
            </w:pPr>
            <w:r>
              <w:rPr>
                <w:rFonts w:hint="eastAsia"/>
                <w:snapToGrid w:val="0"/>
                <w:color w:val="auto"/>
                <w:kern w:val="21"/>
                <w:szCs w:val="21"/>
              </w:rPr>
              <w:t>0</w:t>
            </w:r>
          </w:p>
        </w:tc>
        <w:tc>
          <w:tcPr>
            <w:tcW w:w="1559" w:type="dxa"/>
            <w:vAlign w:val="center"/>
          </w:tcPr>
          <w:p w14:paraId="3005E6F2">
            <w:pPr>
              <w:jc w:val="center"/>
              <w:rPr>
                <w:rFonts w:hAnsi="宋体"/>
                <w:bCs/>
                <w:color w:val="auto"/>
                <w:kern w:val="0"/>
                <w:szCs w:val="21"/>
              </w:rPr>
            </w:pPr>
            <w:r>
              <w:rPr>
                <w:rFonts w:hint="eastAsia" w:hAnsi="宋体"/>
                <w:bCs/>
                <w:color w:val="auto"/>
                <w:kern w:val="0"/>
                <w:szCs w:val="21"/>
              </w:rPr>
              <w:t>0.</w:t>
            </w:r>
            <w:r>
              <w:rPr>
                <w:rFonts w:hint="eastAsia" w:hAnsi="宋体"/>
                <w:bCs/>
                <w:color w:val="auto"/>
                <w:kern w:val="0"/>
                <w:szCs w:val="21"/>
                <w:lang w:val="en-US" w:eastAsia="zh-CN"/>
              </w:rPr>
              <w:t>127</w:t>
            </w:r>
            <w:r>
              <w:rPr>
                <w:rFonts w:hint="eastAsia" w:hAnsi="宋体"/>
                <w:bCs/>
                <w:color w:val="auto"/>
                <w:kern w:val="0"/>
                <w:szCs w:val="21"/>
              </w:rPr>
              <w:t>/a</w:t>
            </w:r>
          </w:p>
        </w:tc>
        <w:tc>
          <w:tcPr>
            <w:tcW w:w="1615" w:type="dxa"/>
            <w:vAlign w:val="center"/>
          </w:tcPr>
          <w:p w14:paraId="6BE56669">
            <w:pPr>
              <w:adjustRightInd w:val="0"/>
              <w:snapToGrid w:val="0"/>
              <w:jc w:val="center"/>
              <w:rPr>
                <w:rFonts w:ascii="Times New Roman" w:hAnsi="宋体"/>
                <w:bCs/>
                <w:color w:val="auto"/>
                <w:szCs w:val="21"/>
              </w:rPr>
            </w:pPr>
            <w:r>
              <w:rPr>
                <w:rFonts w:hint="eastAsia"/>
                <w:color w:val="auto"/>
                <w:szCs w:val="21"/>
                <w:lang w:val="en-US" w:eastAsia="zh-CN"/>
              </w:rPr>
              <w:t>0.135</w:t>
            </w:r>
          </w:p>
        </w:tc>
        <w:tc>
          <w:tcPr>
            <w:tcW w:w="1787" w:type="dxa"/>
            <w:vAlign w:val="center"/>
          </w:tcPr>
          <w:p w14:paraId="1C22AE80">
            <w:pPr>
              <w:jc w:val="center"/>
              <w:rPr>
                <w:rFonts w:hAnsi="宋体"/>
                <w:bCs/>
                <w:color w:val="auto"/>
                <w:kern w:val="0"/>
                <w:szCs w:val="21"/>
              </w:rPr>
            </w:pPr>
            <w:r>
              <w:rPr>
                <w:rFonts w:hint="eastAsia" w:hAnsi="宋体"/>
                <w:bCs/>
                <w:color w:val="auto"/>
                <w:kern w:val="0"/>
                <w:szCs w:val="21"/>
              </w:rPr>
              <w:t>0.</w:t>
            </w:r>
            <w:r>
              <w:rPr>
                <w:rFonts w:hint="eastAsia" w:hAnsi="宋体"/>
                <w:bCs/>
                <w:color w:val="auto"/>
                <w:kern w:val="0"/>
                <w:szCs w:val="21"/>
                <w:lang w:val="en-US" w:eastAsia="zh-CN"/>
              </w:rPr>
              <w:t>127</w:t>
            </w:r>
            <w:r>
              <w:rPr>
                <w:rFonts w:hint="eastAsia" w:hAnsi="宋体"/>
                <w:bCs/>
                <w:color w:val="auto"/>
                <w:kern w:val="0"/>
                <w:szCs w:val="21"/>
              </w:rPr>
              <w:t>/a</w:t>
            </w:r>
          </w:p>
        </w:tc>
        <w:tc>
          <w:tcPr>
            <w:tcW w:w="1144" w:type="dxa"/>
            <w:vAlign w:val="center"/>
          </w:tcPr>
          <w:p w14:paraId="1F3BB280">
            <w:pPr>
              <w:jc w:val="center"/>
              <w:rPr>
                <w:rFonts w:hAnsi="宋体"/>
                <w:bCs/>
                <w:color w:val="auto"/>
                <w:kern w:val="0"/>
                <w:szCs w:val="21"/>
              </w:rPr>
            </w:pPr>
            <w:r>
              <w:rPr>
                <w:rFonts w:hint="eastAsia" w:hAnsi="宋体"/>
                <w:bCs/>
                <w:color w:val="auto"/>
                <w:kern w:val="0"/>
                <w:szCs w:val="21"/>
                <w:lang w:val="en-US" w:eastAsia="zh-CN"/>
              </w:rPr>
              <w:t>-0.008</w:t>
            </w:r>
            <w:r>
              <w:rPr>
                <w:rFonts w:hint="eastAsia" w:hAnsi="宋体"/>
                <w:bCs/>
                <w:color w:val="auto"/>
                <w:kern w:val="0"/>
                <w:szCs w:val="21"/>
              </w:rPr>
              <w:t>t/a</w:t>
            </w:r>
          </w:p>
        </w:tc>
      </w:tr>
      <w:tr w14:paraId="57CA4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175BBF5E">
            <w:pPr>
              <w:pStyle w:val="75"/>
              <w:spacing w:beforeLines="0" w:afterLines="0" w:line="240" w:lineRule="auto"/>
              <w:rPr>
                <w:rFonts w:ascii="Times New Roman"/>
                <w:snapToGrid w:val="0"/>
                <w:color w:val="auto"/>
                <w:kern w:val="21"/>
                <w:szCs w:val="21"/>
              </w:rPr>
            </w:pPr>
          </w:p>
        </w:tc>
        <w:tc>
          <w:tcPr>
            <w:tcW w:w="1559" w:type="dxa"/>
            <w:vAlign w:val="center"/>
          </w:tcPr>
          <w:p w14:paraId="6BE8DFEB">
            <w:pPr>
              <w:pStyle w:val="75"/>
              <w:spacing w:beforeLines="0" w:afterLines="0" w:line="240" w:lineRule="auto"/>
              <w:rPr>
                <w:rFonts w:ascii="Times New Roman"/>
                <w:snapToGrid w:val="0"/>
                <w:color w:val="auto"/>
                <w:kern w:val="21"/>
                <w:szCs w:val="21"/>
              </w:rPr>
            </w:pPr>
            <w:r>
              <w:rPr>
                <w:rFonts w:hint="eastAsia" w:ascii="Times New Roman" w:hAnsi="宋体"/>
                <w:snapToGrid w:val="0"/>
                <w:color w:val="auto"/>
                <w:kern w:val="21"/>
                <w:szCs w:val="21"/>
              </w:rPr>
              <w:t>VOC</w:t>
            </w:r>
            <w:r>
              <w:rPr>
                <w:rFonts w:hint="eastAsia" w:ascii="Times New Roman" w:hAnsi="宋体"/>
                <w:snapToGrid w:val="0"/>
                <w:color w:val="auto"/>
                <w:kern w:val="21"/>
                <w:szCs w:val="21"/>
                <w:vertAlign w:val="subscript"/>
              </w:rPr>
              <w:t>S</w:t>
            </w:r>
            <w:r>
              <w:rPr>
                <w:rFonts w:ascii="Times New Roman"/>
                <w:snapToGrid w:val="0"/>
                <w:color w:val="auto"/>
                <w:kern w:val="21"/>
                <w:szCs w:val="21"/>
              </w:rPr>
              <w:t xml:space="preserve"> </w:t>
            </w:r>
          </w:p>
        </w:tc>
        <w:tc>
          <w:tcPr>
            <w:tcW w:w="1559" w:type="dxa"/>
            <w:vAlign w:val="center"/>
          </w:tcPr>
          <w:p w14:paraId="463CD398">
            <w:pPr>
              <w:adjustRightInd w:val="0"/>
              <w:snapToGrid w:val="0"/>
              <w:jc w:val="center"/>
              <w:rPr>
                <w:rFonts w:hint="default" w:eastAsia="宋体"/>
                <w:snapToGrid w:val="0"/>
                <w:color w:val="auto"/>
                <w:kern w:val="21"/>
                <w:szCs w:val="21"/>
                <w:lang w:val="en-US" w:eastAsia="zh-CN"/>
              </w:rPr>
            </w:pPr>
            <w:r>
              <w:rPr>
                <w:rFonts w:hint="eastAsia"/>
                <w:snapToGrid w:val="0"/>
                <w:color w:val="auto"/>
                <w:kern w:val="21"/>
                <w:szCs w:val="21"/>
              </w:rPr>
              <w:t>0</w:t>
            </w:r>
            <w:r>
              <w:rPr>
                <w:rFonts w:hint="eastAsia"/>
                <w:snapToGrid w:val="0"/>
                <w:color w:val="auto"/>
                <w:kern w:val="21"/>
                <w:szCs w:val="21"/>
                <w:lang w:val="en-US" w:eastAsia="zh-CN"/>
              </w:rPr>
              <w:t>.055</w:t>
            </w:r>
          </w:p>
        </w:tc>
        <w:tc>
          <w:tcPr>
            <w:tcW w:w="1276" w:type="dxa"/>
            <w:vAlign w:val="center"/>
          </w:tcPr>
          <w:p w14:paraId="255A216F">
            <w:pPr>
              <w:adjustRightInd w:val="0"/>
              <w:snapToGrid w:val="0"/>
              <w:jc w:val="center"/>
              <w:rPr>
                <w:snapToGrid w:val="0"/>
                <w:color w:val="auto"/>
                <w:kern w:val="21"/>
                <w:szCs w:val="21"/>
              </w:rPr>
            </w:pPr>
            <w:r>
              <w:rPr>
                <w:rFonts w:hint="eastAsia"/>
                <w:snapToGrid w:val="0"/>
                <w:color w:val="auto"/>
                <w:kern w:val="21"/>
                <w:szCs w:val="21"/>
              </w:rPr>
              <w:t>0</w:t>
            </w:r>
            <w:r>
              <w:rPr>
                <w:rFonts w:hint="eastAsia"/>
                <w:snapToGrid w:val="0"/>
                <w:color w:val="auto"/>
                <w:kern w:val="21"/>
                <w:szCs w:val="21"/>
                <w:lang w:val="en-US" w:eastAsia="zh-CN"/>
              </w:rPr>
              <w:t>.055</w:t>
            </w:r>
          </w:p>
        </w:tc>
        <w:tc>
          <w:tcPr>
            <w:tcW w:w="1701" w:type="dxa"/>
            <w:vAlign w:val="center"/>
          </w:tcPr>
          <w:p w14:paraId="07191838">
            <w:pPr>
              <w:adjustRightInd w:val="0"/>
              <w:snapToGrid w:val="0"/>
              <w:jc w:val="center"/>
              <w:rPr>
                <w:snapToGrid w:val="0"/>
                <w:color w:val="auto"/>
                <w:kern w:val="21"/>
                <w:szCs w:val="21"/>
              </w:rPr>
            </w:pPr>
            <w:r>
              <w:rPr>
                <w:rFonts w:hint="eastAsia"/>
                <w:snapToGrid w:val="0"/>
                <w:color w:val="auto"/>
                <w:kern w:val="21"/>
                <w:szCs w:val="21"/>
              </w:rPr>
              <w:t>0</w:t>
            </w:r>
          </w:p>
        </w:tc>
        <w:tc>
          <w:tcPr>
            <w:tcW w:w="1559" w:type="dxa"/>
            <w:vAlign w:val="center"/>
          </w:tcPr>
          <w:p w14:paraId="143DEC5A">
            <w:pPr>
              <w:jc w:val="center"/>
              <w:rPr>
                <w:color w:val="auto"/>
                <w:szCs w:val="21"/>
              </w:rPr>
            </w:pPr>
            <w:r>
              <w:rPr>
                <w:rFonts w:hint="eastAsia" w:hAnsi="宋体"/>
                <w:bCs/>
                <w:color w:val="auto"/>
                <w:kern w:val="0"/>
                <w:szCs w:val="21"/>
              </w:rPr>
              <w:t>0.05</w:t>
            </w:r>
            <w:r>
              <w:rPr>
                <w:rFonts w:hint="eastAsia" w:hAnsi="宋体"/>
                <w:bCs/>
                <w:color w:val="auto"/>
                <w:kern w:val="0"/>
                <w:szCs w:val="21"/>
                <w:lang w:val="en-US" w:eastAsia="zh-CN"/>
              </w:rPr>
              <w:t>5</w:t>
            </w:r>
            <w:r>
              <w:rPr>
                <w:rFonts w:hint="eastAsia" w:hAnsi="宋体"/>
                <w:bCs/>
                <w:color w:val="auto"/>
                <w:kern w:val="0"/>
                <w:szCs w:val="21"/>
              </w:rPr>
              <w:t>t/a</w:t>
            </w:r>
          </w:p>
        </w:tc>
        <w:tc>
          <w:tcPr>
            <w:tcW w:w="1615" w:type="dxa"/>
            <w:vAlign w:val="center"/>
          </w:tcPr>
          <w:p w14:paraId="73E3FE37">
            <w:pPr>
              <w:adjustRightInd w:val="0"/>
              <w:snapToGrid w:val="0"/>
              <w:jc w:val="center"/>
              <w:rPr>
                <w:rFonts w:ascii="Times New Roman"/>
                <w:snapToGrid w:val="0"/>
                <w:color w:val="auto"/>
                <w:kern w:val="21"/>
                <w:szCs w:val="21"/>
              </w:rPr>
            </w:pPr>
            <w:r>
              <w:rPr>
                <w:rFonts w:hint="eastAsia"/>
                <w:snapToGrid w:val="0"/>
                <w:color w:val="auto"/>
                <w:kern w:val="21"/>
                <w:szCs w:val="21"/>
              </w:rPr>
              <w:t>0</w:t>
            </w:r>
            <w:r>
              <w:rPr>
                <w:rFonts w:hint="eastAsia"/>
                <w:snapToGrid w:val="0"/>
                <w:color w:val="auto"/>
                <w:kern w:val="21"/>
                <w:szCs w:val="21"/>
                <w:lang w:val="en-US" w:eastAsia="zh-CN"/>
              </w:rPr>
              <w:t>.055</w:t>
            </w:r>
          </w:p>
        </w:tc>
        <w:tc>
          <w:tcPr>
            <w:tcW w:w="1787" w:type="dxa"/>
            <w:vAlign w:val="center"/>
          </w:tcPr>
          <w:p w14:paraId="7A1324C7">
            <w:pPr>
              <w:jc w:val="center"/>
              <w:rPr>
                <w:color w:val="auto"/>
                <w:szCs w:val="21"/>
              </w:rPr>
            </w:pPr>
            <w:r>
              <w:rPr>
                <w:rFonts w:hint="eastAsia" w:hAnsi="宋体"/>
                <w:bCs/>
                <w:color w:val="auto"/>
                <w:kern w:val="0"/>
                <w:szCs w:val="21"/>
              </w:rPr>
              <w:t>0.05</w:t>
            </w:r>
            <w:r>
              <w:rPr>
                <w:rFonts w:hint="eastAsia" w:hAnsi="宋体"/>
                <w:bCs/>
                <w:color w:val="auto"/>
                <w:kern w:val="0"/>
                <w:szCs w:val="21"/>
                <w:lang w:val="en-US" w:eastAsia="zh-CN"/>
              </w:rPr>
              <w:t>5</w:t>
            </w:r>
            <w:r>
              <w:rPr>
                <w:rFonts w:hint="eastAsia" w:hAnsi="宋体"/>
                <w:bCs/>
                <w:color w:val="auto"/>
                <w:kern w:val="0"/>
                <w:szCs w:val="21"/>
              </w:rPr>
              <w:t>t/a</w:t>
            </w:r>
          </w:p>
        </w:tc>
        <w:tc>
          <w:tcPr>
            <w:tcW w:w="1144" w:type="dxa"/>
            <w:vAlign w:val="center"/>
          </w:tcPr>
          <w:p w14:paraId="779698A5">
            <w:pPr>
              <w:jc w:val="center"/>
              <w:rPr>
                <w:rFonts w:hint="eastAsia" w:eastAsia="宋体"/>
                <w:color w:val="auto"/>
                <w:szCs w:val="21"/>
                <w:lang w:eastAsia="zh-CN"/>
              </w:rPr>
            </w:pPr>
            <w:r>
              <w:rPr>
                <w:rFonts w:hint="eastAsia" w:hAnsi="宋体"/>
                <w:bCs/>
                <w:color w:val="auto"/>
                <w:kern w:val="0"/>
                <w:szCs w:val="21"/>
                <w:lang w:val="en-US" w:eastAsia="zh-CN"/>
              </w:rPr>
              <w:t>0</w:t>
            </w:r>
          </w:p>
        </w:tc>
      </w:tr>
      <w:tr w14:paraId="4410C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14:paraId="6015E030">
            <w:pPr>
              <w:pStyle w:val="75"/>
              <w:spacing w:beforeLines="0" w:afterLines="0" w:line="240" w:lineRule="auto"/>
              <w:rPr>
                <w:rFonts w:ascii="Times New Roman"/>
                <w:snapToGrid w:val="0"/>
                <w:color w:val="auto"/>
                <w:kern w:val="21"/>
                <w:szCs w:val="21"/>
              </w:rPr>
            </w:pPr>
            <w:r>
              <w:rPr>
                <w:rFonts w:ascii="Times New Roman" w:hAnsi="宋体"/>
                <w:snapToGrid w:val="0"/>
                <w:color w:val="auto"/>
                <w:kern w:val="21"/>
                <w:szCs w:val="21"/>
              </w:rPr>
              <w:t>废水</w:t>
            </w:r>
          </w:p>
        </w:tc>
        <w:tc>
          <w:tcPr>
            <w:tcW w:w="1559" w:type="dxa"/>
            <w:vAlign w:val="center"/>
          </w:tcPr>
          <w:p w14:paraId="63DF3F36">
            <w:pPr>
              <w:pStyle w:val="75"/>
              <w:spacing w:beforeLines="0" w:afterLines="0" w:line="240" w:lineRule="auto"/>
              <w:rPr>
                <w:rFonts w:hint="eastAsia" w:ascii="Times New Roman" w:hAnsi="宋体" w:eastAsia="宋体"/>
                <w:snapToGrid w:val="0"/>
                <w:color w:val="auto"/>
                <w:kern w:val="21"/>
                <w:szCs w:val="21"/>
                <w:lang w:val="en-US" w:eastAsia="zh-CN"/>
              </w:rPr>
            </w:pPr>
            <w:r>
              <w:rPr>
                <w:rFonts w:hint="eastAsia" w:ascii="Times New Roman" w:hAnsi="宋体"/>
                <w:snapToGrid w:val="0"/>
                <w:color w:val="auto"/>
                <w:kern w:val="21"/>
                <w:szCs w:val="21"/>
                <w:lang w:val="en-US" w:eastAsia="zh-CN"/>
              </w:rPr>
              <w:t>废水量</w:t>
            </w:r>
          </w:p>
        </w:tc>
        <w:tc>
          <w:tcPr>
            <w:tcW w:w="1559" w:type="dxa"/>
            <w:vAlign w:val="center"/>
          </w:tcPr>
          <w:p w14:paraId="60C86B2F">
            <w:pPr>
              <w:adjustRightInd w:val="0"/>
              <w:snapToGrid w:val="0"/>
              <w:jc w:val="center"/>
              <w:rPr>
                <w:rFonts w:hint="default" w:eastAsia="宋体"/>
                <w:snapToGrid w:val="0"/>
                <w:color w:val="auto"/>
                <w:kern w:val="21"/>
                <w:szCs w:val="21"/>
                <w:lang w:val="en-US" w:eastAsia="zh-CN"/>
              </w:rPr>
            </w:pPr>
            <w:r>
              <w:rPr>
                <w:rFonts w:hint="eastAsia"/>
                <w:snapToGrid w:val="0"/>
                <w:color w:val="auto"/>
                <w:kern w:val="21"/>
                <w:szCs w:val="21"/>
                <w:lang w:val="en-US" w:eastAsia="zh-CN"/>
              </w:rPr>
              <w:t>240</w:t>
            </w:r>
          </w:p>
        </w:tc>
        <w:tc>
          <w:tcPr>
            <w:tcW w:w="1276" w:type="dxa"/>
            <w:vAlign w:val="center"/>
          </w:tcPr>
          <w:p w14:paraId="7C760B29">
            <w:pPr>
              <w:adjustRightInd w:val="0"/>
              <w:snapToGrid w:val="0"/>
              <w:jc w:val="center"/>
              <w:rPr>
                <w:rFonts w:hint="eastAsia"/>
                <w:snapToGrid w:val="0"/>
                <w:color w:val="auto"/>
                <w:kern w:val="21"/>
                <w:szCs w:val="21"/>
              </w:rPr>
            </w:pPr>
            <w:r>
              <w:rPr>
                <w:rFonts w:hint="eastAsia"/>
                <w:snapToGrid w:val="0"/>
                <w:color w:val="auto"/>
                <w:kern w:val="21"/>
                <w:szCs w:val="21"/>
                <w:lang w:val="en-US" w:eastAsia="zh-CN"/>
              </w:rPr>
              <w:t>240</w:t>
            </w:r>
          </w:p>
        </w:tc>
        <w:tc>
          <w:tcPr>
            <w:tcW w:w="1701" w:type="dxa"/>
            <w:vAlign w:val="center"/>
          </w:tcPr>
          <w:p w14:paraId="5837C50D">
            <w:pPr>
              <w:adjustRightInd w:val="0"/>
              <w:snapToGrid w:val="0"/>
              <w:jc w:val="center"/>
              <w:rPr>
                <w:rFonts w:hint="eastAsia"/>
                <w:snapToGrid w:val="0"/>
                <w:color w:val="auto"/>
                <w:kern w:val="21"/>
                <w:szCs w:val="21"/>
              </w:rPr>
            </w:pPr>
            <w:r>
              <w:rPr>
                <w:rFonts w:hint="eastAsia"/>
                <w:snapToGrid w:val="0"/>
                <w:color w:val="auto"/>
                <w:kern w:val="21"/>
                <w:szCs w:val="21"/>
              </w:rPr>
              <w:t>0</w:t>
            </w:r>
          </w:p>
        </w:tc>
        <w:tc>
          <w:tcPr>
            <w:tcW w:w="1559" w:type="dxa"/>
            <w:vAlign w:val="center"/>
          </w:tcPr>
          <w:p w14:paraId="560E50A0">
            <w:pPr>
              <w:jc w:val="center"/>
              <w:rPr>
                <w:rFonts w:hint="default" w:hAnsi="宋体" w:eastAsia="宋体"/>
                <w:bCs/>
                <w:color w:val="auto"/>
                <w:kern w:val="0"/>
                <w:szCs w:val="21"/>
                <w:lang w:val="en-US" w:eastAsia="zh-CN"/>
              </w:rPr>
            </w:pPr>
            <w:r>
              <w:rPr>
                <w:rFonts w:hint="eastAsia" w:hAnsi="宋体"/>
                <w:bCs/>
                <w:color w:val="auto"/>
                <w:kern w:val="0"/>
                <w:szCs w:val="21"/>
                <w:lang w:val="en-US" w:eastAsia="zh-CN"/>
              </w:rPr>
              <w:t>240t/a</w:t>
            </w:r>
          </w:p>
        </w:tc>
        <w:tc>
          <w:tcPr>
            <w:tcW w:w="1615" w:type="dxa"/>
            <w:vAlign w:val="center"/>
          </w:tcPr>
          <w:p w14:paraId="13055F24">
            <w:pPr>
              <w:adjustRightInd w:val="0"/>
              <w:snapToGrid w:val="0"/>
              <w:jc w:val="center"/>
              <w:rPr>
                <w:rFonts w:hint="eastAsia" w:ascii="Times New Roman" w:eastAsia="宋体"/>
                <w:bCs/>
                <w:color w:val="auto"/>
                <w:szCs w:val="21"/>
                <w:lang w:val="en-US" w:eastAsia="zh-CN"/>
              </w:rPr>
            </w:pPr>
            <w:r>
              <w:rPr>
                <w:rFonts w:hint="eastAsia"/>
                <w:snapToGrid w:val="0"/>
                <w:color w:val="auto"/>
                <w:kern w:val="21"/>
                <w:szCs w:val="21"/>
                <w:lang w:val="en-US" w:eastAsia="zh-CN"/>
              </w:rPr>
              <w:t>240</w:t>
            </w:r>
          </w:p>
        </w:tc>
        <w:tc>
          <w:tcPr>
            <w:tcW w:w="1787" w:type="dxa"/>
            <w:vAlign w:val="center"/>
          </w:tcPr>
          <w:p w14:paraId="1393F029">
            <w:pPr>
              <w:jc w:val="center"/>
              <w:rPr>
                <w:rFonts w:hint="eastAsia" w:hAnsi="宋体"/>
                <w:bCs/>
                <w:color w:val="auto"/>
                <w:kern w:val="0"/>
                <w:szCs w:val="21"/>
              </w:rPr>
            </w:pPr>
            <w:r>
              <w:rPr>
                <w:rFonts w:hint="eastAsia" w:hAnsi="宋体"/>
                <w:bCs/>
                <w:color w:val="auto"/>
                <w:kern w:val="0"/>
                <w:szCs w:val="21"/>
                <w:lang w:val="en-US" w:eastAsia="zh-CN"/>
              </w:rPr>
              <w:t>240t/a</w:t>
            </w:r>
          </w:p>
        </w:tc>
        <w:tc>
          <w:tcPr>
            <w:tcW w:w="1144" w:type="dxa"/>
            <w:vAlign w:val="center"/>
          </w:tcPr>
          <w:p w14:paraId="76CDF05D">
            <w:pPr>
              <w:jc w:val="center"/>
              <w:rPr>
                <w:rFonts w:hint="eastAsia" w:hAnsi="宋体"/>
                <w:bCs/>
                <w:color w:val="auto"/>
                <w:kern w:val="0"/>
                <w:szCs w:val="21"/>
              </w:rPr>
            </w:pPr>
            <w:r>
              <w:rPr>
                <w:rFonts w:hint="eastAsia" w:hAnsi="宋体"/>
                <w:bCs/>
                <w:color w:val="auto"/>
                <w:kern w:val="0"/>
                <w:szCs w:val="21"/>
                <w:lang w:val="en-US" w:eastAsia="zh-CN"/>
              </w:rPr>
              <w:t>0</w:t>
            </w:r>
          </w:p>
        </w:tc>
      </w:tr>
      <w:tr w14:paraId="5B912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61E3C4D1">
            <w:pPr>
              <w:pStyle w:val="75"/>
              <w:spacing w:beforeLines="0" w:afterLines="0" w:line="240" w:lineRule="auto"/>
              <w:rPr>
                <w:rFonts w:ascii="Times New Roman"/>
                <w:snapToGrid w:val="0"/>
                <w:color w:val="auto"/>
                <w:kern w:val="21"/>
                <w:szCs w:val="21"/>
              </w:rPr>
            </w:pPr>
          </w:p>
        </w:tc>
        <w:tc>
          <w:tcPr>
            <w:tcW w:w="1559" w:type="dxa"/>
            <w:vAlign w:val="center"/>
          </w:tcPr>
          <w:p w14:paraId="6CF38A58">
            <w:pPr>
              <w:pStyle w:val="75"/>
              <w:spacing w:beforeLines="0" w:afterLines="0" w:line="240" w:lineRule="auto"/>
              <w:rPr>
                <w:rFonts w:ascii="Times New Roman"/>
                <w:snapToGrid w:val="0"/>
                <w:color w:val="auto"/>
                <w:kern w:val="21"/>
                <w:szCs w:val="21"/>
              </w:rPr>
            </w:pPr>
            <w:r>
              <w:rPr>
                <w:rFonts w:ascii="Times New Roman"/>
                <w:snapToGrid w:val="0"/>
                <w:color w:val="auto"/>
                <w:kern w:val="21"/>
                <w:szCs w:val="21"/>
              </w:rPr>
              <w:t>COD</w:t>
            </w:r>
            <w:r>
              <w:rPr>
                <w:rFonts w:ascii="Times New Roman"/>
                <w:snapToGrid w:val="0"/>
                <w:color w:val="auto"/>
                <w:kern w:val="21"/>
                <w:szCs w:val="21"/>
                <w:vertAlign w:val="subscript"/>
              </w:rPr>
              <w:t>Cr</w:t>
            </w:r>
          </w:p>
        </w:tc>
        <w:tc>
          <w:tcPr>
            <w:tcW w:w="1559" w:type="dxa"/>
            <w:vAlign w:val="center"/>
          </w:tcPr>
          <w:p w14:paraId="63443222">
            <w:pPr>
              <w:adjustRightInd w:val="0"/>
              <w:snapToGrid w:val="0"/>
              <w:jc w:val="center"/>
              <w:rPr>
                <w:rFonts w:hint="default" w:eastAsia="宋体"/>
                <w:color w:val="auto"/>
                <w:szCs w:val="21"/>
                <w:lang w:val="en-US" w:eastAsia="zh-CN"/>
              </w:rPr>
            </w:pPr>
            <w:r>
              <w:rPr>
                <w:rFonts w:hint="eastAsia"/>
                <w:snapToGrid w:val="0"/>
                <w:color w:val="auto"/>
                <w:kern w:val="21"/>
                <w:szCs w:val="21"/>
                <w:lang w:val="en-US" w:eastAsia="zh-CN"/>
              </w:rPr>
              <w:t>0.012</w:t>
            </w:r>
          </w:p>
        </w:tc>
        <w:tc>
          <w:tcPr>
            <w:tcW w:w="1276" w:type="dxa"/>
            <w:vAlign w:val="center"/>
          </w:tcPr>
          <w:p w14:paraId="57B29165">
            <w:pPr>
              <w:adjustRightInd w:val="0"/>
              <w:snapToGrid w:val="0"/>
              <w:jc w:val="center"/>
              <w:rPr>
                <w:color w:val="auto"/>
                <w:szCs w:val="21"/>
              </w:rPr>
            </w:pPr>
            <w:r>
              <w:rPr>
                <w:rFonts w:hint="eastAsia"/>
                <w:snapToGrid w:val="0"/>
                <w:color w:val="auto"/>
                <w:kern w:val="21"/>
                <w:szCs w:val="21"/>
                <w:lang w:val="en-US" w:eastAsia="zh-CN"/>
              </w:rPr>
              <w:t>0.012</w:t>
            </w:r>
          </w:p>
        </w:tc>
        <w:tc>
          <w:tcPr>
            <w:tcW w:w="1701" w:type="dxa"/>
            <w:vAlign w:val="center"/>
          </w:tcPr>
          <w:p w14:paraId="2A5F84B9">
            <w:pPr>
              <w:adjustRightInd w:val="0"/>
              <w:snapToGrid w:val="0"/>
              <w:jc w:val="center"/>
              <w:rPr>
                <w:snapToGrid w:val="0"/>
                <w:color w:val="auto"/>
                <w:kern w:val="21"/>
                <w:szCs w:val="21"/>
              </w:rPr>
            </w:pPr>
            <w:r>
              <w:rPr>
                <w:rFonts w:hint="eastAsia"/>
                <w:snapToGrid w:val="0"/>
                <w:color w:val="auto"/>
                <w:kern w:val="21"/>
                <w:szCs w:val="21"/>
              </w:rPr>
              <w:t>0</w:t>
            </w:r>
          </w:p>
        </w:tc>
        <w:tc>
          <w:tcPr>
            <w:tcW w:w="1559" w:type="dxa"/>
            <w:vAlign w:val="center"/>
          </w:tcPr>
          <w:p w14:paraId="39B70B38">
            <w:pPr>
              <w:adjustRightInd w:val="0"/>
              <w:snapToGrid w:val="0"/>
              <w:jc w:val="center"/>
              <w:rPr>
                <w:color w:val="auto"/>
                <w:szCs w:val="21"/>
              </w:rPr>
            </w:pPr>
            <w:r>
              <w:rPr>
                <w:rFonts w:hint="eastAsia"/>
                <w:color w:val="auto"/>
                <w:szCs w:val="21"/>
              </w:rPr>
              <w:t>0.0</w:t>
            </w:r>
            <w:r>
              <w:rPr>
                <w:rFonts w:hint="eastAsia"/>
                <w:color w:val="auto"/>
                <w:szCs w:val="21"/>
                <w:lang w:val="en-US" w:eastAsia="zh-CN"/>
              </w:rPr>
              <w:t>096</w:t>
            </w:r>
            <w:r>
              <w:rPr>
                <w:rFonts w:hint="eastAsia"/>
                <w:color w:val="auto"/>
                <w:szCs w:val="21"/>
              </w:rPr>
              <w:t>t/a</w:t>
            </w:r>
          </w:p>
        </w:tc>
        <w:tc>
          <w:tcPr>
            <w:tcW w:w="1615" w:type="dxa"/>
            <w:vAlign w:val="center"/>
          </w:tcPr>
          <w:p w14:paraId="0B617326">
            <w:pPr>
              <w:adjustRightInd w:val="0"/>
              <w:snapToGrid w:val="0"/>
              <w:jc w:val="center"/>
              <w:rPr>
                <w:color w:val="auto"/>
                <w:szCs w:val="21"/>
              </w:rPr>
            </w:pPr>
            <w:r>
              <w:rPr>
                <w:rFonts w:hint="eastAsia"/>
                <w:snapToGrid w:val="0"/>
                <w:color w:val="auto"/>
                <w:kern w:val="21"/>
                <w:szCs w:val="21"/>
                <w:lang w:val="en-US" w:eastAsia="zh-CN"/>
              </w:rPr>
              <w:t>0.012</w:t>
            </w:r>
          </w:p>
        </w:tc>
        <w:tc>
          <w:tcPr>
            <w:tcW w:w="1787" w:type="dxa"/>
            <w:vAlign w:val="center"/>
          </w:tcPr>
          <w:p w14:paraId="7F043F07">
            <w:pPr>
              <w:adjustRightInd w:val="0"/>
              <w:snapToGrid w:val="0"/>
              <w:jc w:val="center"/>
              <w:rPr>
                <w:color w:val="auto"/>
                <w:szCs w:val="21"/>
              </w:rPr>
            </w:pPr>
            <w:r>
              <w:rPr>
                <w:rFonts w:hint="eastAsia"/>
                <w:color w:val="auto"/>
                <w:szCs w:val="21"/>
              </w:rPr>
              <w:t>0.0</w:t>
            </w:r>
            <w:r>
              <w:rPr>
                <w:rFonts w:hint="eastAsia"/>
                <w:color w:val="auto"/>
                <w:szCs w:val="21"/>
                <w:lang w:val="en-US" w:eastAsia="zh-CN"/>
              </w:rPr>
              <w:t>096</w:t>
            </w:r>
            <w:r>
              <w:rPr>
                <w:rFonts w:hint="eastAsia"/>
                <w:color w:val="auto"/>
                <w:szCs w:val="21"/>
              </w:rPr>
              <w:t>t/a</w:t>
            </w:r>
          </w:p>
        </w:tc>
        <w:tc>
          <w:tcPr>
            <w:tcW w:w="1144" w:type="dxa"/>
            <w:vAlign w:val="center"/>
          </w:tcPr>
          <w:p w14:paraId="6F759EAF">
            <w:pPr>
              <w:adjustRightInd w:val="0"/>
              <w:snapToGrid w:val="0"/>
              <w:jc w:val="center"/>
              <w:rPr>
                <w:snapToGrid w:val="0"/>
                <w:color w:val="auto"/>
                <w:kern w:val="21"/>
                <w:szCs w:val="21"/>
              </w:rPr>
            </w:pPr>
            <w:r>
              <w:rPr>
                <w:rFonts w:hint="eastAsia"/>
                <w:color w:val="auto"/>
                <w:szCs w:val="21"/>
                <w:lang w:val="en-US" w:eastAsia="zh-CN"/>
              </w:rPr>
              <w:t>-</w:t>
            </w:r>
            <w:r>
              <w:rPr>
                <w:rFonts w:hint="eastAsia"/>
                <w:color w:val="auto"/>
                <w:szCs w:val="21"/>
              </w:rPr>
              <w:t>0.02</w:t>
            </w:r>
            <w:r>
              <w:rPr>
                <w:rFonts w:hint="eastAsia"/>
                <w:color w:val="auto"/>
                <w:szCs w:val="21"/>
                <w:lang w:val="en-US" w:eastAsia="zh-CN"/>
              </w:rPr>
              <w:t>0</w:t>
            </w:r>
            <w:r>
              <w:rPr>
                <w:rFonts w:hint="eastAsia"/>
                <w:color w:val="auto"/>
                <w:szCs w:val="21"/>
              </w:rPr>
              <w:t>4t/a</w:t>
            </w:r>
          </w:p>
        </w:tc>
      </w:tr>
      <w:tr w14:paraId="2C9D2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3698D5CC">
            <w:pPr>
              <w:pStyle w:val="75"/>
              <w:spacing w:beforeLines="0" w:afterLines="0" w:line="240" w:lineRule="auto"/>
              <w:rPr>
                <w:rFonts w:ascii="Times New Roman"/>
                <w:snapToGrid w:val="0"/>
                <w:color w:val="auto"/>
                <w:kern w:val="21"/>
                <w:szCs w:val="21"/>
              </w:rPr>
            </w:pPr>
          </w:p>
        </w:tc>
        <w:tc>
          <w:tcPr>
            <w:tcW w:w="1559" w:type="dxa"/>
            <w:vAlign w:val="center"/>
          </w:tcPr>
          <w:p w14:paraId="6C3FD64C">
            <w:pPr>
              <w:pStyle w:val="75"/>
              <w:spacing w:beforeLines="0" w:afterLines="0" w:line="240" w:lineRule="auto"/>
              <w:rPr>
                <w:rFonts w:ascii="Times New Roman"/>
                <w:snapToGrid w:val="0"/>
                <w:color w:val="auto"/>
                <w:kern w:val="21"/>
                <w:szCs w:val="21"/>
              </w:rPr>
            </w:pPr>
            <w:r>
              <w:rPr>
                <w:rFonts w:ascii="Times New Roman" w:hAnsi="宋体"/>
                <w:snapToGrid w:val="0"/>
                <w:color w:val="auto"/>
                <w:kern w:val="21"/>
                <w:szCs w:val="21"/>
              </w:rPr>
              <w:t>氨氮</w:t>
            </w:r>
          </w:p>
        </w:tc>
        <w:tc>
          <w:tcPr>
            <w:tcW w:w="1559" w:type="dxa"/>
            <w:vAlign w:val="center"/>
          </w:tcPr>
          <w:p w14:paraId="2C7A9D9D">
            <w:pPr>
              <w:adjustRightInd w:val="0"/>
              <w:snapToGrid w:val="0"/>
              <w:jc w:val="center"/>
              <w:rPr>
                <w:rFonts w:hint="default" w:eastAsia="宋体"/>
                <w:color w:val="auto"/>
                <w:szCs w:val="21"/>
                <w:lang w:val="en-US" w:eastAsia="zh-CN"/>
              </w:rPr>
            </w:pPr>
            <w:r>
              <w:rPr>
                <w:rFonts w:hint="eastAsia"/>
                <w:color w:val="auto"/>
                <w:szCs w:val="21"/>
                <w:lang w:val="en-US" w:eastAsia="zh-CN"/>
              </w:rPr>
              <w:t>0.0012</w:t>
            </w:r>
          </w:p>
        </w:tc>
        <w:tc>
          <w:tcPr>
            <w:tcW w:w="1276" w:type="dxa"/>
            <w:vAlign w:val="center"/>
          </w:tcPr>
          <w:p w14:paraId="7642E765">
            <w:pPr>
              <w:adjustRightInd w:val="0"/>
              <w:snapToGrid w:val="0"/>
              <w:jc w:val="center"/>
              <w:rPr>
                <w:color w:val="auto"/>
                <w:szCs w:val="21"/>
              </w:rPr>
            </w:pPr>
            <w:r>
              <w:rPr>
                <w:rFonts w:hint="eastAsia"/>
                <w:color w:val="auto"/>
                <w:szCs w:val="21"/>
                <w:lang w:val="en-US" w:eastAsia="zh-CN"/>
              </w:rPr>
              <w:t>0.0012</w:t>
            </w:r>
          </w:p>
        </w:tc>
        <w:tc>
          <w:tcPr>
            <w:tcW w:w="1701" w:type="dxa"/>
            <w:vAlign w:val="center"/>
          </w:tcPr>
          <w:p w14:paraId="4A8E13C1">
            <w:pPr>
              <w:adjustRightInd w:val="0"/>
              <w:snapToGrid w:val="0"/>
              <w:jc w:val="center"/>
              <w:rPr>
                <w:snapToGrid w:val="0"/>
                <w:color w:val="auto"/>
                <w:kern w:val="21"/>
                <w:szCs w:val="21"/>
              </w:rPr>
            </w:pPr>
            <w:r>
              <w:rPr>
                <w:rFonts w:hint="eastAsia"/>
                <w:snapToGrid w:val="0"/>
                <w:color w:val="auto"/>
                <w:kern w:val="21"/>
                <w:szCs w:val="21"/>
              </w:rPr>
              <w:t>0</w:t>
            </w:r>
          </w:p>
        </w:tc>
        <w:tc>
          <w:tcPr>
            <w:tcW w:w="1559" w:type="dxa"/>
            <w:vAlign w:val="center"/>
          </w:tcPr>
          <w:p w14:paraId="0F28EA13">
            <w:pPr>
              <w:adjustRightInd w:val="0"/>
              <w:snapToGrid w:val="0"/>
              <w:jc w:val="center"/>
              <w:rPr>
                <w:color w:val="auto"/>
                <w:szCs w:val="21"/>
              </w:rPr>
            </w:pPr>
            <w:r>
              <w:rPr>
                <w:rFonts w:hint="eastAsia"/>
                <w:color w:val="auto"/>
                <w:szCs w:val="21"/>
              </w:rPr>
              <w:t>0.00</w:t>
            </w:r>
            <w:r>
              <w:rPr>
                <w:rFonts w:hint="eastAsia"/>
                <w:color w:val="auto"/>
                <w:szCs w:val="21"/>
                <w:lang w:val="en-US" w:eastAsia="zh-CN"/>
              </w:rPr>
              <w:t>05</w:t>
            </w:r>
            <w:r>
              <w:rPr>
                <w:rFonts w:hint="eastAsia"/>
                <w:snapToGrid w:val="0"/>
                <w:color w:val="auto"/>
                <w:kern w:val="21"/>
                <w:szCs w:val="21"/>
              </w:rPr>
              <w:t>t/a</w:t>
            </w:r>
          </w:p>
        </w:tc>
        <w:tc>
          <w:tcPr>
            <w:tcW w:w="1615" w:type="dxa"/>
            <w:vAlign w:val="center"/>
          </w:tcPr>
          <w:p w14:paraId="6CCE4123">
            <w:pPr>
              <w:adjustRightInd w:val="0"/>
              <w:snapToGrid w:val="0"/>
              <w:jc w:val="center"/>
              <w:rPr>
                <w:color w:val="auto"/>
                <w:szCs w:val="21"/>
              </w:rPr>
            </w:pPr>
            <w:r>
              <w:rPr>
                <w:rFonts w:hint="eastAsia"/>
                <w:color w:val="auto"/>
                <w:szCs w:val="21"/>
                <w:lang w:val="en-US" w:eastAsia="zh-CN"/>
              </w:rPr>
              <w:t>0.0012</w:t>
            </w:r>
          </w:p>
        </w:tc>
        <w:tc>
          <w:tcPr>
            <w:tcW w:w="1787" w:type="dxa"/>
            <w:vAlign w:val="center"/>
          </w:tcPr>
          <w:p w14:paraId="3DF2ECAF">
            <w:pPr>
              <w:adjustRightInd w:val="0"/>
              <w:snapToGrid w:val="0"/>
              <w:jc w:val="center"/>
              <w:rPr>
                <w:color w:val="auto"/>
                <w:szCs w:val="21"/>
              </w:rPr>
            </w:pPr>
            <w:r>
              <w:rPr>
                <w:rFonts w:hint="eastAsia"/>
                <w:color w:val="auto"/>
                <w:szCs w:val="21"/>
              </w:rPr>
              <w:t>0.00</w:t>
            </w:r>
            <w:r>
              <w:rPr>
                <w:rFonts w:hint="eastAsia"/>
                <w:color w:val="auto"/>
                <w:szCs w:val="21"/>
                <w:lang w:val="en-US" w:eastAsia="zh-CN"/>
              </w:rPr>
              <w:t>05</w:t>
            </w:r>
            <w:r>
              <w:rPr>
                <w:rFonts w:hint="eastAsia"/>
                <w:snapToGrid w:val="0"/>
                <w:color w:val="auto"/>
                <w:kern w:val="21"/>
                <w:szCs w:val="21"/>
              </w:rPr>
              <w:t>t/a</w:t>
            </w:r>
          </w:p>
        </w:tc>
        <w:tc>
          <w:tcPr>
            <w:tcW w:w="1144" w:type="dxa"/>
            <w:vAlign w:val="center"/>
          </w:tcPr>
          <w:p w14:paraId="307C1546">
            <w:pPr>
              <w:adjustRightInd w:val="0"/>
              <w:snapToGrid w:val="0"/>
              <w:jc w:val="center"/>
              <w:rPr>
                <w:snapToGrid w:val="0"/>
                <w:color w:val="auto"/>
                <w:kern w:val="21"/>
                <w:szCs w:val="21"/>
              </w:rPr>
            </w:pPr>
            <w:r>
              <w:rPr>
                <w:rFonts w:hint="eastAsia"/>
                <w:color w:val="auto"/>
                <w:szCs w:val="21"/>
                <w:lang w:val="en-US" w:eastAsia="zh-CN"/>
              </w:rPr>
              <w:t>-</w:t>
            </w:r>
            <w:r>
              <w:rPr>
                <w:rFonts w:hint="eastAsia"/>
                <w:color w:val="auto"/>
                <w:szCs w:val="21"/>
              </w:rPr>
              <w:t>0.00</w:t>
            </w:r>
            <w:r>
              <w:rPr>
                <w:rFonts w:hint="eastAsia"/>
                <w:color w:val="auto"/>
                <w:szCs w:val="21"/>
                <w:lang w:val="en-US" w:eastAsia="zh-CN"/>
              </w:rPr>
              <w:t>07</w:t>
            </w:r>
            <w:r>
              <w:rPr>
                <w:rFonts w:hint="eastAsia"/>
                <w:snapToGrid w:val="0"/>
                <w:color w:val="auto"/>
                <w:kern w:val="21"/>
                <w:szCs w:val="21"/>
              </w:rPr>
              <w:t>t/a</w:t>
            </w:r>
          </w:p>
        </w:tc>
      </w:tr>
      <w:tr w14:paraId="6046FC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14:paraId="6BBF54A7">
            <w:pPr>
              <w:pStyle w:val="75"/>
              <w:spacing w:beforeLines="0" w:afterLines="0" w:line="240" w:lineRule="auto"/>
              <w:rPr>
                <w:rFonts w:ascii="Times New Roman"/>
                <w:snapToGrid w:val="0"/>
                <w:color w:val="auto"/>
                <w:kern w:val="21"/>
                <w:szCs w:val="21"/>
              </w:rPr>
            </w:pPr>
            <w:r>
              <w:rPr>
                <w:rFonts w:ascii="Times New Roman" w:hAnsi="宋体"/>
                <w:snapToGrid w:val="0"/>
                <w:color w:val="auto"/>
                <w:kern w:val="21"/>
                <w:szCs w:val="21"/>
              </w:rPr>
              <w:t>一般工业</w:t>
            </w:r>
          </w:p>
          <w:p w14:paraId="720D60B8">
            <w:pPr>
              <w:pStyle w:val="75"/>
              <w:spacing w:beforeLines="0" w:afterLines="0" w:line="240" w:lineRule="auto"/>
              <w:rPr>
                <w:rFonts w:ascii="Times New Roman"/>
                <w:snapToGrid w:val="0"/>
                <w:color w:val="auto"/>
                <w:kern w:val="21"/>
                <w:szCs w:val="21"/>
              </w:rPr>
            </w:pPr>
            <w:r>
              <w:rPr>
                <w:rFonts w:ascii="Times New Roman" w:hAnsi="宋体"/>
                <w:snapToGrid w:val="0"/>
                <w:color w:val="auto"/>
                <w:kern w:val="21"/>
                <w:szCs w:val="21"/>
              </w:rPr>
              <w:t>固体废物</w:t>
            </w:r>
          </w:p>
        </w:tc>
        <w:tc>
          <w:tcPr>
            <w:tcW w:w="1559" w:type="dxa"/>
            <w:vAlign w:val="center"/>
          </w:tcPr>
          <w:p w14:paraId="6BA2A8B4">
            <w:pPr>
              <w:jc w:val="center"/>
              <w:rPr>
                <w:color w:val="auto"/>
                <w:szCs w:val="21"/>
              </w:rPr>
            </w:pPr>
            <w:r>
              <w:rPr>
                <w:rFonts w:hint="eastAsia" w:hAnsi="宋体"/>
                <w:color w:val="auto"/>
                <w:szCs w:val="21"/>
              </w:rPr>
              <w:t>一般废弃包装材料</w:t>
            </w:r>
          </w:p>
        </w:tc>
        <w:tc>
          <w:tcPr>
            <w:tcW w:w="1559" w:type="dxa"/>
            <w:vAlign w:val="center"/>
          </w:tcPr>
          <w:p w14:paraId="29150ECC">
            <w:pPr>
              <w:adjustRightInd w:val="0"/>
              <w:snapToGrid w:val="0"/>
              <w:jc w:val="center"/>
              <w:rPr>
                <w:snapToGrid w:val="0"/>
                <w:color w:val="auto"/>
                <w:kern w:val="21"/>
                <w:szCs w:val="21"/>
              </w:rPr>
            </w:pPr>
            <w:r>
              <w:rPr>
                <w:rFonts w:hint="eastAsia"/>
                <w:color w:val="auto"/>
                <w:szCs w:val="21"/>
              </w:rPr>
              <w:t>0</w:t>
            </w:r>
          </w:p>
        </w:tc>
        <w:tc>
          <w:tcPr>
            <w:tcW w:w="1276" w:type="dxa"/>
            <w:vAlign w:val="center"/>
          </w:tcPr>
          <w:p w14:paraId="69A55524">
            <w:pPr>
              <w:adjustRightInd w:val="0"/>
              <w:snapToGrid w:val="0"/>
              <w:jc w:val="center"/>
              <w:rPr>
                <w:snapToGrid w:val="0"/>
                <w:color w:val="auto"/>
                <w:kern w:val="21"/>
                <w:szCs w:val="21"/>
              </w:rPr>
            </w:pPr>
            <w:r>
              <w:rPr>
                <w:rFonts w:hint="eastAsia"/>
                <w:color w:val="auto"/>
                <w:szCs w:val="21"/>
              </w:rPr>
              <w:t>0</w:t>
            </w:r>
          </w:p>
        </w:tc>
        <w:tc>
          <w:tcPr>
            <w:tcW w:w="1701" w:type="dxa"/>
            <w:vAlign w:val="center"/>
          </w:tcPr>
          <w:p w14:paraId="79C3A643">
            <w:pPr>
              <w:adjustRightInd w:val="0"/>
              <w:snapToGrid w:val="0"/>
              <w:jc w:val="center"/>
              <w:rPr>
                <w:snapToGrid w:val="0"/>
                <w:color w:val="auto"/>
                <w:kern w:val="21"/>
                <w:szCs w:val="21"/>
              </w:rPr>
            </w:pPr>
            <w:r>
              <w:rPr>
                <w:rFonts w:hint="eastAsia"/>
                <w:snapToGrid w:val="0"/>
                <w:color w:val="auto"/>
                <w:kern w:val="21"/>
                <w:szCs w:val="21"/>
              </w:rPr>
              <w:t>0</w:t>
            </w:r>
          </w:p>
        </w:tc>
        <w:tc>
          <w:tcPr>
            <w:tcW w:w="1559" w:type="dxa"/>
            <w:vAlign w:val="center"/>
          </w:tcPr>
          <w:p w14:paraId="72F43913">
            <w:pPr>
              <w:tabs>
                <w:tab w:val="left" w:pos="677"/>
              </w:tabs>
              <w:jc w:val="center"/>
              <w:rPr>
                <w:snapToGrid w:val="0"/>
                <w:color w:val="auto"/>
                <w:kern w:val="21"/>
                <w:szCs w:val="21"/>
              </w:rPr>
            </w:pPr>
            <w:r>
              <w:rPr>
                <w:rFonts w:hint="eastAsia"/>
                <w:color w:val="auto"/>
                <w:szCs w:val="21"/>
              </w:rPr>
              <w:t>0.3t/a</w:t>
            </w:r>
          </w:p>
        </w:tc>
        <w:tc>
          <w:tcPr>
            <w:tcW w:w="1615" w:type="dxa"/>
            <w:vAlign w:val="center"/>
          </w:tcPr>
          <w:p w14:paraId="71945D67">
            <w:pPr>
              <w:adjustRightInd w:val="0"/>
              <w:snapToGrid w:val="0"/>
              <w:jc w:val="center"/>
              <w:rPr>
                <w:snapToGrid w:val="0"/>
                <w:color w:val="auto"/>
                <w:kern w:val="21"/>
                <w:szCs w:val="21"/>
              </w:rPr>
            </w:pPr>
            <w:r>
              <w:rPr>
                <w:rFonts w:hint="eastAsia" w:hAnsi="宋体"/>
                <w:bCs/>
                <w:color w:val="auto"/>
                <w:kern w:val="0"/>
                <w:szCs w:val="21"/>
              </w:rPr>
              <w:t>0</w:t>
            </w:r>
          </w:p>
        </w:tc>
        <w:tc>
          <w:tcPr>
            <w:tcW w:w="1787" w:type="dxa"/>
            <w:vAlign w:val="center"/>
          </w:tcPr>
          <w:p w14:paraId="61485B94">
            <w:pPr>
              <w:tabs>
                <w:tab w:val="left" w:pos="677"/>
              </w:tabs>
              <w:jc w:val="center"/>
              <w:rPr>
                <w:snapToGrid w:val="0"/>
                <w:color w:val="auto"/>
                <w:kern w:val="21"/>
                <w:szCs w:val="21"/>
              </w:rPr>
            </w:pPr>
            <w:r>
              <w:rPr>
                <w:rFonts w:hint="eastAsia"/>
                <w:color w:val="auto"/>
                <w:szCs w:val="21"/>
              </w:rPr>
              <w:t>0.3t/a</w:t>
            </w:r>
          </w:p>
        </w:tc>
        <w:tc>
          <w:tcPr>
            <w:tcW w:w="1144" w:type="dxa"/>
            <w:vAlign w:val="center"/>
          </w:tcPr>
          <w:p w14:paraId="1570EA84">
            <w:pPr>
              <w:tabs>
                <w:tab w:val="left" w:pos="677"/>
              </w:tabs>
              <w:jc w:val="center"/>
              <w:rPr>
                <w:snapToGrid w:val="0"/>
                <w:color w:val="auto"/>
                <w:kern w:val="21"/>
                <w:szCs w:val="21"/>
              </w:rPr>
            </w:pPr>
            <w:r>
              <w:rPr>
                <w:rFonts w:hint="eastAsia"/>
                <w:color w:val="auto"/>
                <w:szCs w:val="21"/>
              </w:rPr>
              <w:t>+0.3t/a</w:t>
            </w:r>
          </w:p>
        </w:tc>
      </w:tr>
      <w:tr w14:paraId="31A89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3D6AF213">
            <w:pPr>
              <w:pStyle w:val="75"/>
              <w:spacing w:beforeLines="0" w:afterLines="0" w:line="240" w:lineRule="auto"/>
              <w:rPr>
                <w:rFonts w:ascii="Times New Roman" w:hAnsi="宋体"/>
                <w:snapToGrid w:val="0"/>
                <w:color w:val="auto"/>
                <w:kern w:val="21"/>
                <w:szCs w:val="21"/>
              </w:rPr>
            </w:pPr>
          </w:p>
        </w:tc>
        <w:tc>
          <w:tcPr>
            <w:tcW w:w="1559" w:type="dxa"/>
            <w:vAlign w:val="center"/>
          </w:tcPr>
          <w:p w14:paraId="68734876">
            <w:pPr>
              <w:jc w:val="center"/>
              <w:rPr>
                <w:rFonts w:hAnsi="宋体"/>
                <w:color w:val="auto"/>
                <w:szCs w:val="21"/>
              </w:rPr>
            </w:pPr>
            <w:r>
              <w:rPr>
                <w:rFonts w:hint="eastAsia" w:hAnsi="宋体"/>
                <w:color w:val="auto"/>
                <w:szCs w:val="21"/>
                <w:lang w:val="en-US" w:eastAsia="zh-CN"/>
              </w:rPr>
              <w:t>金属次品及集尘灰</w:t>
            </w:r>
          </w:p>
        </w:tc>
        <w:tc>
          <w:tcPr>
            <w:tcW w:w="1559" w:type="dxa"/>
            <w:vAlign w:val="center"/>
          </w:tcPr>
          <w:p w14:paraId="3091B103">
            <w:pPr>
              <w:adjustRightInd w:val="0"/>
              <w:snapToGrid w:val="0"/>
              <w:jc w:val="center"/>
              <w:rPr>
                <w:rFonts w:hint="default" w:eastAsia="宋体"/>
                <w:color w:val="auto"/>
                <w:szCs w:val="21"/>
                <w:lang w:val="en-US" w:eastAsia="zh-CN"/>
              </w:rPr>
            </w:pPr>
            <w:r>
              <w:rPr>
                <w:rFonts w:hint="eastAsia"/>
                <w:color w:val="auto"/>
                <w:szCs w:val="21"/>
                <w:lang w:val="en-US" w:eastAsia="zh-CN"/>
              </w:rPr>
              <w:t>15</w:t>
            </w:r>
          </w:p>
        </w:tc>
        <w:tc>
          <w:tcPr>
            <w:tcW w:w="1276" w:type="dxa"/>
            <w:vAlign w:val="center"/>
          </w:tcPr>
          <w:p w14:paraId="32E48334">
            <w:pPr>
              <w:adjustRightInd w:val="0"/>
              <w:snapToGrid w:val="0"/>
              <w:jc w:val="center"/>
              <w:rPr>
                <w:rFonts w:hint="default" w:eastAsia="宋体"/>
                <w:color w:val="auto"/>
                <w:szCs w:val="21"/>
                <w:lang w:val="en-US" w:eastAsia="zh-CN"/>
              </w:rPr>
            </w:pPr>
            <w:r>
              <w:rPr>
                <w:rFonts w:hint="eastAsia"/>
                <w:color w:val="auto"/>
                <w:szCs w:val="21"/>
                <w:lang w:val="en-US" w:eastAsia="zh-CN"/>
              </w:rPr>
              <w:t>15</w:t>
            </w:r>
          </w:p>
        </w:tc>
        <w:tc>
          <w:tcPr>
            <w:tcW w:w="1701" w:type="dxa"/>
            <w:vAlign w:val="center"/>
          </w:tcPr>
          <w:p w14:paraId="61E49031">
            <w:pPr>
              <w:adjustRightInd w:val="0"/>
              <w:snapToGrid w:val="0"/>
              <w:jc w:val="center"/>
              <w:rPr>
                <w:snapToGrid w:val="0"/>
                <w:color w:val="auto"/>
                <w:kern w:val="21"/>
                <w:szCs w:val="21"/>
              </w:rPr>
            </w:pPr>
            <w:r>
              <w:rPr>
                <w:rFonts w:hint="eastAsia"/>
                <w:snapToGrid w:val="0"/>
                <w:color w:val="auto"/>
                <w:kern w:val="21"/>
                <w:szCs w:val="21"/>
              </w:rPr>
              <w:t>0</w:t>
            </w:r>
          </w:p>
        </w:tc>
        <w:tc>
          <w:tcPr>
            <w:tcW w:w="1559" w:type="dxa"/>
            <w:vAlign w:val="center"/>
          </w:tcPr>
          <w:p w14:paraId="63269170">
            <w:pPr>
              <w:tabs>
                <w:tab w:val="left" w:pos="677"/>
              </w:tabs>
              <w:jc w:val="center"/>
              <w:rPr>
                <w:color w:val="auto"/>
                <w:szCs w:val="21"/>
              </w:rPr>
            </w:pPr>
            <w:r>
              <w:rPr>
                <w:rFonts w:hint="eastAsia"/>
                <w:color w:val="auto"/>
                <w:szCs w:val="21"/>
                <w:lang w:val="en-US" w:eastAsia="zh-CN"/>
              </w:rPr>
              <w:t>17.014</w:t>
            </w:r>
            <w:r>
              <w:rPr>
                <w:rFonts w:hint="eastAsia"/>
                <w:color w:val="auto"/>
                <w:szCs w:val="21"/>
              </w:rPr>
              <w:t>t/a</w:t>
            </w:r>
          </w:p>
        </w:tc>
        <w:tc>
          <w:tcPr>
            <w:tcW w:w="1615" w:type="dxa"/>
            <w:vAlign w:val="center"/>
          </w:tcPr>
          <w:p w14:paraId="17596FF8">
            <w:pPr>
              <w:adjustRightInd w:val="0"/>
              <w:snapToGrid w:val="0"/>
              <w:jc w:val="center"/>
              <w:rPr>
                <w:rFonts w:hint="default" w:hAnsi="宋体" w:eastAsia="宋体"/>
                <w:bCs/>
                <w:color w:val="auto"/>
                <w:kern w:val="0"/>
                <w:szCs w:val="21"/>
                <w:lang w:val="en-US" w:eastAsia="zh-CN"/>
              </w:rPr>
            </w:pPr>
            <w:r>
              <w:rPr>
                <w:rFonts w:hint="eastAsia" w:hAnsi="宋体"/>
                <w:bCs/>
                <w:color w:val="auto"/>
                <w:kern w:val="0"/>
                <w:szCs w:val="21"/>
                <w:lang w:val="en-US" w:eastAsia="zh-CN"/>
              </w:rPr>
              <w:t>15</w:t>
            </w:r>
          </w:p>
        </w:tc>
        <w:tc>
          <w:tcPr>
            <w:tcW w:w="1787" w:type="dxa"/>
            <w:vAlign w:val="center"/>
          </w:tcPr>
          <w:p w14:paraId="0B36948A">
            <w:pPr>
              <w:tabs>
                <w:tab w:val="left" w:pos="677"/>
              </w:tabs>
              <w:jc w:val="center"/>
              <w:rPr>
                <w:color w:val="auto"/>
                <w:szCs w:val="21"/>
              </w:rPr>
            </w:pPr>
            <w:r>
              <w:rPr>
                <w:rFonts w:hint="eastAsia"/>
                <w:color w:val="auto"/>
                <w:szCs w:val="21"/>
                <w:lang w:val="en-US" w:eastAsia="zh-CN"/>
              </w:rPr>
              <w:t>17.014</w:t>
            </w:r>
            <w:r>
              <w:rPr>
                <w:rFonts w:hint="eastAsia"/>
                <w:color w:val="auto"/>
                <w:szCs w:val="21"/>
              </w:rPr>
              <w:t>t/a</w:t>
            </w:r>
          </w:p>
        </w:tc>
        <w:tc>
          <w:tcPr>
            <w:tcW w:w="1144" w:type="dxa"/>
            <w:vAlign w:val="center"/>
          </w:tcPr>
          <w:p w14:paraId="5F9EE696">
            <w:pPr>
              <w:tabs>
                <w:tab w:val="left" w:pos="677"/>
              </w:tabs>
              <w:jc w:val="center"/>
              <w:rPr>
                <w:color w:val="auto"/>
                <w:szCs w:val="21"/>
              </w:rPr>
            </w:pPr>
            <w:r>
              <w:rPr>
                <w:rFonts w:hint="eastAsia"/>
                <w:color w:val="auto"/>
                <w:szCs w:val="21"/>
              </w:rPr>
              <w:t>+</w:t>
            </w:r>
            <w:r>
              <w:rPr>
                <w:rFonts w:hint="eastAsia"/>
                <w:color w:val="auto"/>
                <w:szCs w:val="21"/>
                <w:lang w:val="en-US" w:eastAsia="zh-CN"/>
              </w:rPr>
              <w:t>2.014</w:t>
            </w:r>
            <w:r>
              <w:rPr>
                <w:rFonts w:hint="eastAsia"/>
                <w:color w:val="auto"/>
                <w:szCs w:val="21"/>
              </w:rPr>
              <w:t>t/a</w:t>
            </w:r>
          </w:p>
        </w:tc>
      </w:tr>
      <w:tr w14:paraId="75558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14:paraId="223DFC2E">
            <w:pPr>
              <w:pStyle w:val="75"/>
              <w:spacing w:before="24" w:after="24"/>
              <w:rPr>
                <w:rFonts w:ascii="Times New Roman"/>
                <w:snapToGrid w:val="0"/>
                <w:color w:val="auto"/>
                <w:kern w:val="21"/>
                <w:szCs w:val="21"/>
              </w:rPr>
            </w:pPr>
            <w:r>
              <w:rPr>
                <w:rFonts w:ascii="Times New Roman" w:hAnsi="宋体"/>
                <w:snapToGrid w:val="0"/>
                <w:color w:val="auto"/>
                <w:kern w:val="21"/>
                <w:szCs w:val="21"/>
              </w:rPr>
              <w:t>危险废物</w:t>
            </w:r>
          </w:p>
        </w:tc>
        <w:tc>
          <w:tcPr>
            <w:tcW w:w="1559" w:type="dxa"/>
            <w:vAlign w:val="center"/>
          </w:tcPr>
          <w:p w14:paraId="70D8F9A0">
            <w:pPr>
              <w:jc w:val="center"/>
              <w:rPr>
                <w:color w:val="auto"/>
                <w:szCs w:val="21"/>
              </w:rPr>
            </w:pPr>
            <w:r>
              <w:rPr>
                <w:rFonts w:hint="eastAsia"/>
                <w:color w:val="auto"/>
                <w:szCs w:val="21"/>
              </w:rPr>
              <w:t>废润滑油</w:t>
            </w:r>
          </w:p>
        </w:tc>
        <w:tc>
          <w:tcPr>
            <w:tcW w:w="1559" w:type="dxa"/>
            <w:vAlign w:val="center"/>
          </w:tcPr>
          <w:p w14:paraId="4D9849BE">
            <w:pPr>
              <w:adjustRightInd w:val="0"/>
              <w:snapToGrid w:val="0"/>
              <w:jc w:val="center"/>
              <w:rPr>
                <w:rFonts w:hint="default" w:eastAsia="宋体"/>
                <w:snapToGrid w:val="0"/>
                <w:color w:val="auto"/>
                <w:kern w:val="21"/>
                <w:szCs w:val="21"/>
                <w:lang w:val="en-US" w:eastAsia="zh-CN"/>
              </w:rPr>
            </w:pPr>
            <w:r>
              <w:rPr>
                <w:rFonts w:hint="eastAsia"/>
                <w:color w:val="auto"/>
                <w:szCs w:val="21"/>
                <w:lang w:val="en-US" w:eastAsia="zh-CN"/>
              </w:rPr>
              <w:t>0.05</w:t>
            </w:r>
          </w:p>
        </w:tc>
        <w:tc>
          <w:tcPr>
            <w:tcW w:w="1276" w:type="dxa"/>
            <w:vAlign w:val="center"/>
          </w:tcPr>
          <w:p w14:paraId="0EF47032">
            <w:pPr>
              <w:adjustRightInd w:val="0"/>
              <w:snapToGrid w:val="0"/>
              <w:jc w:val="center"/>
              <w:rPr>
                <w:snapToGrid w:val="0"/>
                <w:color w:val="auto"/>
                <w:kern w:val="21"/>
                <w:szCs w:val="21"/>
              </w:rPr>
            </w:pPr>
            <w:r>
              <w:rPr>
                <w:rFonts w:hint="eastAsia"/>
                <w:color w:val="auto"/>
                <w:szCs w:val="21"/>
                <w:lang w:val="en-US" w:eastAsia="zh-CN"/>
              </w:rPr>
              <w:t>0.05</w:t>
            </w:r>
          </w:p>
        </w:tc>
        <w:tc>
          <w:tcPr>
            <w:tcW w:w="1701" w:type="dxa"/>
            <w:vAlign w:val="center"/>
          </w:tcPr>
          <w:p w14:paraId="20394B36">
            <w:pPr>
              <w:adjustRightInd w:val="0"/>
              <w:snapToGrid w:val="0"/>
              <w:jc w:val="center"/>
              <w:rPr>
                <w:snapToGrid w:val="0"/>
                <w:color w:val="auto"/>
                <w:kern w:val="21"/>
                <w:szCs w:val="21"/>
              </w:rPr>
            </w:pPr>
            <w:r>
              <w:rPr>
                <w:rFonts w:hint="eastAsia"/>
                <w:snapToGrid w:val="0"/>
                <w:color w:val="auto"/>
                <w:kern w:val="21"/>
                <w:szCs w:val="21"/>
              </w:rPr>
              <w:t>0</w:t>
            </w:r>
          </w:p>
        </w:tc>
        <w:tc>
          <w:tcPr>
            <w:tcW w:w="1559" w:type="dxa"/>
            <w:vAlign w:val="center"/>
          </w:tcPr>
          <w:p w14:paraId="4B9FCCE4">
            <w:pPr>
              <w:tabs>
                <w:tab w:val="left" w:pos="677"/>
              </w:tabs>
              <w:jc w:val="center"/>
              <w:rPr>
                <w:color w:val="auto"/>
                <w:szCs w:val="21"/>
              </w:rPr>
            </w:pPr>
            <w:r>
              <w:rPr>
                <w:rFonts w:hint="eastAsia"/>
                <w:color w:val="auto"/>
                <w:szCs w:val="21"/>
              </w:rPr>
              <w:t>0.1t/a</w:t>
            </w:r>
          </w:p>
        </w:tc>
        <w:tc>
          <w:tcPr>
            <w:tcW w:w="1615" w:type="dxa"/>
            <w:vAlign w:val="center"/>
          </w:tcPr>
          <w:p w14:paraId="38E738EC">
            <w:pPr>
              <w:adjustRightInd w:val="0"/>
              <w:snapToGrid w:val="0"/>
              <w:jc w:val="center"/>
              <w:rPr>
                <w:snapToGrid w:val="0"/>
                <w:color w:val="auto"/>
                <w:kern w:val="21"/>
                <w:szCs w:val="21"/>
              </w:rPr>
            </w:pPr>
            <w:r>
              <w:rPr>
                <w:rFonts w:hint="eastAsia"/>
                <w:color w:val="auto"/>
                <w:szCs w:val="21"/>
                <w:lang w:val="en-US" w:eastAsia="zh-CN"/>
              </w:rPr>
              <w:t>0.05</w:t>
            </w:r>
          </w:p>
        </w:tc>
        <w:tc>
          <w:tcPr>
            <w:tcW w:w="1787" w:type="dxa"/>
            <w:vAlign w:val="center"/>
          </w:tcPr>
          <w:p w14:paraId="4DC5F50E">
            <w:pPr>
              <w:tabs>
                <w:tab w:val="left" w:pos="677"/>
              </w:tabs>
              <w:jc w:val="center"/>
              <w:rPr>
                <w:color w:val="auto"/>
                <w:szCs w:val="21"/>
              </w:rPr>
            </w:pPr>
            <w:r>
              <w:rPr>
                <w:rFonts w:hint="eastAsia"/>
                <w:color w:val="auto"/>
                <w:szCs w:val="21"/>
              </w:rPr>
              <w:t>0.1t/a</w:t>
            </w:r>
          </w:p>
        </w:tc>
        <w:tc>
          <w:tcPr>
            <w:tcW w:w="1144" w:type="dxa"/>
            <w:vAlign w:val="center"/>
          </w:tcPr>
          <w:p w14:paraId="3243F5C8">
            <w:pPr>
              <w:tabs>
                <w:tab w:val="left" w:pos="677"/>
              </w:tabs>
              <w:jc w:val="center"/>
              <w:rPr>
                <w:color w:val="auto"/>
                <w:szCs w:val="21"/>
              </w:rPr>
            </w:pPr>
            <w:r>
              <w:rPr>
                <w:rFonts w:hint="eastAsia"/>
                <w:color w:val="auto"/>
                <w:szCs w:val="21"/>
              </w:rPr>
              <w:t>+0.</w:t>
            </w:r>
            <w:r>
              <w:rPr>
                <w:rFonts w:hint="eastAsia"/>
                <w:color w:val="auto"/>
                <w:szCs w:val="21"/>
                <w:lang w:val="en-US" w:eastAsia="zh-CN"/>
              </w:rPr>
              <w:t>05</w:t>
            </w:r>
            <w:r>
              <w:rPr>
                <w:rFonts w:hint="eastAsia"/>
                <w:color w:val="auto"/>
                <w:szCs w:val="21"/>
              </w:rPr>
              <w:t>/a</w:t>
            </w:r>
          </w:p>
        </w:tc>
      </w:tr>
      <w:tr w14:paraId="355EA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5634BCFB">
            <w:pPr>
              <w:pStyle w:val="75"/>
              <w:spacing w:before="24" w:after="24"/>
              <w:rPr>
                <w:rFonts w:ascii="Times New Roman"/>
                <w:snapToGrid w:val="0"/>
                <w:color w:val="auto"/>
                <w:kern w:val="21"/>
                <w:szCs w:val="21"/>
              </w:rPr>
            </w:pPr>
          </w:p>
        </w:tc>
        <w:tc>
          <w:tcPr>
            <w:tcW w:w="1559" w:type="dxa"/>
            <w:vAlign w:val="center"/>
          </w:tcPr>
          <w:p w14:paraId="0E97F3B3">
            <w:pPr>
              <w:jc w:val="center"/>
              <w:rPr>
                <w:color w:val="auto"/>
                <w:szCs w:val="21"/>
              </w:rPr>
            </w:pPr>
            <w:r>
              <w:rPr>
                <w:rFonts w:hint="eastAsia"/>
                <w:color w:val="auto"/>
                <w:szCs w:val="21"/>
              </w:rPr>
              <w:t>废油桶</w:t>
            </w:r>
          </w:p>
        </w:tc>
        <w:tc>
          <w:tcPr>
            <w:tcW w:w="1559" w:type="dxa"/>
            <w:vAlign w:val="center"/>
          </w:tcPr>
          <w:p w14:paraId="0F34BDDC">
            <w:pPr>
              <w:adjustRightInd w:val="0"/>
              <w:snapToGrid w:val="0"/>
              <w:jc w:val="center"/>
              <w:rPr>
                <w:snapToGrid w:val="0"/>
                <w:color w:val="auto"/>
                <w:kern w:val="21"/>
                <w:szCs w:val="21"/>
              </w:rPr>
            </w:pPr>
            <w:r>
              <w:rPr>
                <w:rFonts w:hint="eastAsia"/>
                <w:color w:val="auto"/>
                <w:szCs w:val="21"/>
              </w:rPr>
              <w:t>0</w:t>
            </w:r>
          </w:p>
        </w:tc>
        <w:tc>
          <w:tcPr>
            <w:tcW w:w="1276" w:type="dxa"/>
            <w:vAlign w:val="center"/>
          </w:tcPr>
          <w:p w14:paraId="0117DC7D">
            <w:pPr>
              <w:adjustRightInd w:val="0"/>
              <w:snapToGrid w:val="0"/>
              <w:jc w:val="center"/>
              <w:rPr>
                <w:snapToGrid w:val="0"/>
                <w:color w:val="auto"/>
                <w:kern w:val="21"/>
                <w:szCs w:val="21"/>
              </w:rPr>
            </w:pPr>
            <w:r>
              <w:rPr>
                <w:rFonts w:hint="eastAsia"/>
                <w:color w:val="auto"/>
                <w:szCs w:val="21"/>
              </w:rPr>
              <w:t>0</w:t>
            </w:r>
          </w:p>
        </w:tc>
        <w:tc>
          <w:tcPr>
            <w:tcW w:w="1701" w:type="dxa"/>
            <w:vAlign w:val="center"/>
          </w:tcPr>
          <w:p w14:paraId="092B4A37">
            <w:pPr>
              <w:adjustRightInd w:val="0"/>
              <w:snapToGrid w:val="0"/>
              <w:jc w:val="center"/>
              <w:rPr>
                <w:snapToGrid w:val="0"/>
                <w:color w:val="auto"/>
                <w:kern w:val="21"/>
                <w:szCs w:val="21"/>
              </w:rPr>
            </w:pPr>
            <w:r>
              <w:rPr>
                <w:rFonts w:hint="eastAsia"/>
                <w:snapToGrid w:val="0"/>
                <w:color w:val="auto"/>
                <w:kern w:val="21"/>
                <w:szCs w:val="21"/>
              </w:rPr>
              <w:t>0</w:t>
            </w:r>
          </w:p>
        </w:tc>
        <w:tc>
          <w:tcPr>
            <w:tcW w:w="1559" w:type="dxa"/>
            <w:vAlign w:val="center"/>
          </w:tcPr>
          <w:p w14:paraId="0926BC2F">
            <w:pPr>
              <w:tabs>
                <w:tab w:val="left" w:pos="677"/>
              </w:tabs>
              <w:jc w:val="center"/>
              <w:rPr>
                <w:color w:val="auto"/>
                <w:szCs w:val="21"/>
              </w:rPr>
            </w:pPr>
            <w:r>
              <w:rPr>
                <w:rFonts w:hint="eastAsia"/>
                <w:color w:val="auto"/>
                <w:szCs w:val="21"/>
              </w:rPr>
              <w:t>0.02t/a</w:t>
            </w:r>
          </w:p>
        </w:tc>
        <w:tc>
          <w:tcPr>
            <w:tcW w:w="1615" w:type="dxa"/>
            <w:vAlign w:val="center"/>
          </w:tcPr>
          <w:p w14:paraId="3EBD6A40">
            <w:pPr>
              <w:adjustRightInd w:val="0"/>
              <w:snapToGrid w:val="0"/>
              <w:jc w:val="center"/>
              <w:rPr>
                <w:snapToGrid w:val="0"/>
                <w:color w:val="auto"/>
                <w:kern w:val="21"/>
                <w:szCs w:val="21"/>
              </w:rPr>
            </w:pPr>
            <w:r>
              <w:rPr>
                <w:rFonts w:hint="eastAsia"/>
                <w:color w:val="auto"/>
                <w:szCs w:val="21"/>
              </w:rPr>
              <w:t>0</w:t>
            </w:r>
          </w:p>
        </w:tc>
        <w:tc>
          <w:tcPr>
            <w:tcW w:w="1787" w:type="dxa"/>
            <w:vAlign w:val="center"/>
          </w:tcPr>
          <w:p w14:paraId="1B53CA4E">
            <w:pPr>
              <w:tabs>
                <w:tab w:val="left" w:pos="677"/>
              </w:tabs>
              <w:jc w:val="center"/>
              <w:rPr>
                <w:color w:val="auto"/>
                <w:szCs w:val="21"/>
              </w:rPr>
            </w:pPr>
            <w:r>
              <w:rPr>
                <w:rFonts w:hint="eastAsia"/>
                <w:color w:val="auto"/>
                <w:szCs w:val="21"/>
              </w:rPr>
              <w:t>0.02t/a</w:t>
            </w:r>
          </w:p>
        </w:tc>
        <w:tc>
          <w:tcPr>
            <w:tcW w:w="1144" w:type="dxa"/>
            <w:vAlign w:val="center"/>
          </w:tcPr>
          <w:p w14:paraId="1526E6DE">
            <w:pPr>
              <w:tabs>
                <w:tab w:val="left" w:pos="677"/>
              </w:tabs>
              <w:jc w:val="center"/>
              <w:rPr>
                <w:color w:val="auto"/>
                <w:szCs w:val="21"/>
              </w:rPr>
            </w:pPr>
            <w:r>
              <w:rPr>
                <w:rFonts w:hint="eastAsia"/>
                <w:color w:val="auto"/>
                <w:szCs w:val="21"/>
              </w:rPr>
              <w:t>+0.02t/a</w:t>
            </w:r>
          </w:p>
        </w:tc>
      </w:tr>
      <w:tr w14:paraId="68029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30627C26">
            <w:pPr>
              <w:pStyle w:val="75"/>
              <w:spacing w:before="24" w:after="24"/>
              <w:rPr>
                <w:rFonts w:ascii="Times New Roman"/>
                <w:snapToGrid w:val="0"/>
                <w:color w:val="auto"/>
                <w:kern w:val="21"/>
                <w:szCs w:val="21"/>
              </w:rPr>
            </w:pPr>
          </w:p>
        </w:tc>
        <w:tc>
          <w:tcPr>
            <w:tcW w:w="1559" w:type="dxa"/>
            <w:vAlign w:val="center"/>
          </w:tcPr>
          <w:p w14:paraId="1CA795D0">
            <w:pPr>
              <w:jc w:val="center"/>
              <w:rPr>
                <w:color w:val="auto"/>
                <w:szCs w:val="21"/>
              </w:rPr>
            </w:pPr>
            <w:r>
              <w:rPr>
                <w:rFonts w:hint="eastAsia"/>
                <w:color w:val="auto"/>
                <w:szCs w:val="21"/>
              </w:rPr>
              <w:t>废含油抹布、劳保用品</w:t>
            </w:r>
          </w:p>
        </w:tc>
        <w:tc>
          <w:tcPr>
            <w:tcW w:w="1559" w:type="dxa"/>
            <w:vAlign w:val="center"/>
          </w:tcPr>
          <w:p w14:paraId="22C12CF7">
            <w:pPr>
              <w:adjustRightInd w:val="0"/>
              <w:snapToGrid w:val="0"/>
              <w:jc w:val="center"/>
              <w:rPr>
                <w:color w:val="auto"/>
                <w:szCs w:val="21"/>
              </w:rPr>
            </w:pPr>
            <w:r>
              <w:rPr>
                <w:rFonts w:hint="eastAsia"/>
                <w:color w:val="auto"/>
                <w:szCs w:val="21"/>
              </w:rPr>
              <w:t>0</w:t>
            </w:r>
          </w:p>
        </w:tc>
        <w:tc>
          <w:tcPr>
            <w:tcW w:w="1276" w:type="dxa"/>
            <w:vAlign w:val="center"/>
          </w:tcPr>
          <w:p w14:paraId="3C7684BA">
            <w:pPr>
              <w:adjustRightInd w:val="0"/>
              <w:snapToGrid w:val="0"/>
              <w:jc w:val="center"/>
              <w:rPr>
                <w:snapToGrid w:val="0"/>
                <w:color w:val="auto"/>
                <w:kern w:val="21"/>
                <w:szCs w:val="21"/>
              </w:rPr>
            </w:pPr>
            <w:r>
              <w:rPr>
                <w:rFonts w:hint="eastAsia"/>
                <w:color w:val="auto"/>
                <w:szCs w:val="21"/>
              </w:rPr>
              <w:t>0</w:t>
            </w:r>
          </w:p>
        </w:tc>
        <w:tc>
          <w:tcPr>
            <w:tcW w:w="1701" w:type="dxa"/>
            <w:vAlign w:val="center"/>
          </w:tcPr>
          <w:p w14:paraId="1329AF54">
            <w:pPr>
              <w:adjustRightInd w:val="0"/>
              <w:snapToGrid w:val="0"/>
              <w:jc w:val="center"/>
              <w:rPr>
                <w:snapToGrid w:val="0"/>
                <w:color w:val="auto"/>
                <w:kern w:val="21"/>
                <w:szCs w:val="21"/>
              </w:rPr>
            </w:pPr>
            <w:r>
              <w:rPr>
                <w:rFonts w:hint="eastAsia"/>
                <w:color w:val="auto"/>
                <w:szCs w:val="21"/>
              </w:rPr>
              <w:t>0</w:t>
            </w:r>
          </w:p>
        </w:tc>
        <w:tc>
          <w:tcPr>
            <w:tcW w:w="1559" w:type="dxa"/>
            <w:vAlign w:val="center"/>
          </w:tcPr>
          <w:p w14:paraId="3B913528">
            <w:pPr>
              <w:tabs>
                <w:tab w:val="left" w:pos="677"/>
              </w:tabs>
              <w:jc w:val="center"/>
              <w:rPr>
                <w:color w:val="auto"/>
                <w:szCs w:val="21"/>
              </w:rPr>
            </w:pPr>
            <w:r>
              <w:rPr>
                <w:rFonts w:hint="eastAsia"/>
                <w:color w:val="auto"/>
                <w:szCs w:val="21"/>
              </w:rPr>
              <w:t>0.01t/a</w:t>
            </w:r>
          </w:p>
        </w:tc>
        <w:tc>
          <w:tcPr>
            <w:tcW w:w="1615" w:type="dxa"/>
            <w:vAlign w:val="center"/>
          </w:tcPr>
          <w:p w14:paraId="27520ADD">
            <w:pPr>
              <w:adjustRightInd w:val="0"/>
              <w:snapToGrid w:val="0"/>
              <w:jc w:val="center"/>
              <w:rPr>
                <w:snapToGrid w:val="0"/>
                <w:color w:val="auto"/>
                <w:kern w:val="21"/>
                <w:szCs w:val="21"/>
              </w:rPr>
            </w:pPr>
            <w:r>
              <w:rPr>
                <w:rFonts w:hint="eastAsia"/>
                <w:color w:val="auto"/>
                <w:szCs w:val="21"/>
              </w:rPr>
              <w:t>0</w:t>
            </w:r>
          </w:p>
        </w:tc>
        <w:tc>
          <w:tcPr>
            <w:tcW w:w="1787" w:type="dxa"/>
            <w:vAlign w:val="center"/>
          </w:tcPr>
          <w:p w14:paraId="0F9CD4CD">
            <w:pPr>
              <w:tabs>
                <w:tab w:val="left" w:pos="677"/>
              </w:tabs>
              <w:jc w:val="center"/>
              <w:rPr>
                <w:color w:val="auto"/>
                <w:szCs w:val="21"/>
              </w:rPr>
            </w:pPr>
            <w:r>
              <w:rPr>
                <w:rFonts w:hint="eastAsia"/>
                <w:color w:val="auto"/>
                <w:szCs w:val="21"/>
              </w:rPr>
              <w:t>0.01t/a</w:t>
            </w:r>
          </w:p>
        </w:tc>
        <w:tc>
          <w:tcPr>
            <w:tcW w:w="1144" w:type="dxa"/>
            <w:vAlign w:val="center"/>
          </w:tcPr>
          <w:p w14:paraId="39BDD20B">
            <w:pPr>
              <w:tabs>
                <w:tab w:val="left" w:pos="677"/>
              </w:tabs>
              <w:jc w:val="center"/>
              <w:rPr>
                <w:color w:val="auto"/>
                <w:szCs w:val="21"/>
              </w:rPr>
            </w:pPr>
            <w:r>
              <w:rPr>
                <w:rFonts w:hint="eastAsia"/>
                <w:color w:val="auto"/>
                <w:szCs w:val="21"/>
              </w:rPr>
              <w:t>+0.01t/a</w:t>
            </w:r>
          </w:p>
        </w:tc>
      </w:tr>
      <w:tr w14:paraId="73FA7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21504650">
            <w:pPr>
              <w:pStyle w:val="75"/>
              <w:spacing w:before="24" w:after="24"/>
              <w:rPr>
                <w:rFonts w:ascii="Times New Roman"/>
                <w:snapToGrid w:val="0"/>
                <w:color w:val="auto"/>
                <w:kern w:val="21"/>
                <w:szCs w:val="21"/>
              </w:rPr>
            </w:pPr>
          </w:p>
        </w:tc>
        <w:tc>
          <w:tcPr>
            <w:tcW w:w="1559" w:type="dxa"/>
            <w:vAlign w:val="center"/>
          </w:tcPr>
          <w:p w14:paraId="0135E5C8">
            <w:pPr>
              <w:jc w:val="center"/>
              <w:rPr>
                <w:color w:val="auto"/>
                <w:szCs w:val="21"/>
              </w:rPr>
            </w:pPr>
            <w:r>
              <w:rPr>
                <w:rFonts w:hint="eastAsia"/>
                <w:color w:val="auto"/>
                <w:szCs w:val="21"/>
              </w:rPr>
              <w:t>废活性炭</w:t>
            </w:r>
          </w:p>
        </w:tc>
        <w:tc>
          <w:tcPr>
            <w:tcW w:w="1559" w:type="dxa"/>
            <w:vAlign w:val="center"/>
          </w:tcPr>
          <w:p w14:paraId="1A85E0F2">
            <w:pPr>
              <w:adjustRightInd w:val="0"/>
              <w:snapToGrid w:val="0"/>
              <w:jc w:val="center"/>
              <w:rPr>
                <w:rFonts w:hint="default" w:eastAsia="宋体"/>
                <w:color w:val="auto"/>
                <w:szCs w:val="21"/>
                <w:lang w:val="en-US" w:eastAsia="zh-CN"/>
              </w:rPr>
            </w:pPr>
            <w:r>
              <w:rPr>
                <w:rFonts w:hint="eastAsia"/>
                <w:color w:val="auto"/>
                <w:szCs w:val="21"/>
                <w:lang w:val="en-US" w:eastAsia="zh-CN"/>
              </w:rPr>
              <w:t>3.17</w:t>
            </w:r>
          </w:p>
        </w:tc>
        <w:tc>
          <w:tcPr>
            <w:tcW w:w="1276" w:type="dxa"/>
            <w:vAlign w:val="center"/>
          </w:tcPr>
          <w:p w14:paraId="5ADC9186">
            <w:pPr>
              <w:adjustRightInd w:val="0"/>
              <w:snapToGrid w:val="0"/>
              <w:jc w:val="center"/>
              <w:rPr>
                <w:color w:val="auto"/>
                <w:szCs w:val="21"/>
              </w:rPr>
            </w:pPr>
            <w:r>
              <w:rPr>
                <w:rFonts w:hint="eastAsia"/>
                <w:color w:val="auto"/>
                <w:szCs w:val="21"/>
                <w:lang w:val="en-US" w:eastAsia="zh-CN"/>
              </w:rPr>
              <w:t>3.17</w:t>
            </w:r>
          </w:p>
        </w:tc>
        <w:tc>
          <w:tcPr>
            <w:tcW w:w="1701" w:type="dxa"/>
            <w:vAlign w:val="center"/>
          </w:tcPr>
          <w:p w14:paraId="7EF76432">
            <w:pPr>
              <w:adjustRightInd w:val="0"/>
              <w:snapToGrid w:val="0"/>
              <w:jc w:val="center"/>
              <w:rPr>
                <w:snapToGrid w:val="0"/>
                <w:color w:val="auto"/>
                <w:kern w:val="21"/>
                <w:szCs w:val="21"/>
              </w:rPr>
            </w:pPr>
            <w:r>
              <w:rPr>
                <w:rFonts w:hint="eastAsia"/>
                <w:snapToGrid w:val="0"/>
                <w:color w:val="auto"/>
                <w:kern w:val="21"/>
                <w:szCs w:val="21"/>
              </w:rPr>
              <w:t>0</w:t>
            </w:r>
          </w:p>
        </w:tc>
        <w:tc>
          <w:tcPr>
            <w:tcW w:w="1559" w:type="dxa"/>
            <w:vAlign w:val="center"/>
          </w:tcPr>
          <w:p w14:paraId="42919C7F">
            <w:pPr>
              <w:tabs>
                <w:tab w:val="left" w:pos="677"/>
              </w:tabs>
              <w:jc w:val="center"/>
              <w:rPr>
                <w:color w:val="auto"/>
                <w:szCs w:val="21"/>
              </w:rPr>
            </w:pPr>
            <w:r>
              <w:rPr>
                <w:rFonts w:hint="eastAsia"/>
                <w:color w:val="auto"/>
                <w:szCs w:val="21"/>
                <w:lang w:val="en-US" w:eastAsia="zh-CN"/>
              </w:rPr>
              <w:t>16.173t/a</w:t>
            </w:r>
          </w:p>
        </w:tc>
        <w:tc>
          <w:tcPr>
            <w:tcW w:w="1615" w:type="dxa"/>
            <w:vAlign w:val="center"/>
          </w:tcPr>
          <w:p w14:paraId="231D47D5">
            <w:pPr>
              <w:adjustRightInd w:val="0"/>
              <w:snapToGrid w:val="0"/>
              <w:jc w:val="center"/>
              <w:rPr>
                <w:rFonts w:hAnsi="宋体"/>
                <w:bCs/>
                <w:color w:val="auto"/>
                <w:kern w:val="0"/>
                <w:szCs w:val="21"/>
              </w:rPr>
            </w:pPr>
            <w:r>
              <w:rPr>
                <w:rFonts w:hint="eastAsia"/>
                <w:color w:val="auto"/>
                <w:szCs w:val="21"/>
                <w:lang w:val="en-US" w:eastAsia="zh-CN"/>
              </w:rPr>
              <w:t>3.17</w:t>
            </w:r>
          </w:p>
        </w:tc>
        <w:tc>
          <w:tcPr>
            <w:tcW w:w="1787" w:type="dxa"/>
            <w:vAlign w:val="center"/>
          </w:tcPr>
          <w:p w14:paraId="323BBF83">
            <w:pPr>
              <w:tabs>
                <w:tab w:val="left" w:pos="677"/>
              </w:tabs>
              <w:jc w:val="center"/>
              <w:rPr>
                <w:color w:val="auto"/>
                <w:szCs w:val="21"/>
              </w:rPr>
            </w:pPr>
            <w:r>
              <w:rPr>
                <w:rFonts w:hint="eastAsia"/>
                <w:color w:val="auto"/>
                <w:szCs w:val="21"/>
                <w:lang w:val="en-US" w:eastAsia="zh-CN"/>
              </w:rPr>
              <w:t>16.173t/a</w:t>
            </w:r>
          </w:p>
        </w:tc>
        <w:tc>
          <w:tcPr>
            <w:tcW w:w="1144" w:type="dxa"/>
            <w:vAlign w:val="center"/>
          </w:tcPr>
          <w:p w14:paraId="564AA1FE">
            <w:pPr>
              <w:tabs>
                <w:tab w:val="left" w:pos="677"/>
              </w:tabs>
              <w:jc w:val="center"/>
              <w:rPr>
                <w:color w:val="auto"/>
                <w:szCs w:val="21"/>
              </w:rPr>
            </w:pPr>
            <w:r>
              <w:rPr>
                <w:rFonts w:hint="eastAsia"/>
                <w:color w:val="auto"/>
                <w:szCs w:val="21"/>
              </w:rPr>
              <w:t>+</w:t>
            </w:r>
            <w:r>
              <w:rPr>
                <w:rFonts w:hint="eastAsia"/>
                <w:color w:val="auto"/>
                <w:szCs w:val="21"/>
                <w:lang w:val="en-US" w:eastAsia="zh-CN"/>
              </w:rPr>
              <w:t>13.003</w:t>
            </w:r>
            <w:r>
              <w:rPr>
                <w:rFonts w:hint="eastAsia"/>
                <w:color w:val="auto"/>
                <w:szCs w:val="21"/>
              </w:rPr>
              <w:t>t/a</w:t>
            </w:r>
          </w:p>
        </w:tc>
      </w:tr>
      <w:tr w14:paraId="6F9F2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0A677E63">
            <w:pPr>
              <w:pStyle w:val="75"/>
              <w:spacing w:before="24" w:after="24"/>
              <w:rPr>
                <w:rFonts w:ascii="Times New Roman"/>
                <w:snapToGrid w:val="0"/>
                <w:color w:val="auto"/>
                <w:kern w:val="21"/>
                <w:szCs w:val="21"/>
              </w:rPr>
            </w:pPr>
          </w:p>
        </w:tc>
        <w:tc>
          <w:tcPr>
            <w:tcW w:w="1559" w:type="dxa"/>
            <w:vAlign w:val="center"/>
          </w:tcPr>
          <w:p w14:paraId="6B6C8DD9">
            <w:pPr>
              <w:snapToGrid w:val="0"/>
              <w:jc w:val="center"/>
              <w:rPr>
                <w:rFonts w:hint="eastAsia" w:eastAsia="宋体"/>
                <w:color w:val="auto"/>
                <w:szCs w:val="21"/>
                <w:lang w:eastAsia="zh-CN"/>
              </w:rPr>
            </w:pPr>
            <w:r>
              <w:rPr>
                <w:rFonts w:hint="eastAsia"/>
                <w:color w:val="auto"/>
                <w:szCs w:val="21"/>
              </w:rPr>
              <w:t>废</w:t>
            </w:r>
            <w:r>
              <w:rPr>
                <w:rFonts w:hint="eastAsia"/>
                <w:color w:val="auto"/>
                <w:szCs w:val="21"/>
                <w:lang w:eastAsia="zh-CN"/>
              </w:rPr>
              <w:t>乳化液</w:t>
            </w:r>
          </w:p>
        </w:tc>
        <w:tc>
          <w:tcPr>
            <w:tcW w:w="1559" w:type="dxa"/>
            <w:vAlign w:val="center"/>
          </w:tcPr>
          <w:p w14:paraId="0440FAB1">
            <w:pPr>
              <w:adjustRightInd w:val="0"/>
              <w:snapToGrid w:val="0"/>
              <w:jc w:val="center"/>
              <w:rPr>
                <w:rFonts w:hint="default" w:eastAsia="宋体"/>
                <w:snapToGrid w:val="0"/>
                <w:color w:val="auto"/>
                <w:kern w:val="21"/>
                <w:szCs w:val="21"/>
                <w:lang w:val="en-US" w:eastAsia="zh-CN"/>
              </w:rPr>
            </w:pPr>
            <w:r>
              <w:rPr>
                <w:rFonts w:hint="eastAsia"/>
                <w:snapToGrid w:val="0"/>
                <w:color w:val="auto"/>
                <w:kern w:val="21"/>
                <w:szCs w:val="21"/>
                <w:lang w:val="en-US" w:eastAsia="zh-CN"/>
              </w:rPr>
              <w:t>0.4</w:t>
            </w:r>
          </w:p>
        </w:tc>
        <w:tc>
          <w:tcPr>
            <w:tcW w:w="1276" w:type="dxa"/>
            <w:vAlign w:val="center"/>
          </w:tcPr>
          <w:p w14:paraId="67AEB84A">
            <w:pPr>
              <w:adjustRightInd w:val="0"/>
              <w:snapToGrid w:val="0"/>
              <w:jc w:val="center"/>
              <w:rPr>
                <w:snapToGrid w:val="0"/>
                <w:color w:val="auto"/>
                <w:kern w:val="21"/>
                <w:szCs w:val="21"/>
              </w:rPr>
            </w:pPr>
            <w:r>
              <w:rPr>
                <w:rFonts w:hint="eastAsia"/>
                <w:snapToGrid w:val="0"/>
                <w:color w:val="auto"/>
                <w:kern w:val="21"/>
                <w:szCs w:val="21"/>
                <w:lang w:val="en-US" w:eastAsia="zh-CN"/>
              </w:rPr>
              <w:t>0.4</w:t>
            </w:r>
          </w:p>
        </w:tc>
        <w:tc>
          <w:tcPr>
            <w:tcW w:w="1701" w:type="dxa"/>
            <w:vAlign w:val="center"/>
          </w:tcPr>
          <w:p w14:paraId="59F8B331">
            <w:pPr>
              <w:adjustRightInd w:val="0"/>
              <w:snapToGrid w:val="0"/>
              <w:jc w:val="center"/>
              <w:rPr>
                <w:snapToGrid w:val="0"/>
                <w:color w:val="auto"/>
                <w:kern w:val="21"/>
                <w:szCs w:val="21"/>
              </w:rPr>
            </w:pPr>
            <w:r>
              <w:rPr>
                <w:rFonts w:hint="eastAsia"/>
                <w:snapToGrid w:val="0"/>
                <w:color w:val="auto"/>
                <w:kern w:val="21"/>
                <w:szCs w:val="21"/>
              </w:rPr>
              <w:t>0</w:t>
            </w:r>
          </w:p>
        </w:tc>
        <w:tc>
          <w:tcPr>
            <w:tcW w:w="1559" w:type="dxa"/>
            <w:vAlign w:val="center"/>
          </w:tcPr>
          <w:p w14:paraId="6E6A0E3B">
            <w:pPr>
              <w:tabs>
                <w:tab w:val="left" w:pos="677"/>
              </w:tabs>
              <w:jc w:val="center"/>
              <w:rPr>
                <w:rFonts w:hint="eastAsia" w:eastAsia="宋体"/>
                <w:color w:val="auto"/>
                <w:szCs w:val="21"/>
                <w:lang w:eastAsia="zh-CN"/>
              </w:rPr>
            </w:pPr>
            <w:r>
              <w:rPr>
                <w:rFonts w:hint="eastAsia"/>
                <w:color w:val="auto"/>
                <w:szCs w:val="21"/>
                <w:lang w:val="en-US" w:eastAsia="zh-CN"/>
              </w:rPr>
              <w:t>0</w:t>
            </w:r>
          </w:p>
        </w:tc>
        <w:tc>
          <w:tcPr>
            <w:tcW w:w="1615" w:type="dxa"/>
            <w:vAlign w:val="center"/>
          </w:tcPr>
          <w:p w14:paraId="10CF9D05">
            <w:pPr>
              <w:adjustRightInd w:val="0"/>
              <w:snapToGrid w:val="0"/>
              <w:jc w:val="center"/>
              <w:rPr>
                <w:rFonts w:hint="default"/>
                <w:snapToGrid w:val="0"/>
                <w:color w:val="auto"/>
                <w:kern w:val="21"/>
                <w:szCs w:val="21"/>
                <w:lang w:val="en-US"/>
              </w:rPr>
            </w:pPr>
            <w:r>
              <w:rPr>
                <w:rFonts w:hint="eastAsia"/>
                <w:snapToGrid w:val="0"/>
                <w:color w:val="auto"/>
                <w:kern w:val="21"/>
                <w:szCs w:val="21"/>
                <w:lang w:val="en-US" w:eastAsia="zh-CN"/>
              </w:rPr>
              <w:t>0.4</w:t>
            </w:r>
          </w:p>
        </w:tc>
        <w:tc>
          <w:tcPr>
            <w:tcW w:w="1787" w:type="dxa"/>
            <w:vAlign w:val="center"/>
          </w:tcPr>
          <w:p w14:paraId="5E2AAF58">
            <w:pPr>
              <w:tabs>
                <w:tab w:val="left" w:pos="677"/>
              </w:tabs>
              <w:jc w:val="center"/>
              <w:rPr>
                <w:color w:val="auto"/>
                <w:szCs w:val="21"/>
              </w:rPr>
            </w:pPr>
            <w:r>
              <w:rPr>
                <w:rFonts w:hint="eastAsia"/>
                <w:color w:val="auto"/>
                <w:szCs w:val="21"/>
                <w:lang w:val="en-US" w:eastAsia="zh-CN"/>
              </w:rPr>
              <w:t>0</w:t>
            </w:r>
          </w:p>
        </w:tc>
        <w:tc>
          <w:tcPr>
            <w:tcW w:w="1144" w:type="dxa"/>
            <w:vAlign w:val="center"/>
          </w:tcPr>
          <w:p w14:paraId="5CE079F7">
            <w:pPr>
              <w:tabs>
                <w:tab w:val="left" w:pos="677"/>
              </w:tabs>
              <w:jc w:val="center"/>
              <w:rPr>
                <w:color w:val="auto"/>
                <w:szCs w:val="21"/>
              </w:rPr>
            </w:pPr>
            <w:r>
              <w:rPr>
                <w:rFonts w:hint="eastAsia"/>
                <w:color w:val="auto"/>
                <w:szCs w:val="21"/>
                <w:lang w:val="en-US" w:eastAsia="zh-CN"/>
              </w:rPr>
              <w:t>-0.4</w:t>
            </w:r>
            <w:r>
              <w:rPr>
                <w:rFonts w:hint="eastAsia"/>
                <w:color w:val="auto"/>
                <w:szCs w:val="21"/>
              </w:rPr>
              <w:t>t/a</w:t>
            </w:r>
          </w:p>
        </w:tc>
      </w:tr>
    </w:tbl>
    <w:p w14:paraId="196BF908">
      <w:pPr>
        <w:pStyle w:val="32"/>
        <w:adjustRightInd w:val="0"/>
        <w:snapToGrid w:val="0"/>
        <w:spacing w:before="0" w:beforeAutospacing="0" w:after="0" w:afterAutospacing="0"/>
        <w:outlineLvl w:val="1"/>
        <w:rPr>
          <w:rFonts w:ascii="Times New Roman"/>
          <w:color w:val="auto"/>
        </w:rPr>
      </w:pPr>
      <w:r>
        <w:rPr>
          <w:rFonts w:hint="eastAsia"/>
          <w:color w:val="auto"/>
          <w:szCs w:val="21"/>
        </w:rPr>
        <w:t>“</w:t>
      </w: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cs="宋体"/>
          <w:color w:val="auto"/>
          <w:szCs w:val="21"/>
        </w:rPr>
        <w:t>①</w:t>
      </w:r>
      <w:r>
        <w:rPr>
          <w:rFonts w:ascii="Times New Roman"/>
          <w:snapToGrid w:val="0"/>
          <w:color w:val="auto"/>
          <w:spacing w:val="-6"/>
          <w:kern w:val="21"/>
          <w:szCs w:val="21"/>
        </w:rPr>
        <w:fldChar w:fldCharType="end"/>
      </w:r>
      <w:r>
        <w:rPr>
          <w:rFonts w:hint="eastAsia"/>
          <w:color w:val="auto"/>
          <w:szCs w:val="21"/>
        </w:rPr>
        <w:t>”</w:t>
      </w:r>
    </w:p>
    <w:sectPr>
      <w:footerReference r:id="rId5" w:type="default"/>
      <w:pgSz w:w="16838" w:h="11905" w:orient="landscape"/>
      <w:pgMar w:top="1531" w:right="1701" w:bottom="1531" w:left="2126" w:header="851" w:footer="850"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FangSong_GB2312">
    <w:altName w:val="仿宋_GB2312"/>
    <w:panose1 w:val="02010609060101010101"/>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ˎ̥">
    <w:altName w:val="宋体"/>
    <w:panose1 w:val="00000000000000000000"/>
    <w:charset w:val="86"/>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E59D4">
    <w:pPr>
      <w:widowControl/>
      <w:jc w:val="left"/>
      <w:rPr>
        <w:rFonts w:hint="default" w:eastAsia="宋体"/>
        <w:lang w:val="en-US" w:eastAsia="zh-C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-219075</wp:posOffset>
              </wp:positionV>
              <wp:extent cx="1828800" cy="1828800"/>
              <wp:effectExtent l="0" t="0" r="0" b="0"/>
              <wp:wrapNone/>
              <wp:docPr id="3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F2A06C">
                          <w:pPr>
                            <w:pStyle w:val="24"/>
                            <w:rPr>
                              <w:rStyle w:val="42"/>
                              <w:rFonts w:ascii="宋体" w:hAnsi="宋体"/>
                              <w:sz w:val="28"/>
                              <w:szCs w:val="28"/>
                            </w:rPr>
                          </w:pPr>
                          <w:r>
                            <w:rPr>
                              <w:rStyle w:val="42"/>
                              <w:rFonts w:hint="eastAsia" w:ascii="宋体" w:hAnsi="宋体"/>
                              <w:sz w:val="28"/>
                              <w:szCs w:val="28"/>
                            </w:rPr>
                            <w:t>—</w:t>
                          </w:r>
                          <w:r>
                            <w:rPr>
                              <w:sz w:val="21"/>
                              <w:szCs w:val="21"/>
                            </w:rPr>
                            <w:fldChar w:fldCharType="begin"/>
                          </w:r>
                          <w:r>
                            <w:rPr>
                              <w:rStyle w:val="42"/>
                              <w:sz w:val="21"/>
                              <w:szCs w:val="21"/>
                            </w:rPr>
                            <w:instrText xml:space="preserve">PAGE  </w:instrText>
                          </w:r>
                          <w:r>
                            <w:rPr>
                              <w:sz w:val="21"/>
                              <w:szCs w:val="21"/>
                            </w:rPr>
                            <w:fldChar w:fldCharType="separate"/>
                          </w:r>
                          <w:r>
                            <w:rPr>
                              <w:rStyle w:val="42"/>
                              <w:sz w:val="21"/>
                              <w:szCs w:val="21"/>
                            </w:rPr>
                            <w:t>74</w:t>
                          </w:r>
                          <w:r>
                            <w:rPr>
                              <w:sz w:val="21"/>
                              <w:szCs w:val="21"/>
                            </w:rPr>
                            <w:fldChar w:fldCharType="end"/>
                          </w:r>
                          <w:r>
                            <w:rPr>
                              <w:rStyle w:val="42"/>
                              <w:rFonts w:hint="eastAsia" w:ascii="宋体" w:hAnsi="宋体"/>
                              <w:sz w:val="28"/>
                              <w:szCs w:val="28"/>
                            </w:rPr>
                            <w:t>—</w:t>
                          </w:r>
                        </w:p>
                      </w:txbxContent>
                    </wps:txbx>
                    <wps:bodyPr wrap="none" lIns="0" tIns="0" rIns="0" bIns="0" upright="1">
                      <a:spAutoFit/>
                    </wps:bodyPr>
                  </wps:wsp>
                </a:graphicData>
              </a:graphic>
            </wp:anchor>
          </w:drawing>
        </mc:Choice>
        <mc:Fallback>
          <w:pict>
            <v:shape id="文本框 1025" o:spid="_x0000_s1026" o:spt="202" type="#_x0000_t202" style="position:absolute;left:0pt;margin-top:-17.25pt;height:144pt;width:144pt;mso-position-horizontal:center;mso-position-horizontal-relative:margin;mso-wrap-style:none;z-index:251659264;mso-width-relative:page;mso-height-relative:page;" filled="f" stroked="f" coordsize="21600,21600" o:gfxdata="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SrGQ9UAAAAIAQAADwAAAAAAAAABACAAAAAiAAAA&#10;ZHJzL2Rvd25yZXYueG1sUEsBAhQAFAAAAAgAh07iQJKTI0zRAQAAqwMAAA4AAAAAAAAAAQAgAAAA&#10;JAEAAGRycy9lMm9Eb2MueG1sUEsFBgAAAAAGAAYAWQEAAGcFAAAAAA==&#10;">
              <v:fill on="f" focussize="0,0"/>
              <v:stroke on="f"/>
              <v:imagedata o:title=""/>
              <o:lock v:ext="edit" aspectratio="f"/>
              <v:textbox inset="0mm,0mm,0mm,0mm" style="mso-fit-shape-to-text:t;">
                <w:txbxContent>
                  <w:p w14:paraId="4CF2A06C">
                    <w:pPr>
                      <w:pStyle w:val="24"/>
                      <w:rPr>
                        <w:rStyle w:val="42"/>
                        <w:rFonts w:ascii="宋体" w:hAnsi="宋体"/>
                        <w:sz w:val="28"/>
                        <w:szCs w:val="28"/>
                      </w:rPr>
                    </w:pPr>
                    <w:r>
                      <w:rPr>
                        <w:rStyle w:val="42"/>
                        <w:rFonts w:hint="eastAsia" w:ascii="宋体" w:hAnsi="宋体"/>
                        <w:sz w:val="28"/>
                        <w:szCs w:val="28"/>
                      </w:rPr>
                      <w:t>—</w:t>
                    </w:r>
                    <w:r>
                      <w:rPr>
                        <w:sz w:val="21"/>
                        <w:szCs w:val="21"/>
                      </w:rPr>
                      <w:fldChar w:fldCharType="begin"/>
                    </w:r>
                    <w:r>
                      <w:rPr>
                        <w:rStyle w:val="42"/>
                        <w:sz w:val="21"/>
                        <w:szCs w:val="21"/>
                      </w:rPr>
                      <w:instrText xml:space="preserve">PAGE  </w:instrText>
                    </w:r>
                    <w:r>
                      <w:rPr>
                        <w:sz w:val="21"/>
                        <w:szCs w:val="21"/>
                      </w:rPr>
                      <w:fldChar w:fldCharType="separate"/>
                    </w:r>
                    <w:r>
                      <w:rPr>
                        <w:rStyle w:val="42"/>
                        <w:sz w:val="21"/>
                        <w:szCs w:val="21"/>
                      </w:rPr>
                      <w:t>74</w:t>
                    </w:r>
                    <w:r>
                      <w:rPr>
                        <w:sz w:val="21"/>
                        <w:szCs w:val="21"/>
                      </w:rPr>
                      <w:fldChar w:fldCharType="end"/>
                    </w:r>
                    <w:r>
                      <w:rPr>
                        <w:rStyle w:val="42"/>
                        <w:rFonts w:hint="eastAsia" w:ascii="宋体" w:hAnsi="宋体"/>
                        <w:sz w:val="28"/>
                        <w:szCs w:val="28"/>
                      </w:rPr>
                      <w:t>—</w:t>
                    </w:r>
                  </w:p>
                </w:txbxContent>
              </v:textbox>
            </v:shape>
          </w:pict>
        </mc:Fallback>
      </mc:AlternateContent>
    </w:r>
    <w:r>
      <w:rPr>
        <w:rFonts w:hint="eastAsia"/>
        <w:lang w:eastAsia="zh-CN"/>
      </w:rPr>
      <w:t>浙江辉志环保科技</w:t>
    </w:r>
    <w:r>
      <w:rPr>
        <w:rFonts w:hint="eastAsia"/>
      </w:rPr>
      <w:t xml:space="preserve">有限公司                                       </w:t>
    </w:r>
    <w:r>
      <w:rPr>
        <w:rFonts w:hint="eastAsia"/>
        <w:lang w:val="en-US" w:eastAsia="zh-CN"/>
      </w:rPr>
      <w:t xml:space="preserve">     </w:t>
    </w:r>
    <w:r>
      <w:rPr>
        <w:rFonts w:hint="eastAsia"/>
      </w:rPr>
      <w:t xml:space="preserve"> </w:t>
    </w:r>
    <w:r>
      <w:rPr>
        <w:rFonts w:hint="eastAsia"/>
        <w:szCs w:val="21"/>
        <w:lang w:val="en-US" w:eastAsia="zh-CN"/>
      </w:rPr>
      <w:t>19816937267</w:t>
    </w:r>
  </w:p>
  <w:p w14:paraId="61B32457">
    <w:pPr>
      <w:pStyle w:val="24"/>
      <w:ind w:right="360"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67E74">
    <w:pPr>
      <w:pStyle w:val="2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24AE38A">
                          <w:pPr>
                            <w:pStyle w:val="24"/>
                            <w:rPr>
                              <w:rStyle w:val="42"/>
                              <w:rFonts w:ascii="宋体" w:hAnsi="宋体"/>
                              <w:sz w:val="28"/>
                              <w:szCs w:val="28"/>
                            </w:rPr>
                          </w:pPr>
                          <w:r>
                            <w:rPr>
                              <w:rStyle w:val="42"/>
                              <w:rFonts w:hint="eastAsia" w:ascii="宋体" w:hAnsi="宋体"/>
                              <w:sz w:val="28"/>
                              <w:szCs w:val="28"/>
                            </w:rPr>
                            <w:t>—</w:t>
                          </w:r>
                          <w:r>
                            <w:rPr>
                              <w:rFonts w:ascii="宋体" w:hAnsi="宋体"/>
                              <w:sz w:val="26"/>
                              <w:szCs w:val="26"/>
                            </w:rPr>
                            <w:fldChar w:fldCharType="begin"/>
                          </w:r>
                          <w:r>
                            <w:rPr>
                              <w:rStyle w:val="42"/>
                              <w:rFonts w:ascii="宋体" w:hAnsi="宋体"/>
                              <w:sz w:val="26"/>
                              <w:szCs w:val="26"/>
                            </w:rPr>
                            <w:instrText xml:space="preserve">PAGE  </w:instrText>
                          </w:r>
                          <w:r>
                            <w:rPr>
                              <w:rFonts w:ascii="宋体" w:hAnsi="宋体"/>
                              <w:sz w:val="26"/>
                              <w:szCs w:val="26"/>
                            </w:rPr>
                            <w:fldChar w:fldCharType="separate"/>
                          </w:r>
                          <w:r>
                            <w:rPr>
                              <w:rStyle w:val="42"/>
                              <w:rFonts w:ascii="宋体" w:hAnsi="宋体"/>
                              <w:sz w:val="26"/>
                              <w:szCs w:val="26"/>
                            </w:rPr>
                            <w:t>78</w:t>
                          </w:r>
                          <w:r>
                            <w:rPr>
                              <w:rFonts w:ascii="宋体" w:hAnsi="宋体"/>
                              <w:sz w:val="26"/>
                              <w:szCs w:val="26"/>
                            </w:rPr>
                            <w:fldChar w:fldCharType="end"/>
                          </w:r>
                          <w:r>
                            <w:rPr>
                              <w:rStyle w:val="42"/>
                              <w:rFonts w:hint="eastAsia" w:ascii="宋体" w:hAnsi="宋体"/>
                              <w:sz w:val="28"/>
                              <w:szCs w:val="28"/>
                            </w:rPr>
                            <w:t>—</w:t>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Qh99j9ABAACrAwAADgAAAAAAAAABACAAAAAeAQAAZHJz&#10;L2Uyb0RvYy54bWxQSwUGAAAAAAYABgBZAQAAYAUAAAAA&#10;">
              <v:fill on="f" focussize="0,0"/>
              <v:stroke on="f"/>
              <v:imagedata o:title=""/>
              <o:lock v:ext="edit" aspectratio="f"/>
              <v:textbox inset="0mm,0mm,0mm,0mm" style="mso-fit-shape-to-text:t;">
                <w:txbxContent>
                  <w:p w14:paraId="424AE38A">
                    <w:pPr>
                      <w:pStyle w:val="24"/>
                      <w:rPr>
                        <w:rStyle w:val="42"/>
                        <w:rFonts w:ascii="宋体" w:hAnsi="宋体"/>
                        <w:sz w:val="28"/>
                        <w:szCs w:val="28"/>
                      </w:rPr>
                    </w:pPr>
                    <w:r>
                      <w:rPr>
                        <w:rStyle w:val="42"/>
                        <w:rFonts w:hint="eastAsia" w:ascii="宋体" w:hAnsi="宋体"/>
                        <w:sz w:val="28"/>
                        <w:szCs w:val="28"/>
                      </w:rPr>
                      <w:t>—</w:t>
                    </w:r>
                    <w:r>
                      <w:rPr>
                        <w:rFonts w:ascii="宋体" w:hAnsi="宋体"/>
                        <w:sz w:val="26"/>
                        <w:szCs w:val="26"/>
                      </w:rPr>
                      <w:fldChar w:fldCharType="begin"/>
                    </w:r>
                    <w:r>
                      <w:rPr>
                        <w:rStyle w:val="42"/>
                        <w:rFonts w:ascii="宋体" w:hAnsi="宋体"/>
                        <w:sz w:val="26"/>
                        <w:szCs w:val="26"/>
                      </w:rPr>
                      <w:instrText xml:space="preserve">PAGE  </w:instrText>
                    </w:r>
                    <w:r>
                      <w:rPr>
                        <w:rFonts w:ascii="宋体" w:hAnsi="宋体"/>
                        <w:sz w:val="26"/>
                        <w:szCs w:val="26"/>
                      </w:rPr>
                      <w:fldChar w:fldCharType="separate"/>
                    </w:r>
                    <w:r>
                      <w:rPr>
                        <w:rStyle w:val="42"/>
                        <w:rFonts w:ascii="宋体" w:hAnsi="宋体"/>
                        <w:sz w:val="26"/>
                        <w:szCs w:val="26"/>
                      </w:rPr>
                      <w:t>78</w:t>
                    </w:r>
                    <w:r>
                      <w:rPr>
                        <w:rFonts w:ascii="宋体" w:hAnsi="宋体"/>
                        <w:sz w:val="26"/>
                        <w:szCs w:val="26"/>
                      </w:rPr>
                      <w:fldChar w:fldCharType="end"/>
                    </w:r>
                    <w:r>
                      <w:rPr>
                        <w:rStyle w:val="42"/>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CB23E">
    <w:pPr>
      <w:pStyle w:val="25"/>
    </w:pPr>
    <w:r>
      <w:rPr>
        <w:rFonts w:hint="eastAsia"/>
      </w:rPr>
      <w:t>安吉</w:t>
    </w:r>
    <w:r>
      <w:rPr>
        <w:rFonts w:hint="eastAsia"/>
        <w:lang w:eastAsia="zh-CN"/>
      </w:rPr>
      <w:t>联红五金制品厂</w:t>
    </w:r>
    <w:r>
      <w:rPr>
        <w:rFonts w:hint="eastAsia"/>
      </w:rPr>
      <w:t>年产</w:t>
    </w:r>
    <w:r>
      <w:rPr>
        <w:rFonts w:hint="eastAsia"/>
        <w:lang w:val="en-US" w:eastAsia="zh-CN"/>
      </w:rPr>
      <w:t>100</w:t>
    </w:r>
    <w:r>
      <w:rPr>
        <w:rFonts w:hint="eastAsia"/>
      </w:rPr>
      <w:t>万套</w:t>
    </w:r>
    <w:r>
      <w:rPr>
        <w:rFonts w:hint="eastAsia"/>
        <w:lang w:eastAsia="zh-CN"/>
      </w:rPr>
      <w:t>塑料配件、</w:t>
    </w:r>
    <w:r>
      <w:rPr>
        <w:rFonts w:hint="eastAsia"/>
        <w:lang w:val="en-US" w:eastAsia="zh-CN"/>
      </w:rPr>
      <w:t>30万套五金配件</w:t>
    </w:r>
    <w:r>
      <w:rPr>
        <w:rFonts w:hint="eastAsia"/>
        <w:lang w:eastAsia="zh-CN"/>
      </w:rPr>
      <w:t>迁建</w:t>
    </w:r>
    <w:r>
      <w:rPr>
        <w:rFonts w:hint="eastAsia"/>
      </w:rPr>
      <w:t>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13C898"/>
    <w:multiLevelType w:val="multilevel"/>
    <w:tmpl w:val="B913C898"/>
    <w:lvl w:ilvl="0" w:tentative="0">
      <w:start w:val="4"/>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CA8BB363"/>
    <w:multiLevelType w:val="singleLevel"/>
    <w:tmpl w:val="CA8BB363"/>
    <w:lvl w:ilvl="0" w:tentative="0">
      <w:start w:val="2"/>
      <w:numFmt w:val="decimal"/>
      <w:suff w:val="nothing"/>
      <w:lvlText w:val="%1、"/>
      <w:lvlJc w:val="left"/>
      <w:pPr>
        <w:ind w:left="600" w:firstLine="0"/>
      </w:pPr>
    </w:lvl>
  </w:abstractNum>
  <w:abstractNum w:abstractNumId="2">
    <w:nsid w:val="0000000F"/>
    <w:multiLevelType w:val="multilevel"/>
    <w:tmpl w:val="0000000F"/>
    <w:lvl w:ilvl="0" w:tentative="0">
      <w:start w:val="1"/>
      <w:numFmt w:val="decimal"/>
      <w:lvlText w:val="%1."/>
      <w:lvlJc w:val="left"/>
      <w:pPr>
        <w:tabs>
          <w:tab w:val="left" w:pos="850"/>
        </w:tabs>
        <w:ind w:left="850" w:hanging="360"/>
      </w:pPr>
      <w:rPr>
        <w:rFonts w:hint="default"/>
      </w:rPr>
    </w:lvl>
    <w:lvl w:ilvl="1" w:tentative="0">
      <w:start w:val="1"/>
      <w:numFmt w:val="decimal"/>
      <w:lvlText w:val="%2."/>
      <w:lvlJc w:val="left"/>
      <w:pPr>
        <w:tabs>
          <w:tab w:val="left" w:pos="780"/>
        </w:tabs>
        <w:ind w:left="780" w:hanging="360"/>
      </w:pPr>
      <w:rPr>
        <w:rFonts w:hint="default" w:hAnsi="仿宋"/>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E"/>
    <w:multiLevelType w:val="multilevel"/>
    <w:tmpl w:val="0000001E"/>
    <w:lvl w:ilvl="0" w:tentative="0">
      <w:start w:val="1"/>
      <w:numFmt w:val="decimal"/>
      <w:lvlText w:val="%1."/>
      <w:lvlJc w:val="left"/>
      <w:pPr>
        <w:tabs>
          <w:tab w:val="left" w:pos="897"/>
        </w:tabs>
        <w:ind w:left="897" w:hanging="420"/>
      </w:pPr>
      <w:rPr>
        <w:sz w:val="24"/>
        <w:szCs w:val="24"/>
      </w:rPr>
    </w:lvl>
    <w:lvl w:ilvl="1" w:tentative="0">
      <w:start w:val="1"/>
      <w:numFmt w:val="decimal"/>
      <w:lvlText w:val="%2."/>
      <w:lvlJc w:val="left"/>
      <w:pPr>
        <w:tabs>
          <w:tab w:val="left" w:pos="876"/>
        </w:tabs>
        <w:ind w:left="876" w:hanging="420"/>
      </w:pPr>
      <w:rPr>
        <w:sz w:val="21"/>
        <w:szCs w:val="21"/>
      </w:rPr>
    </w:lvl>
    <w:lvl w:ilvl="2" w:tentative="0">
      <w:start w:val="1"/>
      <w:numFmt w:val="decimal"/>
      <w:lvlText w:val="%3、"/>
      <w:lvlJc w:val="left"/>
      <w:pPr>
        <w:tabs>
          <w:tab w:val="left" w:pos="360"/>
        </w:tabs>
        <w:ind w:left="360" w:hanging="360"/>
      </w:pPr>
      <w:rPr>
        <w:rFonts w:hint="default"/>
      </w:rPr>
    </w:lvl>
    <w:lvl w:ilvl="3" w:tentative="0">
      <w:start w:val="1"/>
      <w:numFmt w:val="decimal"/>
      <w:lvlText w:val="%4."/>
      <w:lvlJc w:val="left"/>
      <w:pPr>
        <w:tabs>
          <w:tab w:val="left" w:pos="2157"/>
        </w:tabs>
        <w:ind w:left="2157" w:hanging="420"/>
      </w:pPr>
    </w:lvl>
    <w:lvl w:ilvl="4" w:tentative="0">
      <w:start w:val="1"/>
      <w:numFmt w:val="lowerLetter"/>
      <w:lvlText w:val="%5)"/>
      <w:lvlJc w:val="left"/>
      <w:pPr>
        <w:tabs>
          <w:tab w:val="left" w:pos="2577"/>
        </w:tabs>
        <w:ind w:left="2577" w:hanging="420"/>
      </w:pPr>
    </w:lvl>
    <w:lvl w:ilvl="5" w:tentative="0">
      <w:start w:val="1"/>
      <w:numFmt w:val="lowerRoman"/>
      <w:lvlText w:val="%6."/>
      <w:lvlJc w:val="right"/>
      <w:pPr>
        <w:tabs>
          <w:tab w:val="left" w:pos="2997"/>
        </w:tabs>
        <w:ind w:left="2997" w:hanging="420"/>
      </w:pPr>
    </w:lvl>
    <w:lvl w:ilvl="6" w:tentative="0">
      <w:start w:val="1"/>
      <w:numFmt w:val="decimal"/>
      <w:lvlText w:val="%7."/>
      <w:lvlJc w:val="left"/>
      <w:pPr>
        <w:tabs>
          <w:tab w:val="left" w:pos="3417"/>
        </w:tabs>
        <w:ind w:left="3417" w:hanging="420"/>
      </w:pPr>
    </w:lvl>
    <w:lvl w:ilvl="7" w:tentative="0">
      <w:start w:val="1"/>
      <w:numFmt w:val="lowerLetter"/>
      <w:lvlText w:val="%8)"/>
      <w:lvlJc w:val="left"/>
      <w:pPr>
        <w:tabs>
          <w:tab w:val="left" w:pos="3837"/>
        </w:tabs>
        <w:ind w:left="3837" w:hanging="420"/>
      </w:pPr>
    </w:lvl>
    <w:lvl w:ilvl="8" w:tentative="0">
      <w:start w:val="1"/>
      <w:numFmt w:val="lowerRoman"/>
      <w:lvlText w:val="%9."/>
      <w:lvlJc w:val="right"/>
      <w:pPr>
        <w:tabs>
          <w:tab w:val="left" w:pos="4257"/>
        </w:tabs>
        <w:ind w:left="4257" w:hanging="420"/>
      </w:pPr>
    </w:lvl>
  </w:abstractNum>
  <w:abstractNum w:abstractNumId="4">
    <w:nsid w:val="1D804383"/>
    <w:multiLevelType w:val="singleLevel"/>
    <w:tmpl w:val="1D804383"/>
    <w:lvl w:ilvl="0" w:tentative="0">
      <w:start w:val="1"/>
      <w:numFmt w:val="decimal"/>
      <w:suff w:val="nothing"/>
      <w:lvlText w:val="%1、"/>
      <w:lvlJc w:val="left"/>
    </w:lvl>
  </w:abstractNum>
  <w:abstractNum w:abstractNumId="5">
    <w:nsid w:val="1E9AD19F"/>
    <w:multiLevelType w:val="singleLevel"/>
    <w:tmpl w:val="1E9AD19F"/>
    <w:lvl w:ilvl="0" w:tentative="0">
      <w:start w:val="1"/>
      <w:numFmt w:val="decimal"/>
      <w:suff w:val="space"/>
      <w:lvlText w:val="%1."/>
      <w:lvlJc w:val="left"/>
    </w:lvl>
  </w:abstractNum>
  <w:abstractNum w:abstractNumId="6">
    <w:nsid w:val="2EA59D0F"/>
    <w:multiLevelType w:val="singleLevel"/>
    <w:tmpl w:val="2EA59D0F"/>
    <w:lvl w:ilvl="0" w:tentative="0">
      <w:start w:val="1"/>
      <w:numFmt w:val="decimal"/>
      <w:suff w:val="nothing"/>
      <w:lvlText w:val="%1）"/>
      <w:lvlJc w:val="left"/>
      <w:rPr>
        <w:rFonts w:hint="default"/>
        <w:color w:val="auto"/>
      </w:rPr>
    </w:lvl>
  </w:abstractNum>
  <w:abstractNum w:abstractNumId="7">
    <w:nsid w:val="3462465F"/>
    <w:multiLevelType w:val="multilevel"/>
    <w:tmpl w:val="3462465F"/>
    <w:lvl w:ilvl="0" w:tentative="0">
      <w:start w:val="1"/>
      <w:numFmt w:val="none"/>
      <w:pStyle w:val="277"/>
      <w:lvlText w:val=""/>
      <w:lvlJc w:val="left"/>
      <w:pPr>
        <w:tabs>
          <w:tab w:val="left" w:pos="567"/>
        </w:tabs>
        <w:ind w:left="0" w:firstLine="0"/>
      </w:pPr>
      <w:rPr>
        <w:rFonts w:hint="eastAsia"/>
        <w:lang w:val="en-US"/>
      </w:rPr>
    </w:lvl>
    <w:lvl w:ilvl="1" w:tentative="0">
      <w:start w:val="1"/>
      <w:numFmt w:val="decimal"/>
      <w:lvlText w:val="%1.%2"/>
      <w:lvlJc w:val="left"/>
      <w:pPr>
        <w:tabs>
          <w:tab w:val="left" w:pos="425"/>
        </w:tabs>
        <w:ind w:left="0" w:firstLine="0"/>
      </w:pPr>
      <w:rPr>
        <w:rFonts w:hint="default" w:ascii="Arial" w:hAnsi="Arial"/>
      </w:rPr>
    </w:lvl>
    <w:lvl w:ilvl="2" w:tentative="0">
      <w:start w:val="1"/>
      <w:numFmt w:val="decimal"/>
      <w:lvlText w:val="%1.%2.%3"/>
      <w:lvlJc w:val="left"/>
      <w:pPr>
        <w:tabs>
          <w:tab w:val="left" w:pos="425"/>
        </w:tabs>
        <w:ind w:left="0" w:firstLine="0"/>
      </w:pPr>
      <w:rPr>
        <w:rFonts w:hint="default" w:ascii="Arial" w:hAnsi="Arial"/>
      </w:rPr>
    </w:lvl>
    <w:lvl w:ilvl="3" w:tentative="0">
      <w:start w:val="1"/>
      <w:numFmt w:val="decimal"/>
      <w:suff w:val="nothing"/>
      <w:lvlText w:val="%1.%2.%3.%4"/>
      <w:lvlJc w:val="left"/>
      <w:pPr>
        <w:ind w:left="851" w:hanging="851"/>
      </w:pPr>
      <w:rPr>
        <w:rFonts w:hint="default"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4%1.%2.%3..%5.%6.%7.%8.%9."/>
      <w:lvlJc w:val="left"/>
      <w:pPr>
        <w:tabs>
          <w:tab w:val="left" w:pos="1559"/>
        </w:tabs>
        <w:ind w:left="1559" w:hanging="1559"/>
      </w:pPr>
      <w:rPr>
        <w:rFonts w:hint="eastAsia"/>
      </w:rPr>
    </w:lvl>
  </w:abstractNum>
  <w:abstractNum w:abstractNumId="8">
    <w:nsid w:val="34D69CD0"/>
    <w:multiLevelType w:val="singleLevel"/>
    <w:tmpl w:val="34D69CD0"/>
    <w:lvl w:ilvl="0" w:tentative="0">
      <w:start w:val="1"/>
      <w:numFmt w:val="decimal"/>
      <w:suff w:val="nothing"/>
      <w:lvlText w:val="%1）"/>
      <w:lvlJc w:val="left"/>
    </w:lvl>
  </w:abstractNum>
  <w:abstractNum w:abstractNumId="9">
    <w:nsid w:val="5E7A1582"/>
    <w:multiLevelType w:val="singleLevel"/>
    <w:tmpl w:val="5E7A1582"/>
    <w:lvl w:ilvl="0" w:tentative="0">
      <w:start w:val="1"/>
      <w:numFmt w:val="decimal"/>
      <w:suff w:val="space"/>
      <w:lvlText w:val="%1."/>
      <w:lvlJc w:val="left"/>
    </w:lvl>
  </w:abstractNum>
  <w:abstractNum w:abstractNumId="10">
    <w:nsid w:val="672BF849"/>
    <w:multiLevelType w:val="singleLevel"/>
    <w:tmpl w:val="672BF849"/>
    <w:lvl w:ilvl="0" w:tentative="0">
      <w:start w:val="2"/>
      <w:numFmt w:val="decimal"/>
      <w:lvlText w:val="%1."/>
      <w:lvlJc w:val="left"/>
      <w:pPr>
        <w:tabs>
          <w:tab w:val="left" w:pos="312"/>
        </w:tabs>
      </w:pPr>
    </w:lvl>
  </w:abstractNum>
  <w:num w:numId="1">
    <w:abstractNumId w:val="7"/>
  </w:num>
  <w:num w:numId="2">
    <w:abstractNumId w:val="3"/>
  </w:num>
  <w:num w:numId="3">
    <w:abstractNumId w:val="2"/>
  </w:num>
  <w:num w:numId="4">
    <w:abstractNumId w:val="10"/>
  </w:num>
  <w:num w:numId="5">
    <w:abstractNumId w:val="0"/>
  </w:num>
  <w:num w:numId="6">
    <w:abstractNumId w:val="1"/>
  </w:num>
  <w:num w:numId="7">
    <w:abstractNumId w:val="8"/>
  </w:num>
  <w:num w:numId="8">
    <w:abstractNumId w:val="6"/>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lZTk3MzQ0YzAzNmMzNzg5MWY2ODUzMGQxYTE2ZTUifQ=="/>
  </w:docVars>
  <w:rsids>
    <w:rsidRoot w:val="00A14947"/>
    <w:rsid w:val="000060B3"/>
    <w:rsid w:val="00011725"/>
    <w:rsid w:val="00014CA9"/>
    <w:rsid w:val="00015114"/>
    <w:rsid w:val="000177D8"/>
    <w:rsid w:val="00021538"/>
    <w:rsid w:val="000221E7"/>
    <w:rsid w:val="00023BFA"/>
    <w:rsid w:val="00024225"/>
    <w:rsid w:val="000268BF"/>
    <w:rsid w:val="00033589"/>
    <w:rsid w:val="00034764"/>
    <w:rsid w:val="000408A5"/>
    <w:rsid w:val="00040DA1"/>
    <w:rsid w:val="00041831"/>
    <w:rsid w:val="00042D17"/>
    <w:rsid w:val="0004364B"/>
    <w:rsid w:val="00045088"/>
    <w:rsid w:val="0004535C"/>
    <w:rsid w:val="000520F0"/>
    <w:rsid w:val="00052C75"/>
    <w:rsid w:val="000567B0"/>
    <w:rsid w:val="00061B1F"/>
    <w:rsid w:val="0006784C"/>
    <w:rsid w:val="00067BF6"/>
    <w:rsid w:val="00072A5D"/>
    <w:rsid w:val="000733C4"/>
    <w:rsid w:val="00074783"/>
    <w:rsid w:val="00075ED7"/>
    <w:rsid w:val="00076ADF"/>
    <w:rsid w:val="00077C04"/>
    <w:rsid w:val="0008070B"/>
    <w:rsid w:val="000810AC"/>
    <w:rsid w:val="00081A02"/>
    <w:rsid w:val="00081AE8"/>
    <w:rsid w:val="00082231"/>
    <w:rsid w:val="0009061E"/>
    <w:rsid w:val="00092D38"/>
    <w:rsid w:val="0009328D"/>
    <w:rsid w:val="0009377B"/>
    <w:rsid w:val="00093FE9"/>
    <w:rsid w:val="0009487C"/>
    <w:rsid w:val="000A20C9"/>
    <w:rsid w:val="000A2AF6"/>
    <w:rsid w:val="000A33A4"/>
    <w:rsid w:val="000A51B3"/>
    <w:rsid w:val="000A5813"/>
    <w:rsid w:val="000B058F"/>
    <w:rsid w:val="000B069A"/>
    <w:rsid w:val="000B4467"/>
    <w:rsid w:val="000B4DB9"/>
    <w:rsid w:val="000B55AF"/>
    <w:rsid w:val="000B7C58"/>
    <w:rsid w:val="000C0241"/>
    <w:rsid w:val="000C09AC"/>
    <w:rsid w:val="000C120A"/>
    <w:rsid w:val="000C6927"/>
    <w:rsid w:val="000C767F"/>
    <w:rsid w:val="000C77C5"/>
    <w:rsid w:val="000C7E9C"/>
    <w:rsid w:val="000D56EC"/>
    <w:rsid w:val="000D5A44"/>
    <w:rsid w:val="000D5C86"/>
    <w:rsid w:val="000E26FB"/>
    <w:rsid w:val="000E3ED2"/>
    <w:rsid w:val="000E54C5"/>
    <w:rsid w:val="000E66FA"/>
    <w:rsid w:val="000F04A2"/>
    <w:rsid w:val="000F36B4"/>
    <w:rsid w:val="000F3946"/>
    <w:rsid w:val="000F59BC"/>
    <w:rsid w:val="00100A62"/>
    <w:rsid w:val="001010DE"/>
    <w:rsid w:val="00101429"/>
    <w:rsid w:val="00101F9C"/>
    <w:rsid w:val="00112676"/>
    <w:rsid w:val="00115343"/>
    <w:rsid w:val="001163A6"/>
    <w:rsid w:val="001166E5"/>
    <w:rsid w:val="00126482"/>
    <w:rsid w:val="0012799A"/>
    <w:rsid w:val="001312F4"/>
    <w:rsid w:val="00131F42"/>
    <w:rsid w:val="0013233F"/>
    <w:rsid w:val="00133000"/>
    <w:rsid w:val="00133298"/>
    <w:rsid w:val="001357F1"/>
    <w:rsid w:val="00135903"/>
    <w:rsid w:val="00140C28"/>
    <w:rsid w:val="00140FA8"/>
    <w:rsid w:val="00142FEB"/>
    <w:rsid w:val="00143A2D"/>
    <w:rsid w:val="001441C1"/>
    <w:rsid w:val="00144332"/>
    <w:rsid w:val="0014468E"/>
    <w:rsid w:val="00144C2D"/>
    <w:rsid w:val="00145867"/>
    <w:rsid w:val="00145A41"/>
    <w:rsid w:val="00151675"/>
    <w:rsid w:val="00153527"/>
    <w:rsid w:val="00153C0E"/>
    <w:rsid w:val="00154FE1"/>
    <w:rsid w:val="00156532"/>
    <w:rsid w:val="00157435"/>
    <w:rsid w:val="00164216"/>
    <w:rsid w:val="00165763"/>
    <w:rsid w:val="00167D3F"/>
    <w:rsid w:val="00172C8D"/>
    <w:rsid w:val="00173E9C"/>
    <w:rsid w:val="0017504D"/>
    <w:rsid w:val="00176083"/>
    <w:rsid w:val="0017671A"/>
    <w:rsid w:val="00177422"/>
    <w:rsid w:val="001818C3"/>
    <w:rsid w:val="00181CEF"/>
    <w:rsid w:val="00184590"/>
    <w:rsid w:val="00185050"/>
    <w:rsid w:val="001870D1"/>
    <w:rsid w:val="0018781E"/>
    <w:rsid w:val="00187868"/>
    <w:rsid w:val="001914C2"/>
    <w:rsid w:val="0019262D"/>
    <w:rsid w:val="001957D0"/>
    <w:rsid w:val="00197314"/>
    <w:rsid w:val="001A0DB8"/>
    <w:rsid w:val="001A1B35"/>
    <w:rsid w:val="001A48A2"/>
    <w:rsid w:val="001A614F"/>
    <w:rsid w:val="001A6F61"/>
    <w:rsid w:val="001B67BC"/>
    <w:rsid w:val="001B72B8"/>
    <w:rsid w:val="001B7CEE"/>
    <w:rsid w:val="001C69B3"/>
    <w:rsid w:val="001C6B1D"/>
    <w:rsid w:val="001D2986"/>
    <w:rsid w:val="001D5595"/>
    <w:rsid w:val="001D7257"/>
    <w:rsid w:val="001D7874"/>
    <w:rsid w:val="001D7F22"/>
    <w:rsid w:val="001E0A63"/>
    <w:rsid w:val="001E0C47"/>
    <w:rsid w:val="001E4FA9"/>
    <w:rsid w:val="001F0F17"/>
    <w:rsid w:val="001F24D5"/>
    <w:rsid w:val="001F29BA"/>
    <w:rsid w:val="001F3347"/>
    <w:rsid w:val="001F4BCD"/>
    <w:rsid w:val="001F69E4"/>
    <w:rsid w:val="001F7E2E"/>
    <w:rsid w:val="00200B85"/>
    <w:rsid w:val="00205384"/>
    <w:rsid w:val="002054B5"/>
    <w:rsid w:val="0020580D"/>
    <w:rsid w:val="00205916"/>
    <w:rsid w:val="00205FF9"/>
    <w:rsid w:val="002125B4"/>
    <w:rsid w:val="0021268C"/>
    <w:rsid w:val="002155B8"/>
    <w:rsid w:val="00216B08"/>
    <w:rsid w:val="00216EF0"/>
    <w:rsid w:val="0022067A"/>
    <w:rsid w:val="00222EE5"/>
    <w:rsid w:val="002245B6"/>
    <w:rsid w:val="00224839"/>
    <w:rsid w:val="002249B2"/>
    <w:rsid w:val="00226574"/>
    <w:rsid w:val="00226BA6"/>
    <w:rsid w:val="002278EC"/>
    <w:rsid w:val="00232089"/>
    <w:rsid w:val="0023280E"/>
    <w:rsid w:val="00233D01"/>
    <w:rsid w:val="002377D1"/>
    <w:rsid w:val="002379FF"/>
    <w:rsid w:val="002404EA"/>
    <w:rsid w:val="00240685"/>
    <w:rsid w:val="00244F1A"/>
    <w:rsid w:val="002506BC"/>
    <w:rsid w:val="00250935"/>
    <w:rsid w:val="00251F66"/>
    <w:rsid w:val="002539A6"/>
    <w:rsid w:val="00254345"/>
    <w:rsid w:val="00260B02"/>
    <w:rsid w:val="002612CE"/>
    <w:rsid w:val="00264557"/>
    <w:rsid w:val="002648B8"/>
    <w:rsid w:val="002665AA"/>
    <w:rsid w:val="002805AB"/>
    <w:rsid w:val="00280C30"/>
    <w:rsid w:val="00282848"/>
    <w:rsid w:val="0028342B"/>
    <w:rsid w:val="00284204"/>
    <w:rsid w:val="00286B5F"/>
    <w:rsid w:val="00290110"/>
    <w:rsid w:val="00291773"/>
    <w:rsid w:val="00291D6A"/>
    <w:rsid w:val="00291F29"/>
    <w:rsid w:val="00293C85"/>
    <w:rsid w:val="00294C5A"/>
    <w:rsid w:val="00295975"/>
    <w:rsid w:val="002979E1"/>
    <w:rsid w:val="00297A73"/>
    <w:rsid w:val="002A0CD3"/>
    <w:rsid w:val="002A168C"/>
    <w:rsid w:val="002A1723"/>
    <w:rsid w:val="002A3DC7"/>
    <w:rsid w:val="002A433E"/>
    <w:rsid w:val="002A4616"/>
    <w:rsid w:val="002B32F2"/>
    <w:rsid w:val="002B49E2"/>
    <w:rsid w:val="002B60BC"/>
    <w:rsid w:val="002B7B00"/>
    <w:rsid w:val="002B7C44"/>
    <w:rsid w:val="002C2B17"/>
    <w:rsid w:val="002C793A"/>
    <w:rsid w:val="002D29A1"/>
    <w:rsid w:val="002D363B"/>
    <w:rsid w:val="002D3DD0"/>
    <w:rsid w:val="002D4947"/>
    <w:rsid w:val="002E1F3A"/>
    <w:rsid w:val="002E298A"/>
    <w:rsid w:val="002E63ED"/>
    <w:rsid w:val="002E667A"/>
    <w:rsid w:val="002E6FBD"/>
    <w:rsid w:val="002F1B98"/>
    <w:rsid w:val="002F206C"/>
    <w:rsid w:val="002F551D"/>
    <w:rsid w:val="002F6739"/>
    <w:rsid w:val="002F6801"/>
    <w:rsid w:val="002F6EEE"/>
    <w:rsid w:val="0030194E"/>
    <w:rsid w:val="00301978"/>
    <w:rsid w:val="0030261F"/>
    <w:rsid w:val="0030289A"/>
    <w:rsid w:val="0030332C"/>
    <w:rsid w:val="00304E6B"/>
    <w:rsid w:val="003051C2"/>
    <w:rsid w:val="003060A1"/>
    <w:rsid w:val="00306808"/>
    <w:rsid w:val="00310AD4"/>
    <w:rsid w:val="00311FBD"/>
    <w:rsid w:val="00312296"/>
    <w:rsid w:val="00314F0E"/>
    <w:rsid w:val="0031583E"/>
    <w:rsid w:val="00317BA2"/>
    <w:rsid w:val="00321D8E"/>
    <w:rsid w:val="003222C6"/>
    <w:rsid w:val="003233F3"/>
    <w:rsid w:val="003255CC"/>
    <w:rsid w:val="00325928"/>
    <w:rsid w:val="003277E6"/>
    <w:rsid w:val="00330680"/>
    <w:rsid w:val="0033101D"/>
    <w:rsid w:val="00331061"/>
    <w:rsid w:val="00332863"/>
    <w:rsid w:val="0033684D"/>
    <w:rsid w:val="00336930"/>
    <w:rsid w:val="00337B42"/>
    <w:rsid w:val="0034188E"/>
    <w:rsid w:val="00341B42"/>
    <w:rsid w:val="003430AF"/>
    <w:rsid w:val="0034348F"/>
    <w:rsid w:val="003502D5"/>
    <w:rsid w:val="0035222C"/>
    <w:rsid w:val="0035275D"/>
    <w:rsid w:val="003554BA"/>
    <w:rsid w:val="00356653"/>
    <w:rsid w:val="0035743F"/>
    <w:rsid w:val="003578E9"/>
    <w:rsid w:val="00357BE2"/>
    <w:rsid w:val="00360FAF"/>
    <w:rsid w:val="0036170C"/>
    <w:rsid w:val="0036347B"/>
    <w:rsid w:val="0036347D"/>
    <w:rsid w:val="00363CF3"/>
    <w:rsid w:val="00364287"/>
    <w:rsid w:val="0036460E"/>
    <w:rsid w:val="00365279"/>
    <w:rsid w:val="00366AF1"/>
    <w:rsid w:val="00366E0F"/>
    <w:rsid w:val="00373532"/>
    <w:rsid w:val="00375CBE"/>
    <w:rsid w:val="00377428"/>
    <w:rsid w:val="00380E24"/>
    <w:rsid w:val="003810A2"/>
    <w:rsid w:val="00381A72"/>
    <w:rsid w:val="00381DB1"/>
    <w:rsid w:val="00383D0C"/>
    <w:rsid w:val="00384676"/>
    <w:rsid w:val="00384E1B"/>
    <w:rsid w:val="003857C9"/>
    <w:rsid w:val="00390791"/>
    <w:rsid w:val="00390857"/>
    <w:rsid w:val="00394677"/>
    <w:rsid w:val="00396E93"/>
    <w:rsid w:val="003972FB"/>
    <w:rsid w:val="003A4991"/>
    <w:rsid w:val="003A4BF3"/>
    <w:rsid w:val="003A56AA"/>
    <w:rsid w:val="003A5A89"/>
    <w:rsid w:val="003A5B60"/>
    <w:rsid w:val="003A78C1"/>
    <w:rsid w:val="003B09C7"/>
    <w:rsid w:val="003B420D"/>
    <w:rsid w:val="003B76C2"/>
    <w:rsid w:val="003B7CB9"/>
    <w:rsid w:val="003C31F7"/>
    <w:rsid w:val="003C36DE"/>
    <w:rsid w:val="003C6C16"/>
    <w:rsid w:val="003D3BEA"/>
    <w:rsid w:val="003D48F5"/>
    <w:rsid w:val="003D794D"/>
    <w:rsid w:val="003E028A"/>
    <w:rsid w:val="003E1160"/>
    <w:rsid w:val="003E1797"/>
    <w:rsid w:val="003E294A"/>
    <w:rsid w:val="003E3058"/>
    <w:rsid w:val="003E4FC2"/>
    <w:rsid w:val="003E52FA"/>
    <w:rsid w:val="003E76A9"/>
    <w:rsid w:val="003E792E"/>
    <w:rsid w:val="003E7C52"/>
    <w:rsid w:val="003F0809"/>
    <w:rsid w:val="003F6545"/>
    <w:rsid w:val="003F6A8C"/>
    <w:rsid w:val="003F755C"/>
    <w:rsid w:val="00404C6C"/>
    <w:rsid w:val="00406F01"/>
    <w:rsid w:val="00412A4D"/>
    <w:rsid w:val="00414346"/>
    <w:rsid w:val="00416648"/>
    <w:rsid w:val="00416D50"/>
    <w:rsid w:val="00416FD5"/>
    <w:rsid w:val="00417772"/>
    <w:rsid w:val="00420E6A"/>
    <w:rsid w:val="004216AE"/>
    <w:rsid w:val="00422B22"/>
    <w:rsid w:val="00424A3A"/>
    <w:rsid w:val="00424C3B"/>
    <w:rsid w:val="00424C75"/>
    <w:rsid w:val="00424DE2"/>
    <w:rsid w:val="00425A9E"/>
    <w:rsid w:val="00426D6B"/>
    <w:rsid w:val="0042777D"/>
    <w:rsid w:val="00431E6C"/>
    <w:rsid w:val="00433CE7"/>
    <w:rsid w:val="00441E49"/>
    <w:rsid w:val="004428DA"/>
    <w:rsid w:val="00445500"/>
    <w:rsid w:val="004455F2"/>
    <w:rsid w:val="0045135C"/>
    <w:rsid w:val="0045188A"/>
    <w:rsid w:val="00452738"/>
    <w:rsid w:val="00455D9E"/>
    <w:rsid w:val="00455FB0"/>
    <w:rsid w:val="00456091"/>
    <w:rsid w:val="00457D52"/>
    <w:rsid w:val="00460BC9"/>
    <w:rsid w:val="00462312"/>
    <w:rsid w:val="00462FAB"/>
    <w:rsid w:val="00463132"/>
    <w:rsid w:val="00463E30"/>
    <w:rsid w:val="00466321"/>
    <w:rsid w:val="00473643"/>
    <w:rsid w:val="004741CC"/>
    <w:rsid w:val="00476425"/>
    <w:rsid w:val="00476E09"/>
    <w:rsid w:val="00477F94"/>
    <w:rsid w:val="00480096"/>
    <w:rsid w:val="00481037"/>
    <w:rsid w:val="00481F23"/>
    <w:rsid w:val="0048370C"/>
    <w:rsid w:val="004840B3"/>
    <w:rsid w:val="00484B9B"/>
    <w:rsid w:val="004855F6"/>
    <w:rsid w:val="0048661E"/>
    <w:rsid w:val="00486CC4"/>
    <w:rsid w:val="0049323F"/>
    <w:rsid w:val="0049324E"/>
    <w:rsid w:val="00493CDD"/>
    <w:rsid w:val="00494670"/>
    <w:rsid w:val="004A32DE"/>
    <w:rsid w:val="004A3823"/>
    <w:rsid w:val="004A3D3E"/>
    <w:rsid w:val="004A6FB0"/>
    <w:rsid w:val="004B1459"/>
    <w:rsid w:val="004B1E3E"/>
    <w:rsid w:val="004B1F5E"/>
    <w:rsid w:val="004B235E"/>
    <w:rsid w:val="004B2DA0"/>
    <w:rsid w:val="004B36C7"/>
    <w:rsid w:val="004B3A2C"/>
    <w:rsid w:val="004B3AB7"/>
    <w:rsid w:val="004B3EB1"/>
    <w:rsid w:val="004B5735"/>
    <w:rsid w:val="004B6436"/>
    <w:rsid w:val="004B6580"/>
    <w:rsid w:val="004B73BB"/>
    <w:rsid w:val="004C0A04"/>
    <w:rsid w:val="004C3282"/>
    <w:rsid w:val="004C6B4F"/>
    <w:rsid w:val="004C7238"/>
    <w:rsid w:val="004D17BC"/>
    <w:rsid w:val="004D3169"/>
    <w:rsid w:val="004D351D"/>
    <w:rsid w:val="004D48B2"/>
    <w:rsid w:val="004E1007"/>
    <w:rsid w:val="004E6946"/>
    <w:rsid w:val="004E71AA"/>
    <w:rsid w:val="004F0642"/>
    <w:rsid w:val="004F1AD8"/>
    <w:rsid w:val="004F1FB0"/>
    <w:rsid w:val="00501E78"/>
    <w:rsid w:val="00502610"/>
    <w:rsid w:val="005039CB"/>
    <w:rsid w:val="0050558F"/>
    <w:rsid w:val="00506286"/>
    <w:rsid w:val="00510813"/>
    <w:rsid w:val="00510AB0"/>
    <w:rsid w:val="00511990"/>
    <w:rsid w:val="00511DE0"/>
    <w:rsid w:val="005125F7"/>
    <w:rsid w:val="005131CA"/>
    <w:rsid w:val="00514870"/>
    <w:rsid w:val="00514B9B"/>
    <w:rsid w:val="0051679F"/>
    <w:rsid w:val="00517F02"/>
    <w:rsid w:val="005234B6"/>
    <w:rsid w:val="00524303"/>
    <w:rsid w:val="005258A2"/>
    <w:rsid w:val="0053036B"/>
    <w:rsid w:val="00530FFA"/>
    <w:rsid w:val="005316EF"/>
    <w:rsid w:val="00532D33"/>
    <w:rsid w:val="00532F23"/>
    <w:rsid w:val="00534109"/>
    <w:rsid w:val="00534BB7"/>
    <w:rsid w:val="0053527F"/>
    <w:rsid w:val="005401AE"/>
    <w:rsid w:val="00540684"/>
    <w:rsid w:val="005411E1"/>
    <w:rsid w:val="00542E07"/>
    <w:rsid w:val="00545424"/>
    <w:rsid w:val="005544EA"/>
    <w:rsid w:val="00554A7B"/>
    <w:rsid w:val="005556E2"/>
    <w:rsid w:val="0055572C"/>
    <w:rsid w:val="0056106A"/>
    <w:rsid w:val="005626B3"/>
    <w:rsid w:val="00566FC9"/>
    <w:rsid w:val="005678DE"/>
    <w:rsid w:val="005720AE"/>
    <w:rsid w:val="005731FE"/>
    <w:rsid w:val="00574DC9"/>
    <w:rsid w:val="005776CC"/>
    <w:rsid w:val="005813EC"/>
    <w:rsid w:val="0058498A"/>
    <w:rsid w:val="00587FF8"/>
    <w:rsid w:val="00591B8B"/>
    <w:rsid w:val="00594D77"/>
    <w:rsid w:val="005969E4"/>
    <w:rsid w:val="00597010"/>
    <w:rsid w:val="005A06B7"/>
    <w:rsid w:val="005A16AE"/>
    <w:rsid w:val="005A1759"/>
    <w:rsid w:val="005A2436"/>
    <w:rsid w:val="005A6126"/>
    <w:rsid w:val="005A68A7"/>
    <w:rsid w:val="005B0615"/>
    <w:rsid w:val="005B3BB8"/>
    <w:rsid w:val="005B3C2E"/>
    <w:rsid w:val="005B63A8"/>
    <w:rsid w:val="005B7B27"/>
    <w:rsid w:val="005C1D9A"/>
    <w:rsid w:val="005C484D"/>
    <w:rsid w:val="005C4CE6"/>
    <w:rsid w:val="005C51CC"/>
    <w:rsid w:val="005C56BF"/>
    <w:rsid w:val="005C7F65"/>
    <w:rsid w:val="005D36AB"/>
    <w:rsid w:val="005D47FA"/>
    <w:rsid w:val="005D56C9"/>
    <w:rsid w:val="005D602D"/>
    <w:rsid w:val="005E1230"/>
    <w:rsid w:val="005E1EC5"/>
    <w:rsid w:val="005E5905"/>
    <w:rsid w:val="005E6B7D"/>
    <w:rsid w:val="005E7BA6"/>
    <w:rsid w:val="005F1962"/>
    <w:rsid w:val="005F45A2"/>
    <w:rsid w:val="005F493F"/>
    <w:rsid w:val="00601CB9"/>
    <w:rsid w:val="00602608"/>
    <w:rsid w:val="00611F17"/>
    <w:rsid w:val="00613F4F"/>
    <w:rsid w:val="00617CC3"/>
    <w:rsid w:val="0062225E"/>
    <w:rsid w:val="0062734D"/>
    <w:rsid w:val="006330D5"/>
    <w:rsid w:val="00635553"/>
    <w:rsid w:val="00636BE3"/>
    <w:rsid w:val="006377A6"/>
    <w:rsid w:val="00637A3D"/>
    <w:rsid w:val="006411EF"/>
    <w:rsid w:val="0064631A"/>
    <w:rsid w:val="00646575"/>
    <w:rsid w:val="00646CD7"/>
    <w:rsid w:val="006563DB"/>
    <w:rsid w:val="00662C3C"/>
    <w:rsid w:val="006658D1"/>
    <w:rsid w:val="00672567"/>
    <w:rsid w:val="00672912"/>
    <w:rsid w:val="006732B3"/>
    <w:rsid w:val="00673369"/>
    <w:rsid w:val="00673937"/>
    <w:rsid w:val="006748B8"/>
    <w:rsid w:val="0067602A"/>
    <w:rsid w:val="0067650E"/>
    <w:rsid w:val="006775C3"/>
    <w:rsid w:val="006777FB"/>
    <w:rsid w:val="00680E62"/>
    <w:rsid w:val="00685145"/>
    <w:rsid w:val="00685428"/>
    <w:rsid w:val="006855D4"/>
    <w:rsid w:val="0069118E"/>
    <w:rsid w:val="0069290A"/>
    <w:rsid w:val="00694F33"/>
    <w:rsid w:val="0069775A"/>
    <w:rsid w:val="00697813"/>
    <w:rsid w:val="006A06DC"/>
    <w:rsid w:val="006A3EE8"/>
    <w:rsid w:val="006A72BF"/>
    <w:rsid w:val="006B03F2"/>
    <w:rsid w:val="006B3757"/>
    <w:rsid w:val="006B37DC"/>
    <w:rsid w:val="006B4E13"/>
    <w:rsid w:val="006B4F68"/>
    <w:rsid w:val="006C013B"/>
    <w:rsid w:val="006C0592"/>
    <w:rsid w:val="006C1BD2"/>
    <w:rsid w:val="006C272E"/>
    <w:rsid w:val="006C37E7"/>
    <w:rsid w:val="006C4B56"/>
    <w:rsid w:val="006C5479"/>
    <w:rsid w:val="006C61D4"/>
    <w:rsid w:val="006D13B5"/>
    <w:rsid w:val="006D289F"/>
    <w:rsid w:val="006D3B33"/>
    <w:rsid w:val="006E0CEE"/>
    <w:rsid w:val="006E1090"/>
    <w:rsid w:val="006E12FF"/>
    <w:rsid w:val="006E1636"/>
    <w:rsid w:val="006E2A99"/>
    <w:rsid w:val="006E607E"/>
    <w:rsid w:val="006F5395"/>
    <w:rsid w:val="006F5644"/>
    <w:rsid w:val="006F56DC"/>
    <w:rsid w:val="006F576D"/>
    <w:rsid w:val="006F6A8A"/>
    <w:rsid w:val="00701B89"/>
    <w:rsid w:val="00702E81"/>
    <w:rsid w:val="00702F8B"/>
    <w:rsid w:val="00703377"/>
    <w:rsid w:val="00703A19"/>
    <w:rsid w:val="00705886"/>
    <w:rsid w:val="00706C5D"/>
    <w:rsid w:val="00706D41"/>
    <w:rsid w:val="00712D59"/>
    <w:rsid w:val="007133A3"/>
    <w:rsid w:val="00716048"/>
    <w:rsid w:val="00721602"/>
    <w:rsid w:val="00722DB2"/>
    <w:rsid w:val="00724CE3"/>
    <w:rsid w:val="0072657A"/>
    <w:rsid w:val="007307B7"/>
    <w:rsid w:val="00731B45"/>
    <w:rsid w:val="007322AF"/>
    <w:rsid w:val="00732922"/>
    <w:rsid w:val="0073599C"/>
    <w:rsid w:val="00736DED"/>
    <w:rsid w:val="00737598"/>
    <w:rsid w:val="0074004E"/>
    <w:rsid w:val="007415A5"/>
    <w:rsid w:val="00741FB4"/>
    <w:rsid w:val="00742DAE"/>
    <w:rsid w:val="00747E91"/>
    <w:rsid w:val="0075162E"/>
    <w:rsid w:val="00754034"/>
    <w:rsid w:val="00755431"/>
    <w:rsid w:val="00756556"/>
    <w:rsid w:val="00760DC6"/>
    <w:rsid w:val="007618C4"/>
    <w:rsid w:val="00762FFF"/>
    <w:rsid w:val="007641ED"/>
    <w:rsid w:val="00764A12"/>
    <w:rsid w:val="00765D8A"/>
    <w:rsid w:val="0076749B"/>
    <w:rsid w:val="00767980"/>
    <w:rsid w:val="00770996"/>
    <w:rsid w:val="00770B19"/>
    <w:rsid w:val="007726B6"/>
    <w:rsid w:val="007727C2"/>
    <w:rsid w:val="0077409C"/>
    <w:rsid w:val="0077415D"/>
    <w:rsid w:val="0077463F"/>
    <w:rsid w:val="00775966"/>
    <w:rsid w:val="00775A8D"/>
    <w:rsid w:val="00776E15"/>
    <w:rsid w:val="007808F7"/>
    <w:rsid w:val="007816FD"/>
    <w:rsid w:val="007836EA"/>
    <w:rsid w:val="00784CDA"/>
    <w:rsid w:val="00786005"/>
    <w:rsid w:val="007906C4"/>
    <w:rsid w:val="0079152A"/>
    <w:rsid w:val="00791CEF"/>
    <w:rsid w:val="00793160"/>
    <w:rsid w:val="007940EA"/>
    <w:rsid w:val="0079679E"/>
    <w:rsid w:val="007967E8"/>
    <w:rsid w:val="00796B6D"/>
    <w:rsid w:val="007A2170"/>
    <w:rsid w:val="007A22BF"/>
    <w:rsid w:val="007A3323"/>
    <w:rsid w:val="007B0363"/>
    <w:rsid w:val="007B5FF6"/>
    <w:rsid w:val="007B65BD"/>
    <w:rsid w:val="007B72B8"/>
    <w:rsid w:val="007B7A58"/>
    <w:rsid w:val="007C17C7"/>
    <w:rsid w:val="007C1F44"/>
    <w:rsid w:val="007C21B5"/>
    <w:rsid w:val="007C29A5"/>
    <w:rsid w:val="007C60AC"/>
    <w:rsid w:val="007C6967"/>
    <w:rsid w:val="007C70FE"/>
    <w:rsid w:val="007D0E5C"/>
    <w:rsid w:val="007D136B"/>
    <w:rsid w:val="007D4934"/>
    <w:rsid w:val="007D61CA"/>
    <w:rsid w:val="007D64D2"/>
    <w:rsid w:val="007E0870"/>
    <w:rsid w:val="007E1291"/>
    <w:rsid w:val="007E27DB"/>
    <w:rsid w:val="007E426B"/>
    <w:rsid w:val="007E4BD2"/>
    <w:rsid w:val="007E4CAB"/>
    <w:rsid w:val="007E5691"/>
    <w:rsid w:val="007F36F3"/>
    <w:rsid w:val="007F42EB"/>
    <w:rsid w:val="007F4CFB"/>
    <w:rsid w:val="007F584B"/>
    <w:rsid w:val="007F697F"/>
    <w:rsid w:val="00800E04"/>
    <w:rsid w:val="00801393"/>
    <w:rsid w:val="00802F88"/>
    <w:rsid w:val="00803046"/>
    <w:rsid w:val="00804FF3"/>
    <w:rsid w:val="0080781F"/>
    <w:rsid w:val="0081051A"/>
    <w:rsid w:val="0081287C"/>
    <w:rsid w:val="0081293E"/>
    <w:rsid w:val="00813025"/>
    <w:rsid w:val="0081428A"/>
    <w:rsid w:val="00814408"/>
    <w:rsid w:val="00815465"/>
    <w:rsid w:val="00815BE3"/>
    <w:rsid w:val="008167BF"/>
    <w:rsid w:val="00817615"/>
    <w:rsid w:val="00817E9A"/>
    <w:rsid w:val="00822579"/>
    <w:rsid w:val="0082446D"/>
    <w:rsid w:val="00824A83"/>
    <w:rsid w:val="00825245"/>
    <w:rsid w:val="0082558F"/>
    <w:rsid w:val="00827DBB"/>
    <w:rsid w:val="008306BD"/>
    <w:rsid w:val="00831A80"/>
    <w:rsid w:val="00831FE6"/>
    <w:rsid w:val="00833743"/>
    <w:rsid w:val="008340A4"/>
    <w:rsid w:val="00835157"/>
    <w:rsid w:val="00835814"/>
    <w:rsid w:val="008358C8"/>
    <w:rsid w:val="008360C5"/>
    <w:rsid w:val="00836501"/>
    <w:rsid w:val="008378D9"/>
    <w:rsid w:val="00840D4F"/>
    <w:rsid w:val="0084677F"/>
    <w:rsid w:val="00846D9C"/>
    <w:rsid w:val="008537D5"/>
    <w:rsid w:val="00865A82"/>
    <w:rsid w:val="00866A89"/>
    <w:rsid w:val="008704C1"/>
    <w:rsid w:val="0087104D"/>
    <w:rsid w:val="0087135F"/>
    <w:rsid w:val="00872D94"/>
    <w:rsid w:val="0087440F"/>
    <w:rsid w:val="00875749"/>
    <w:rsid w:val="008773FC"/>
    <w:rsid w:val="00880364"/>
    <w:rsid w:val="00880372"/>
    <w:rsid w:val="00880B89"/>
    <w:rsid w:val="00880C1C"/>
    <w:rsid w:val="00881331"/>
    <w:rsid w:val="00882837"/>
    <w:rsid w:val="00882CA5"/>
    <w:rsid w:val="00883B99"/>
    <w:rsid w:val="008840CB"/>
    <w:rsid w:val="0088452A"/>
    <w:rsid w:val="00891592"/>
    <w:rsid w:val="00891E9E"/>
    <w:rsid w:val="00892112"/>
    <w:rsid w:val="008A0D78"/>
    <w:rsid w:val="008A2A33"/>
    <w:rsid w:val="008A2F68"/>
    <w:rsid w:val="008A5797"/>
    <w:rsid w:val="008A6781"/>
    <w:rsid w:val="008B0CFC"/>
    <w:rsid w:val="008B22AD"/>
    <w:rsid w:val="008B4FA6"/>
    <w:rsid w:val="008B5282"/>
    <w:rsid w:val="008B5C35"/>
    <w:rsid w:val="008B5D99"/>
    <w:rsid w:val="008B7C17"/>
    <w:rsid w:val="008B7CC5"/>
    <w:rsid w:val="008C17FB"/>
    <w:rsid w:val="008C1F35"/>
    <w:rsid w:val="008C2958"/>
    <w:rsid w:val="008C2D01"/>
    <w:rsid w:val="008C2F07"/>
    <w:rsid w:val="008C40E6"/>
    <w:rsid w:val="008D0F7A"/>
    <w:rsid w:val="008D1E63"/>
    <w:rsid w:val="008D27A9"/>
    <w:rsid w:val="008D68E4"/>
    <w:rsid w:val="008E0506"/>
    <w:rsid w:val="008E0CFF"/>
    <w:rsid w:val="008E2B7F"/>
    <w:rsid w:val="008E4C92"/>
    <w:rsid w:val="008E5C00"/>
    <w:rsid w:val="008E5D6B"/>
    <w:rsid w:val="008E76F0"/>
    <w:rsid w:val="008F00B0"/>
    <w:rsid w:val="008F15FE"/>
    <w:rsid w:val="008F2D29"/>
    <w:rsid w:val="008F2D3B"/>
    <w:rsid w:val="008F5187"/>
    <w:rsid w:val="008F60D8"/>
    <w:rsid w:val="008F7493"/>
    <w:rsid w:val="008F7DED"/>
    <w:rsid w:val="00902727"/>
    <w:rsid w:val="009029BA"/>
    <w:rsid w:val="00902CBE"/>
    <w:rsid w:val="0090312B"/>
    <w:rsid w:val="009049BC"/>
    <w:rsid w:val="00904D2B"/>
    <w:rsid w:val="0090583E"/>
    <w:rsid w:val="00906A7A"/>
    <w:rsid w:val="00911D90"/>
    <w:rsid w:val="009134E4"/>
    <w:rsid w:val="009139DA"/>
    <w:rsid w:val="00914209"/>
    <w:rsid w:val="009150CC"/>
    <w:rsid w:val="00915DA5"/>
    <w:rsid w:val="00916645"/>
    <w:rsid w:val="0091736D"/>
    <w:rsid w:val="00917EF8"/>
    <w:rsid w:val="00921403"/>
    <w:rsid w:val="00922177"/>
    <w:rsid w:val="0092395A"/>
    <w:rsid w:val="00924A5F"/>
    <w:rsid w:val="0093037A"/>
    <w:rsid w:val="009312B5"/>
    <w:rsid w:val="0093295E"/>
    <w:rsid w:val="00933B86"/>
    <w:rsid w:val="00936E3D"/>
    <w:rsid w:val="0094154D"/>
    <w:rsid w:val="00942563"/>
    <w:rsid w:val="00942911"/>
    <w:rsid w:val="00943898"/>
    <w:rsid w:val="0094402C"/>
    <w:rsid w:val="009453CF"/>
    <w:rsid w:val="009453DF"/>
    <w:rsid w:val="00945C29"/>
    <w:rsid w:val="00946D8F"/>
    <w:rsid w:val="00947A7C"/>
    <w:rsid w:val="00950EA0"/>
    <w:rsid w:val="0095155F"/>
    <w:rsid w:val="00952A09"/>
    <w:rsid w:val="00954429"/>
    <w:rsid w:val="00954CDA"/>
    <w:rsid w:val="00955A69"/>
    <w:rsid w:val="009563CE"/>
    <w:rsid w:val="00961E25"/>
    <w:rsid w:val="00963D97"/>
    <w:rsid w:val="009707BC"/>
    <w:rsid w:val="00976328"/>
    <w:rsid w:val="0097680D"/>
    <w:rsid w:val="0097698E"/>
    <w:rsid w:val="00982438"/>
    <w:rsid w:val="0098404C"/>
    <w:rsid w:val="00985283"/>
    <w:rsid w:val="00986882"/>
    <w:rsid w:val="00986E91"/>
    <w:rsid w:val="00987436"/>
    <w:rsid w:val="00990C66"/>
    <w:rsid w:val="00992450"/>
    <w:rsid w:val="00994405"/>
    <w:rsid w:val="00995992"/>
    <w:rsid w:val="009963B5"/>
    <w:rsid w:val="009A00A9"/>
    <w:rsid w:val="009A03E5"/>
    <w:rsid w:val="009A0420"/>
    <w:rsid w:val="009A0F3B"/>
    <w:rsid w:val="009A1481"/>
    <w:rsid w:val="009A17DE"/>
    <w:rsid w:val="009A1BB4"/>
    <w:rsid w:val="009A25C5"/>
    <w:rsid w:val="009A2628"/>
    <w:rsid w:val="009A3200"/>
    <w:rsid w:val="009A5D16"/>
    <w:rsid w:val="009A606C"/>
    <w:rsid w:val="009B0897"/>
    <w:rsid w:val="009B1107"/>
    <w:rsid w:val="009B186C"/>
    <w:rsid w:val="009B1C37"/>
    <w:rsid w:val="009B5326"/>
    <w:rsid w:val="009B77DD"/>
    <w:rsid w:val="009B7BD9"/>
    <w:rsid w:val="009C1E2B"/>
    <w:rsid w:val="009C615B"/>
    <w:rsid w:val="009C7BB2"/>
    <w:rsid w:val="009C7DD5"/>
    <w:rsid w:val="009D142B"/>
    <w:rsid w:val="009D3175"/>
    <w:rsid w:val="009D4670"/>
    <w:rsid w:val="009D4C4D"/>
    <w:rsid w:val="009D5CE9"/>
    <w:rsid w:val="009E0258"/>
    <w:rsid w:val="009E04F6"/>
    <w:rsid w:val="009E196D"/>
    <w:rsid w:val="009E227D"/>
    <w:rsid w:val="009E5019"/>
    <w:rsid w:val="009E5D2F"/>
    <w:rsid w:val="009E7297"/>
    <w:rsid w:val="009F2C2C"/>
    <w:rsid w:val="009F3750"/>
    <w:rsid w:val="009F393C"/>
    <w:rsid w:val="009F438A"/>
    <w:rsid w:val="009F4A29"/>
    <w:rsid w:val="00A0047C"/>
    <w:rsid w:val="00A01B62"/>
    <w:rsid w:val="00A023BC"/>
    <w:rsid w:val="00A04F1B"/>
    <w:rsid w:val="00A0501B"/>
    <w:rsid w:val="00A14947"/>
    <w:rsid w:val="00A203C4"/>
    <w:rsid w:val="00A21DFD"/>
    <w:rsid w:val="00A25220"/>
    <w:rsid w:val="00A260F8"/>
    <w:rsid w:val="00A26AEC"/>
    <w:rsid w:val="00A27BE2"/>
    <w:rsid w:val="00A32A83"/>
    <w:rsid w:val="00A3344A"/>
    <w:rsid w:val="00A35328"/>
    <w:rsid w:val="00A361B3"/>
    <w:rsid w:val="00A366CB"/>
    <w:rsid w:val="00A368DB"/>
    <w:rsid w:val="00A40B64"/>
    <w:rsid w:val="00A423AA"/>
    <w:rsid w:val="00A43A7D"/>
    <w:rsid w:val="00A441CD"/>
    <w:rsid w:val="00A446E6"/>
    <w:rsid w:val="00A50863"/>
    <w:rsid w:val="00A511DD"/>
    <w:rsid w:val="00A53EC6"/>
    <w:rsid w:val="00A55C0F"/>
    <w:rsid w:val="00A563D7"/>
    <w:rsid w:val="00A565B6"/>
    <w:rsid w:val="00A61AE1"/>
    <w:rsid w:val="00A61F7D"/>
    <w:rsid w:val="00A6355D"/>
    <w:rsid w:val="00A64522"/>
    <w:rsid w:val="00A649DB"/>
    <w:rsid w:val="00A66297"/>
    <w:rsid w:val="00A67043"/>
    <w:rsid w:val="00A70670"/>
    <w:rsid w:val="00A80834"/>
    <w:rsid w:val="00A8455F"/>
    <w:rsid w:val="00A84D66"/>
    <w:rsid w:val="00A8510F"/>
    <w:rsid w:val="00A8628E"/>
    <w:rsid w:val="00A8713F"/>
    <w:rsid w:val="00A87B06"/>
    <w:rsid w:val="00A90BA1"/>
    <w:rsid w:val="00A9246E"/>
    <w:rsid w:val="00A94138"/>
    <w:rsid w:val="00A97A9A"/>
    <w:rsid w:val="00AA0671"/>
    <w:rsid w:val="00AA2531"/>
    <w:rsid w:val="00AA7510"/>
    <w:rsid w:val="00AB1E09"/>
    <w:rsid w:val="00AB20CD"/>
    <w:rsid w:val="00AB3CC2"/>
    <w:rsid w:val="00AB404E"/>
    <w:rsid w:val="00AB4725"/>
    <w:rsid w:val="00AB5330"/>
    <w:rsid w:val="00AB7747"/>
    <w:rsid w:val="00AC14CE"/>
    <w:rsid w:val="00AC18D6"/>
    <w:rsid w:val="00AC2A56"/>
    <w:rsid w:val="00AC5F2F"/>
    <w:rsid w:val="00AD055E"/>
    <w:rsid w:val="00AD294D"/>
    <w:rsid w:val="00AD439E"/>
    <w:rsid w:val="00AD47A7"/>
    <w:rsid w:val="00AD7422"/>
    <w:rsid w:val="00AE0181"/>
    <w:rsid w:val="00AE1204"/>
    <w:rsid w:val="00AE17B5"/>
    <w:rsid w:val="00AE287D"/>
    <w:rsid w:val="00AE3FFC"/>
    <w:rsid w:val="00AE535A"/>
    <w:rsid w:val="00AE6D63"/>
    <w:rsid w:val="00AF0CBF"/>
    <w:rsid w:val="00AF2332"/>
    <w:rsid w:val="00AF257F"/>
    <w:rsid w:val="00AF33CF"/>
    <w:rsid w:val="00AF4D50"/>
    <w:rsid w:val="00AF4F13"/>
    <w:rsid w:val="00AF6179"/>
    <w:rsid w:val="00AF73EE"/>
    <w:rsid w:val="00B04BC4"/>
    <w:rsid w:val="00B07C39"/>
    <w:rsid w:val="00B07E06"/>
    <w:rsid w:val="00B1295A"/>
    <w:rsid w:val="00B16E6F"/>
    <w:rsid w:val="00B209E9"/>
    <w:rsid w:val="00B20A45"/>
    <w:rsid w:val="00B22C5C"/>
    <w:rsid w:val="00B23F98"/>
    <w:rsid w:val="00B24F30"/>
    <w:rsid w:val="00B25705"/>
    <w:rsid w:val="00B26BA2"/>
    <w:rsid w:val="00B30241"/>
    <w:rsid w:val="00B30AA0"/>
    <w:rsid w:val="00B3118E"/>
    <w:rsid w:val="00B31ABF"/>
    <w:rsid w:val="00B33A1C"/>
    <w:rsid w:val="00B33BE3"/>
    <w:rsid w:val="00B36BD0"/>
    <w:rsid w:val="00B37B27"/>
    <w:rsid w:val="00B42F5E"/>
    <w:rsid w:val="00B440EB"/>
    <w:rsid w:val="00B47EB2"/>
    <w:rsid w:val="00B47F48"/>
    <w:rsid w:val="00B50954"/>
    <w:rsid w:val="00B5187F"/>
    <w:rsid w:val="00B53B5D"/>
    <w:rsid w:val="00B5498D"/>
    <w:rsid w:val="00B6055E"/>
    <w:rsid w:val="00B6317D"/>
    <w:rsid w:val="00B63EE0"/>
    <w:rsid w:val="00B70043"/>
    <w:rsid w:val="00B73140"/>
    <w:rsid w:val="00B743A8"/>
    <w:rsid w:val="00B7723F"/>
    <w:rsid w:val="00B77AD8"/>
    <w:rsid w:val="00B80534"/>
    <w:rsid w:val="00B81380"/>
    <w:rsid w:val="00B822D5"/>
    <w:rsid w:val="00B8433C"/>
    <w:rsid w:val="00B85B67"/>
    <w:rsid w:val="00B87491"/>
    <w:rsid w:val="00B87926"/>
    <w:rsid w:val="00B907B4"/>
    <w:rsid w:val="00B90C1B"/>
    <w:rsid w:val="00B92CC3"/>
    <w:rsid w:val="00B9303E"/>
    <w:rsid w:val="00B9330A"/>
    <w:rsid w:val="00B962E2"/>
    <w:rsid w:val="00BA29E9"/>
    <w:rsid w:val="00BA32E6"/>
    <w:rsid w:val="00BA5D25"/>
    <w:rsid w:val="00BA7142"/>
    <w:rsid w:val="00BB0445"/>
    <w:rsid w:val="00BB1445"/>
    <w:rsid w:val="00BB237C"/>
    <w:rsid w:val="00BB2B33"/>
    <w:rsid w:val="00BB41A3"/>
    <w:rsid w:val="00BB4638"/>
    <w:rsid w:val="00BB541B"/>
    <w:rsid w:val="00BB5C56"/>
    <w:rsid w:val="00BB7E33"/>
    <w:rsid w:val="00BC0BCD"/>
    <w:rsid w:val="00BC232F"/>
    <w:rsid w:val="00BC32DC"/>
    <w:rsid w:val="00BC35B6"/>
    <w:rsid w:val="00BC67A6"/>
    <w:rsid w:val="00BD1B51"/>
    <w:rsid w:val="00BD2237"/>
    <w:rsid w:val="00BD3018"/>
    <w:rsid w:val="00BD4596"/>
    <w:rsid w:val="00BD6E77"/>
    <w:rsid w:val="00BE0C1F"/>
    <w:rsid w:val="00BE1405"/>
    <w:rsid w:val="00BE1DC7"/>
    <w:rsid w:val="00BE1E7D"/>
    <w:rsid w:val="00BE2B06"/>
    <w:rsid w:val="00BE312D"/>
    <w:rsid w:val="00BE7893"/>
    <w:rsid w:val="00BE7BC4"/>
    <w:rsid w:val="00BF1442"/>
    <w:rsid w:val="00BF1C20"/>
    <w:rsid w:val="00BF29DE"/>
    <w:rsid w:val="00BF2A06"/>
    <w:rsid w:val="00BF2FAC"/>
    <w:rsid w:val="00BF3BD9"/>
    <w:rsid w:val="00C042D4"/>
    <w:rsid w:val="00C04A17"/>
    <w:rsid w:val="00C069AF"/>
    <w:rsid w:val="00C10578"/>
    <w:rsid w:val="00C11C0D"/>
    <w:rsid w:val="00C12B22"/>
    <w:rsid w:val="00C131D0"/>
    <w:rsid w:val="00C134AB"/>
    <w:rsid w:val="00C135BC"/>
    <w:rsid w:val="00C15C95"/>
    <w:rsid w:val="00C24457"/>
    <w:rsid w:val="00C248D6"/>
    <w:rsid w:val="00C2596A"/>
    <w:rsid w:val="00C27537"/>
    <w:rsid w:val="00C276C0"/>
    <w:rsid w:val="00C328FE"/>
    <w:rsid w:val="00C33507"/>
    <w:rsid w:val="00C33DD2"/>
    <w:rsid w:val="00C350B3"/>
    <w:rsid w:val="00C40251"/>
    <w:rsid w:val="00C404BE"/>
    <w:rsid w:val="00C4409D"/>
    <w:rsid w:val="00C449A5"/>
    <w:rsid w:val="00C44E72"/>
    <w:rsid w:val="00C45A06"/>
    <w:rsid w:val="00C470EB"/>
    <w:rsid w:val="00C471A5"/>
    <w:rsid w:val="00C47E5B"/>
    <w:rsid w:val="00C505F0"/>
    <w:rsid w:val="00C5060F"/>
    <w:rsid w:val="00C5199B"/>
    <w:rsid w:val="00C53241"/>
    <w:rsid w:val="00C57C42"/>
    <w:rsid w:val="00C61E4B"/>
    <w:rsid w:val="00C63EBC"/>
    <w:rsid w:val="00C64BFF"/>
    <w:rsid w:val="00C66748"/>
    <w:rsid w:val="00C67D27"/>
    <w:rsid w:val="00C704E9"/>
    <w:rsid w:val="00C70DF5"/>
    <w:rsid w:val="00C7245D"/>
    <w:rsid w:val="00C763C9"/>
    <w:rsid w:val="00C80057"/>
    <w:rsid w:val="00C80591"/>
    <w:rsid w:val="00C81E27"/>
    <w:rsid w:val="00C82232"/>
    <w:rsid w:val="00C82913"/>
    <w:rsid w:val="00C8381B"/>
    <w:rsid w:val="00C84300"/>
    <w:rsid w:val="00C85E88"/>
    <w:rsid w:val="00C85FBF"/>
    <w:rsid w:val="00C920BF"/>
    <w:rsid w:val="00C92873"/>
    <w:rsid w:val="00C92B6F"/>
    <w:rsid w:val="00C94FCA"/>
    <w:rsid w:val="00C972B1"/>
    <w:rsid w:val="00CA2CCE"/>
    <w:rsid w:val="00CA2EB2"/>
    <w:rsid w:val="00CA3063"/>
    <w:rsid w:val="00CA43FD"/>
    <w:rsid w:val="00CA5D6B"/>
    <w:rsid w:val="00CA7EF8"/>
    <w:rsid w:val="00CB0AD9"/>
    <w:rsid w:val="00CB2335"/>
    <w:rsid w:val="00CB255D"/>
    <w:rsid w:val="00CB636D"/>
    <w:rsid w:val="00CB7ABD"/>
    <w:rsid w:val="00CB7DA0"/>
    <w:rsid w:val="00CC1F4D"/>
    <w:rsid w:val="00CC36D5"/>
    <w:rsid w:val="00CC4212"/>
    <w:rsid w:val="00CC489B"/>
    <w:rsid w:val="00CC4E59"/>
    <w:rsid w:val="00CC7ABB"/>
    <w:rsid w:val="00CC7B22"/>
    <w:rsid w:val="00CD0CFB"/>
    <w:rsid w:val="00CD2BCD"/>
    <w:rsid w:val="00CD3A4C"/>
    <w:rsid w:val="00CD3E81"/>
    <w:rsid w:val="00CD4678"/>
    <w:rsid w:val="00CD57C7"/>
    <w:rsid w:val="00CD5B7C"/>
    <w:rsid w:val="00CD62B4"/>
    <w:rsid w:val="00CE10E9"/>
    <w:rsid w:val="00CE2910"/>
    <w:rsid w:val="00CE2B93"/>
    <w:rsid w:val="00CE2C05"/>
    <w:rsid w:val="00CE3FB4"/>
    <w:rsid w:val="00CE5393"/>
    <w:rsid w:val="00CE563F"/>
    <w:rsid w:val="00CF0B0F"/>
    <w:rsid w:val="00CF1C6A"/>
    <w:rsid w:val="00CF36BE"/>
    <w:rsid w:val="00CF41BF"/>
    <w:rsid w:val="00CF6000"/>
    <w:rsid w:val="00CF6F93"/>
    <w:rsid w:val="00CF7C52"/>
    <w:rsid w:val="00D002C6"/>
    <w:rsid w:val="00D003F3"/>
    <w:rsid w:val="00D008F4"/>
    <w:rsid w:val="00D01278"/>
    <w:rsid w:val="00D0364F"/>
    <w:rsid w:val="00D03D6C"/>
    <w:rsid w:val="00D045C4"/>
    <w:rsid w:val="00D05CCD"/>
    <w:rsid w:val="00D06834"/>
    <w:rsid w:val="00D07303"/>
    <w:rsid w:val="00D07894"/>
    <w:rsid w:val="00D11D40"/>
    <w:rsid w:val="00D12D6F"/>
    <w:rsid w:val="00D13202"/>
    <w:rsid w:val="00D20D32"/>
    <w:rsid w:val="00D243C0"/>
    <w:rsid w:val="00D2768A"/>
    <w:rsid w:val="00D308ED"/>
    <w:rsid w:val="00D30AD0"/>
    <w:rsid w:val="00D316CD"/>
    <w:rsid w:val="00D31E96"/>
    <w:rsid w:val="00D321AB"/>
    <w:rsid w:val="00D32244"/>
    <w:rsid w:val="00D33257"/>
    <w:rsid w:val="00D36D86"/>
    <w:rsid w:val="00D41C16"/>
    <w:rsid w:val="00D428AA"/>
    <w:rsid w:val="00D4380C"/>
    <w:rsid w:val="00D44E9D"/>
    <w:rsid w:val="00D478D2"/>
    <w:rsid w:val="00D50A34"/>
    <w:rsid w:val="00D53062"/>
    <w:rsid w:val="00D53EFA"/>
    <w:rsid w:val="00D548E2"/>
    <w:rsid w:val="00D56FAD"/>
    <w:rsid w:val="00D61A83"/>
    <w:rsid w:val="00D64539"/>
    <w:rsid w:val="00D654C5"/>
    <w:rsid w:val="00D65E83"/>
    <w:rsid w:val="00D7232A"/>
    <w:rsid w:val="00D72872"/>
    <w:rsid w:val="00D755F9"/>
    <w:rsid w:val="00D76807"/>
    <w:rsid w:val="00D83658"/>
    <w:rsid w:val="00D873F8"/>
    <w:rsid w:val="00D87BB6"/>
    <w:rsid w:val="00D900B8"/>
    <w:rsid w:val="00D94A7C"/>
    <w:rsid w:val="00D95896"/>
    <w:rsid w:val="00D95B7D"/>
    <w:rsid w:val="00D96F67"/>
    <w:rsid w:val="00D9770B"/>
    <w:rsid w:val="00DA34D4"/>
    <w:rsid w:val="00DB0434"/>
    <w:rsid w:val="00DB1743"/>
    <w:rsid w:val="00DB2983"/>
    <w:rsid w:val="00DB494B"/>
    <w:rsid w:val="00DB6DF8"/>
    <w:rsid w:val="00DC0D9B"/>
    <w:rsid w:val="00DC1257"/>
    <w:rsid w:val="00DC278C"/>
    <w:rsid w:val="00DC3DC0"/>
    <w:rsid w:val="00DC5B2B"/>
    <w:rsid w:val="00DC60B4"/>
    <w:rsid w:val="00DD0467"/>
    <w:rsid w:val="00DD318D"/>
    <w:rsid w:val="00DD4E32"/>
    <w:rsid w:val="00DD6330"/>
    <w:rsid w:val="00DD71BA"/>
    <w:rsid w:val="00DE14B2"/>
    <w:rsid w:val="00DE16FF"/>
    <w:rsid w:val="00DE18FC"/>
    <w:rsid w:val="00DE2566"/>
    <w:rsid w:val="00DE37EA"/>
    <w:rsid w:val="00DF202F"/>
    <w:rsid w:val="00DF2E12"/>
    <w:rsid w:val="00DF2FAA"/>
    <w:rsid w:val="00DF514A"/>
    <w:rsid w:val="00DF60EF"/>
    <w:rsid w:val="00DF6690"/>
    <w:rsid w:val="00DF6804"/>
    <w:rsid w:val="00E02885"/>
    <w:rsid w:val="00E0358D"/>
    <w:rsid w:val="00E037D7"/>
    <w:rsid w:val="00E04323"/>
    <w:rsid w:val="00E05BC2"/>
    <w:rsid w:val="00E05C7E"/>
    <w:rsid w:val="00E06580"/>
    <w:rsid w:val="00E06E73"/>
    <w:rsid w:val="00E070A2"/>
    <w:rsid w:val="00E100F9"/>
    <w:rsid w:val="00E15B55"/>
    <w:rsid w:val="00E169A6"/>
    <w:rsid w:val="00E1750D"/>
    <w:rsid w:val="00E207EA"/>
    <w:rsid w:val="00E23086"/>
    <w:rsid w:val="00E25476"/>
    <w:rsid w:val="00E263BD"/>
    <w:rsid w:val="00E2656A"/>
    <w:rsid w:val="00E27FE6"/>
    <w:rsid w:val="00E3012E"/>
    <w:rsid w:val="00E370AB"/>
    <w:rsid w:val="00E378B5"/>
    <w:rsid w:val="00E412D0"/>
    <w:rsid w:val="00E41E59"/>
    <w:rsid w:val="00E423BC"/>
    <w:rsid w:val="00E43D80"/>
    <w:rsid w:val="00E44565"/>
    <w:rsid w:val="00E461A9"/>
    <w:rsid w:val="00E46442"/>
    <w:rsid w:val="00E46DC8"/>
    <w:rsid w:val="00E518DC"/>
    <w:rsid w:val="00E51C12"/>
    <w:rsid w:val="00E52055"/>
    <w:rsid w:val="00E52919"/>
    <w:rsid w:val="00E5363A"/>
    <w:rsid w:val="00E56322"/>
    <w:rsid w:val="00E5732A"/>
    <w:rsid w:val="00E60982"/>
    <w:rsid w:val="00E61780"/>
    <w:rsid w:val="00E62C62"/>
    <w:rsid w:val="00E654C1"/>
    <w:rsid w:val="00E65D97"/>
    <w:rsid w:val="00E65FC1"/>
    <w:rsid w:val="00E72A5A"/>
    <w:rsid w:val="00E73354"/>
    <w:rsid w:val="00E7437F"/>
    <w:rsid w:val="00E8012B"/>
    <w:rsid w:val="00E8102A"/>
    <w:rsid w:val="00E8134A"/>
    <w:rsid w:val="00E8152F"/>
    <w:rsid w:val="00E81FEC"/>
    <w:rsid w:val="00E85E71"/>
    <w:rsid w:val="00E85FEB"/>
    <w:rsid w:val="00E91270"/>
    <w:rsid w:val="00E9242D"/>
    <w:rsid w:val="00E93D73"/>
    <w:rsid w:val="00E94537"/>
    <w:rsid w:val="00E94D19"/>
    <w:rsid w:val="00E95A4E"/>
    <w:rsid w:val="00E96DFF"/>
    <w:rsid w:val="00E97328"/>
    <w:rsid w:val="00EA039F"/>
    <w:rsid w:val="00EA1025"/>
    <w:rsid w:val="00EA1EAD"/>
    <w:rsid w:val="00EA5D82"/>
    <w:rsid w:val="00EB1900"/>
    <w:rsid w:val="00EB1C62"/>
    <w:rsid w:val="00EB4780"/>
    <w:rsid w:val="00EB5255"/>
    <w:rsid w:val="00EB58E9"/>
    <w:rsid w:val="00EB5C47"/>
    <w:rsid w:val="00EC08DA"/>
    <w:rsid w:val="00EC0DB3"/>
    <w:rsid w:val="00EC1CBF"/>
    <w:rsid w:val="00EC3AAD"/>
    <w:rsid w:val="00EC5B7D"/>
    <w:rsid w:val="00ED0639"/>
    <w:rsid w:val="00ED3906"/>
    <w:rsid w:val="00ED5685"/>
    <w:rsid w:val="00EE12E5"/>
    <w:rsid w:val="00EE1BCD"/>
    <w:rsid w:val="00EE36D7"/>
    <w:rsid w:val="00EE3A69"/>
    <w:rsid w:val="00EE674E"/>
    <w:rsid w:val="00EE6C08"/>
    <w:rsid w:val="00EF2F5E"/>
    <w:rsid w:val="00EF39F8"/>
    <w:rsid w:val="00EF4755"/>
    <w:rsid w:val="00EF4C9B"/>
    <w:rsid w:val="00EF7135"/>
    <w:rsid w:val="00EF71B2"/>
    <w:rsid w:val="00EF739F"/>
    <w:rsid w:val="00EF7C6A"/>
    <w:rsid w:val="00F0030A"/>
    <w:rsid w:val="00F0086E"/>
    <w:rsid w:val="00F02708"/>
    <w:rsid w:val="00F027DB"/>
    <w:rsid w:val="00F0392D"/>
    <w:rsid w:val="00F042E1"/>
    <w:rsid w:val="00F049AA"/>
    <w:rsid w:val="00F049F8"/>
    <w:rsid w:val="00F04B2D"/>
    <w:rsid w:val="00F051F8"/>
    <w:rsid w:val="00F060BB"/>
    <w:rsid w:val="00F067DB"/>
    <w:rsid w:val="00F1182D"/>
    <w:rsid w:val="00F12032"/>
    <w:rsid w:val="00F120C8"/>
    <w:rsid w:val="00F1234A"/>
    <w:rsid w:val="00F14788"/>
    <w:rsid w:val="00F14A7A"/>
    <w:rsid w:val="00F15458"/>
    <w:rsid w:val="00F16B17"/>
    <w:rsid w:val="00F1719D"/>
    <w:rsid w:val="00F2262F"/>
    <w:rsid w:val="00F22985"/>
    <w:rsid w:val="00F23D27"/>
    <w:rsid w:val="00F25ADF"/>
    <w:rsid w:val="00F312C5"/>
    <w:rsid w:val="00F3260F"/>
    <w:rsid w:val="00F3383E"/>
    <w:rsid w:val="00F40C1C"/>
    <w:rsid w:val="00F41137"/>
    <w:rsid w:val="00F4133C"/>
    <w:rsid w:val="00F4316F"/>
    <w:rsid w:val="00F441E6"/>
    <w:rsid w:val="00F46106"/>
    <w:rsid w:val="00F465A7"/>
    <w:rsid w:val="00F46CEA"/>
    <w:rsid w:val="00F50B7C"/>
    <w:rsid w:val="00F51FF3"/>
    <w:rsid w:val="00F53CD1"/>
    <w:rsid w:val="00F550E6"/>
    <w:rsid w:val="00F56055"/>
    <w:rsid w:val="00F57974"/>
    <w:rsid w:val="00F633E0"/>
    <w:rsid w:val="00F63D8F"/>
    <w:rsid w:val="00F65430"/>
    <w:rsid w:val="00F65D7B"/>
    <w:rsid w:val="00F72437"/>
    <w:rsid w:val="00F74345"/>
    <w:rsid w:val="00F76FD8"/>
    <w:rsid w:val="00F80A0A"/>
    <w:rsid w:val="00F81CEE"/>
    <w:rsid w:val="00F82B19"/>
    <w:rsid w:val="00F86920"/>
    <w:rsid w:val="00F9212D"/>
    <w:rsid w:val="00F92526"/>
    <w:rsid w:val="00F9365E"/>
    <w:rsid w:val="00F965DA"/>
    <w:rsid w:val="00FA06C1"/>
    <w:rsid w:val="00FA09DC"/>
    <w:rsid w:val="00FA29DB"/>
    <w:rsid w:val="00FA406A"/>
    <w:rsid w:val="00FA5695"/>
    <w:rsid w:val="00FB0DCC"/>
    <w:rsid w:val="00FB2935"/>
    <w:rsid w:val="00FB4288"/>
    <w:rsid w:val="00FB503A"/>
    <w:rsid w:val="00FB516C"/>
    <w:rsid w:val="00FC14DC"/>
    <w:rsid w:val="00FC40B2"/>
    <w:rsid w:val="00FC44C9"/>
    <w:rsid w:val="00FC7BFF"/>
    <w:rsid w:val="00FD0236"/>
    <w:rsid w:val="00FD027B"/>
    <w:rsid w:val="00FD0F86"/>
    <w:rsid w:val="00FD18F4"/>
    <w:rsid w:val="00FD3BF4"/>
    <w:rsid w:val="00FD54DB"/>
    <w:rsid w:val="00FD6089"/>
    <w:rsid w:val="00FD619F"/>
    <w:rsid w:val="00FD6639"/>
    <w:rsid w:val="00FD7BD2"/>
    <w:rsid w:val="00FE558F"/>
    <w:rsid w:val="00FE6C25"/>
    <w:rsid w:val="00FF0E50"/>
    <w:rsid w:val="00FF1B21"/>
    <w:rsid w:val="00FF475F"/>
    <w:rsid w:val="00FF6F6C"/>
    <w:rsid w:val="01287AD5"/>
    <w:rsid w:val="01290F7E"/>
    <w:rsid w:val="013C1A7C"/>
    <w:rsid w:val="01560B26"/>
    <w:rsid w:val="015D1E09"/>
    <w:rsid w:val="01640E6C"/>
    <w:rsid w:val="016C6C20"/>
    <w:rsid w:val="01883901"/>
    <w:rsid w:val="018D0F17"/>
    <w:rsid w:val="01AC4168"/>
    <w:rsid w:val="01B34EE9"/>
    <w:rsid w:val="01DD1426"/>
    <w:rsid w:val="01DE0FFF"/>
    <w:rsid w:val="01E23F77"/>
    <w:rsid w:val="01F0731D"/>
    <w:rsid w:val="020E5618"/>
    <w:rsid w:val="02155BEB"/>
    <w:rsid w:val="02184A64"/>
    <w:rsid w:val="02467A44"/>
    <w:rsid w:val="02476ADC"/>
    <w:rsid w:val="02640A59"/>
    <w:rsid w:val="02697903"/>
    <w:rsid w:val="026F1EB8"/>
    <w:rsid w:val="027415EF"/>
    <w:rsid w:val="0277152A"/>
    <w:rsid w:val="02775CAF"/>
    <w:rsid w:val="02934783"/>
    <w:rsid w:val="0294794D"/>
    <w:rsid w:val="02E1151B"/>
    <w:rsid w:val="02EB384F"/>
    <w:rsid w:val="02F73305"/>
    <w:rsid w:val="02F96569"/>
    <w:rsid w:val="030D0B77"/>
    <w:rsid w:val="03181798"/>
    <w:rsid w:val="03333214"/>
    <w:rsid w:val="0337027E"/>
    <w:rsid w:val="033D45E6"/>
    <w:rsid w:val="03411E2D"/>
    <w:rsid w:val="035678BD"/>
    <w:rsid w:val="035F4045"/>
    <w:rsid w:val="03797600"/>
    <w:rsid w:val="03997F72"/>
    <w:rsid w:val="03AA69C8"/>
    <w:rsid w:val="03D177E1"/>
    <w:rsid w:val="03D20423"/>
    <w:rsid w:val="03E54872"/>
    <w:rsid w:val="03E92014"/>
    <w:rsid w:val="03EA7B21"/>
    <w:rsid w:val="03F35283"/>
    <w:rsid w:val="040E44FD"/>
    <w:rsid w:val="041408F0"/>
    <w:rsid w:val="04165C9A"/>
    <w:rsid w:val="041E3A8C"/>
    <w:rsid w:val="044B7B0C"/>
    <w:rsid w:val="0453026C"/>
    <w:rsid w:val="04715747"/>
    <w:rsid w:val="047A2FA7"/>
    <w:rsid w:val="04852556"/>
    <w:rsid w:val="04856FDF"/>
    <w:rsid w:val="048B366B"/>
    <w:rsid w:val="04A44EF6"/>
    <w:rsid w:val="04AC161D"/>
    <w:rsid w:val="04C82992"/>
    <w:rsid w:val="04D104DE"/>
    <w:rsid w:val="04D255BF"/>
    <w:rsid w:val="04D91EF3"/>
    <w:rsid w:val="04F1101F"/>
    <w:rsid w:val="050102FD"/>
    <w:rsid w:val="05062802"/>
    <w:rsid w:val="052D1913"/>
    <w:rsid w:val="053B3BEC"/>
    <w:rsid w:val="0543026B"/>
    <w:rsid w:val="054D2D81"/>
    <w:rsid w:val="05680716"/>
    <w:rsid w:val="05680926"/>
    <w:rsid w:val="056C7AAD"/>
    <w:rsid w:val="056F66D5"/>
    <w:rsid w:val="0575186D"/>
    <w:rsid w:val="059369B1"/>
    <w:rsid w:val="05980C71"/>
    <w:rsid w:val="05A76A4C"/>
    <w:rsid w:val="05BC3ADF"/>
    <w:rsid w:val="05C40A5F"/>
    <w:rsid w:val="05C612B0"/>
    <w:rsid w:val="05DE51E6"/>
    <w:rsid w:val="05F83EAE"/>
    <w:rsid w:val="060D0228"/>
    <w:rsid w:val="061451E7"/>
    <w:rsid w:val="06216782"/>
    <w:rsid w:val="06304C93"/>
    <w:rsid w:val="063232F8"/>
    <w:rsid w:val="063E7D85"/>
    <w:rsid w:val="064249C6"/>
    <w:rsid w:val="06431115"/>
    <w:rsid w:val="06557E57"/>
    <w:rsid w:val="06593D9F"/>
    <w:rsid w:val="066145AA"/>
    <w:rsid w:val="066D6EFA"/>
    <w:rsid w:val="067A51DC"/>
    <w:rsid w:val="068E3629"/>
    <w:rsid w:val="0692262F"/>
    <w:rsid w:val="06932A9F"/>
    <w:rsid w:val="069528EF"/>
    <w:rsid w:val="06A10CCF"/>
    <w:rsid w:val="06CC4650"/>
    <w:rsid w:val="06D32749"/>
    <w:rsid w:val="06F3381C"/>
    <w:rsid w:val="07030547"/>
    <w:rsid w:val="07166908"/>
    <w:rsid w:val="07293586"/>
    <w:rsid w:val="07295285"/>
    <w:rsid w:val="075B03A8"/>
    <w:rsid w:val="075E1969"/>
    <w:rsid w:val="07636392"/>
    <w:rsid w:val="0769231A"/>
    <w:rsid w:val="07770C56"/>
    <w:rsid w:val="077A7015"/>
    <w:rsid w:val="07845BBC"/>
    <w:rsid w:val="07886A4E"/>
    <w:rsid w:val="079704A2"/>
    <w:rsid w:val="07A7284F"/>
    <w:rsid w:val="07D85D6C"/>
    <w:rsid w:val="07DC3AEB"/>
    <w:rsid w:val="07EA1142"/>
    <w:rsid w:val="07FD497F"/>
    <w:rsid w:val="080C12A7"/>
    <w:rsid w:val="08101B6E"/>
    <w:rsid w:val="08154053"/>
    <w:rsid w:val="083D0169"/>
    <w:rsid w:val="08721ECB"/>
    <w:rsid w:val="08782669"/>
    <w:rsid w:val="08847A65"/>
    <w:rsid w:val="08A00B7C"/>
    <w:rsid w:val="08A13B70"/>
    <w:rsid w:val="08B167D6"/>
    <w:rsid w:val="08B575E4"/>
    <w:rsid w:val="08C33071"/>
    <w:rsid w:val="08C55D92"/>
    <w:rsid w:val="08CE0793"/>
    <w:rsid w:val="08D7624A"/>
    <w:rsid w:val="08D975E3"/>
    <w:rsid w:val="08DA5350"/>
    <w:rsid w:val="08DD60E0"/>
    <w:rsid w:val="08E11319"/>
    <w:rsid w:val="08EC60A5"/>
    <w:rsid w:val="08F6721C"/>
    <w:rsid w:val="090A479D"/>
    <w:rsid w:val="091504FD"/>
    <w:rsid w:val="09166AD6"/>
    <w:rsid w:val="091C797D"/>
    <w:rsid w:val="091D0068"/>
    <w:rsid w:val="092217DD"/>
    <w:rsid w:val="093A7294"/>
    <w:rsid w:val="09445572"/>
    <w:rsid w:val="095341C3"/>
    <w:rsid w:val="09575C43"/>
    <w:rsid w:val="095B2B5B"/>
    <w:rsid w:val="0982728F"/>
    <w:rsid w:val="098A37F2"/>
    <w:rsid w:val="099B0EA0"/>
    <w:rsid w:val="099D2001"/>
    <w:rsid w:val="09AF6D02"/>
    <w:rsid w:val="09B27365"/>
    <w:rsid w:val="09B92DCE"/>
    <w:rsid w:val="09BD64F0"/>
    <w:rsid w:val="09CD559D"/>
    <w:rsid w:val="09DD1B62"/>
    <w:rsid w:val="09DE2144"/>
    <w:rsid w:val="09EA645E"/>
    <w:rsid w:val="09FF40B5"/>
    <w:rsid w:val="0A0A0BC5"/>
    <w:rsid w:val="0A1356F4"/>
    <w:rsid w:val="0A1C1858"/>
    <w:rsid w:val="0A263993"/>
    <w:rsid w:val="0A2D3AC2"/>
    <w:rsid w:val="0A3E464E"/>
    <w:rsid w:val="0A4716E2"/>
    <w:rsid w:val="0A56420C"/>
    <w:rsid w:val="0A6968CF"/>
    <w:rsid w:val="0A8D52F5"/>
    <w:rsid w:val="0A97038C"/>
    <w:rsid w:val="0AA006D6"/>
    <w:rsid w:val="0AA353D7"/>
    <w:rsid w:val="0AA755DF"/>
    <w:rsid w:val="0AC6273B"/>
    <w:rsid w:val="0AD6400A"/>
    <w:rsid w:val="0AF674AA"/>
    <w:rsid w:val="0AFD1774"/>
    <w:rsid w:val="0B030359"/>
    <w:rsid w:val="0B0D57ED"/>
    <w:rsid w:val="0B120D44"/>
    <w:rsid w:val="0B145CFD"/>
    <w:rsid w:val="0B1D1C47"/>
    <w:rsid w:val="0B21142B"/>
    <w:rsid w:val="0B304DED"/>
    <w:rsid w:val="0B337C28"/>
    <w:rsid w:val="0B374E47"/>
    <w:rsid w:val="0B473D73"/>
    <w:rsid w:val="0B500826"/>
    <w:rsid w:val="0B574445"/>
    <w:rsid w:val="0B661B0A"/>
    <w:rsid w:val="0B7167ED"/>
    <w:rsid w:val="0B9674C5"/>
    <w:rsid w:val="0B9F78AF"/>
    <w:rsid w:val="0BA146D7"/>
    <w:rsid w:val="0BB71CAA"/>
    <w:rsid w:val="0BBE1357"/>
    <w:rsid w:val="0BC867E1"/>
    <w:rsid w:val="0BD27BF6"/>
    <w:rsid w:val="0BF1691B"/>
    <w:rsid w:val="0C176B2C"/>
    <w:rsid w:val="0C383673"/>
    <w:rsid w:val="0C3B3C7D"/>
    <w:rsid w:val="0C487045"/>
    <w:rsid w:val="0C563C69"/>
    <w:rsid w:val="0C564A06"/>
    <w:rsid w:val="0C673585"/>
    <w:rsid w:val="0C794286"/>
    <w:rsid w:val="0C8B790F"/>
    <w:rsid w:val="0CAA3737"/>
    <w:rsid w:val="0CAB2EAE"/>
    <w:rsid w:val="0CAE147F"/>
    <w:rsid w:val="0CB648FD"/>
    <w:rsid w:val="0CD45EE3"/>
    <w:rsid w:val="0CED7542"/>
    <w:rsid w:val="0D133464"/>
    <w:rsid w:val="0D1A24E3"/>
    <w:rsid w:val="0D1C149F"/>
    <w:rsid w:val="0D25459C"/>
    <w:rsid w:val="0D26276D"/>
    <w:rsid w:val="0D2E31D5"/>
    <w:rsid w:val="0D30328C"/>
    <w:rsid w:val="0D3D6E46"/>
    <w:rsid w:val="0D3E47AB"/>
    <w:rsid w:val="0D431E97"/>
    <w:rsid w:val="0D621C7D"/>
    <w:rsid w:val="0D716A53"/>
    <w:rsid w:val="0D800054"/>
    <w:rsid w:val="0D976FA8"/>
    <w:rsid w:val="0D9969E2"/>
    <w:rsid w:val="0D9B4E23"/>
    <w:rsid w:val="0DC13FD0"/>
    <w:rsid w:val="0DCD2DC7"/>
    <w:rsid w:val="0DD03B77"/>
    <w:rsid w:val="0DFA5074"/>
    <w:rsid w:val="0E0308B0"/>
    <w:rsid w:val="0E1E75DC"/>
    <w:rsid w:val="0E2E555A"/>
    <w:rsid w:val="0E73034D"/>
    <w:rsid w:val="0E840572"/>
    <w:rsid w:val="0E8F55F1"/>
    <w:rsid w:val="0EBE4194"/>
    <w:rsid w:val="0EC779E7"/>
    <w:rsid w:val="0ECE189A"/>
    <w:rsid w:val="0ED26D9B"/>
    <w:rsid w:val="0EDA48EA"/>
    <w:rsid w:val="0EE45B86"/>
    <w:rsid w:val="0EFD4799"/>
    <w:rsid w:val="0F077D6C"/>
    <w:rsid w:val="0F13775A"/>
    <w:rsid w:val="0F1A7544"/>
    <w:rsid w:val="0F5276A0"/>
    <w:rsid w:val="0F5F45FE"/>
    <w:rsid w:val="0F66388C"/>
    <w:rsid w:val="0F71587E"/>
    <w:rsid w:val="0F7D2052"/>
    <w:rsid w:val="0F8A5C7F"/>
    <w:rsid w:val="0F92642A"/>
    <w:rsid w:val="0F972A1A"/>
    <w:rsid w:val="0F9A112B"/>
    <w:rsid w:val="0FC902C6"/>
    <w:rsid w:val="0FD90E7D"/>
    <w:rsid w:val="0FDD2A78"/>
    <w:rsid w:val="0FE317EE"/>
    <w:rsid w:val="0FEB5787"/>
    <w:rsid w:val="10057658"/>
    <w:rsid w:val="100608E2"/>
    <w:rsid w:val="10166C00"/>
    <w:rsid w:val="103F2B9A"/>
    <w:rsid w:val="104A03D9"/>
    <w:rsid w:val="105161A2"/>
    <w:rsid w:val="106D2F64"/>
    <w:rsid w:val="10722D5C"/>
    <w:rsid w:val="10747B27"/>
    <w:rsid w:val="108274B8"/>
    <w:rsid w:val="1087349F"/>
    <w:rsid w:val="108E5FF3"/>
    <w:rsid w:val="10A36062"/>
    <w:rsid w:val="10A36703"/>
    <w:rsid w:val="10AC73CE"/>
    <w:rsid w:val="10B63710"/>
    <w:rsid w:val="10BC213B"/>
    <w:rsid w:val="10D2631C"/>
    <w:rsid w:val="10F10820"/>
    <w:rsid w:val="10FB14A0"/>
    <w:rsid w:val="10FE725F"/>
    <w:rsid w:val="11164FEF"/>
    <w:rsid w:val="111A193D"/>
    <w:rsid w:val="111C2F7A"/>
    <w:rsid w:val="112D2CB9"/>
    <w:rsid w:val="113865B0"/>
    <w:rsid w:val="115272B2"/>
    <w:rsid w:val="11542118"/>
    <w:rsid w:val="115F27B7"/>
    <w:rsid w:val="116378A6"/>
    <w:rsid w:val="11656D03"/>
    <w:rsid w:val="116629C3"/>
    <w:rsid w:val="11665CA1"/>
    <w:rsid w:val="11797A99"/>
    <w:rsid w:val="11882FCA"/>
    <w:rsid w:val="11917DFD"/>
    <w:rsid w:val="119760FE"/>
    <w:rsid w:val="11B31DBB"/>
    <w:rsid w:val="11B42C48"/>
    <w:rsid w:val="11B43649"/>
    <w:rsid w:val="11D706B9"/>
    <w:rsid w:val="11E36E39"/>
    <w:rsid w:val="11F33019"/>
    <w:rsid w:val="120709AA"/>
    <w:rsid w:val="120A5BAF"/>
    <w:rsid w:val="12144927"/>
    <w:rsid w:val="122F2FF6"/>
    <w:rsid w:val="123712EB"/>
    <w:rsid w:val="124A1B84"/>
    <w:rsid w:val="1266715A"/>
    <w:rsid w:val="127F4708"/>
    <w:rsid w:val="127F6C27"/>
    <w:rsid w:val="12825FEA"/>
    <w:rsid w:val="1284370C"/>
    <w:rsid w:val="128B2E23"/>
    <w:rsid w:val="128F5484"/>
    <w:rsid w:val="12A37B65"/>
    <w:rsid w:val="12A55CF8"/>
    <w:rsid w:val="12D00D14"/>
    <w:rsid w:val="12EE1C5F"/>
    <w:rsid w:val="13065EFA"/>
    <w:rsid w:val="13196AAF"/>
    <w:rsid w:val="13201BEB"/>
    <w:rsid w:val="13311CB6"/>
    <w:rsid w:val="13365636"/>
    <w:rsid w:val="13657021"/>
    <w:rsid w:val="137A6924"/>
    <w:rsid w:val="13867FA5"/>
    <w:rsid w:val="13912DCF"/>
    <w:rsid w:val="139449AA"/>
    <w:rsid w:val="13951726"/>
    <w:rsid w:val="13B16E39"/>
    <w:rsid w:val="13BF28A4"/>
    <w:rsid w:val="13CF07DA"/>
    <w:rsid w:val="13DE463D"/>
    <w:rsid w:val="13E5315A"/>
    <w:rsid w:val="140257DE"/>
    <w:rsid w:val="14040374"/>
    <w:rsid w:val="14270D58"/>
    <w:rsid w:val="142C08A0"/>
    <w:rsid w:val="142F39A2"/>
    <w:rsid w:val="14396509"/>
    <w:rsid w:val="143D1CFB"/>
    <w:rsid w:val="1451323F"/>
    <w:rsid w:val="14636B73"/>
    <w:rsid w:val="148507BD"/>
    <w:rsid w:val="14A47371"/>
    <w:rsid w:val="14A75A0E"/>
    <w:rsid w:val="14B753AB"/>
    <w:rsid w:val="14D1319A"/>
    <w:rsid w:val="14DD2C3C"/>
    <w:rsid w:val="14E55B49"/>
    <w:rsid w:val="150242F8"/>
    <w:rsid w:val="15202A0F"/>
    <w:rsid w:val="15271D8C"/>
    <w:rsid w:val="15322ED4"/>
    <w:rsid w:val="1572512E"/>
    <w:rsid w:val="1580507F"/>
    <w:rsid w:val="15AF21DB"/>
    <w:rsid w:val="15B631C6"/>
    <w:rsid w:val="15BE643C"/>
    <w:rsid w:val="15C27285"/>
    <w:rsid w:val="15C503E5"/>
    <w:rsid w:val="15DA4AF1"/>
    <w:rsid w:val="15ED3E90"/>
    <w:rsid w:val="15FA4A28"/>
    <w:rsid w:val="15FB55B6"/>
    <w:rsid w:val="16024413"/>
    <w:rsid w:val="16087E1D"/>
    <w:rsid w:val="16136EAD"/>
    <w:rsid w:val="161D2236"/>
    <w:rsid w:val="164A5D65"/>
    <w:rsid w:val="165E1BA5"/>
    <w:rsid w:val="1661159C"/>
    <w:rsid w:val="16616AC1"/>
    <w:rsid w:val="16623E92"/>
    <w:rsid w:val="16695B90"/>
    <w:rsid w:val="16717436"/>
    <w:rsid w:val="169425EF"/>
    <w:rsid w:val="16A347F9"/>
    <w:rsid w:val="16AF168F"/>
    <w:rsid w:val="16E70BE6"/>
    <w:rsid w:val="170B5AC3"/>
    <w:rsid w:val="172328D3"/>
    <w:rsid w:val="173E7E11"/>
    <w:rsid w:val="173F2961"/>
    <w:rsid w:val="174724F7"/>
    <w:rsid w:val="175207E1"/>
    <w:rsid w:val="17701D14"/>
    <w:rsid w:val="17735226"/>
    <w:rsid w:val="1784198F"/>
    <w:rsid w:val="17845993"/>
    <w:rsid w:val="178C24F1"/>
    <w:rsid w:val="179B76DE"/>
    <w:rsid w:val="17A408CB"/>
    <w:rsid w:val="17B451D5"/>
    <w:rsid w:val="17BB552D"/>
    <w:rsid w:val="17D1514A"/>
    <w:rsid w:val="17DE04F6"/>
    <w:rsid w:val="17FB188E"/>
    <w:rsid w:val="181F4B66"/>
    <w:rsid w:val="18210F79"/>
    <w:rsid w:val="18256555"/>
    <w:rsid w:val="18307DB5"/>
    <w:rsid w:val="184F747E"/>
    <w:rsid w:val="18516BBD"/>
    <w:rsid w:val="18607C31"/>
    <w:rsid w:val="186C060B"/>
    <w:rsid w:val="187163F6"/>
    <w:rsid w:val="189C256A"/>
    <w:rsid w:val="189F624C"/>
    <w:rsid w:val="18B43089"/>
    <w:rsid w:val="18BC07D5"/>
    <w:rsid w:val="18BD28A8"/>
    <w:rsid w:val="18C535EB"/>
    <w:rsid w:val="18E35B95"/>
    <w:rsid w:val="18EA1952"/>
    <w:rsid w:val="18F11ACC"/>
    <w:rsid w:val="190F587D"/>
    <w:rsid w:val="19287A4C"/>
    <w:rsid w:val="193C72B8"/>
    <w:rsid w:val="194B4C15"/>
    <w:rsid w:val="195048E3"/>
    <w:rsid w:val="195E337E"/>
    <w:rsid w:val="1963183E"/>
    <w:rsid w:val="196A0CB3"/>
    <w:rsid w:val="196E1243"/>
    <w:rsid w:val="1976302F"/>
    <w:rsid w:val="197D77BA"/>
    <w:rsid w:val="197F6797"/>
    <w:rsid w:val="19BB13F0"/>
    <w:rsid w:val="19BB415D"/>
    <w:rsid w:val="19C17327"/>
    <w:rsid w:val="19D325FA"/>
    <w:rsid w:val="19E7087D"/>
    <w:rsid w:val="19F731EE"/>
    <w:rsid w:val="1A082413"/>
    <w:rsid w:val="1A0C2EC9"/>
    <w:rsid w:val="1A1344DB"/>
    <w:rsid w:val="1A140037"/>
    <w:rsid w:val="1A1C66C0"/>
    <w:rsid w:val="1A297FE7"/>
    <w:rsid w:val="1A2D39CB"/>
    <w:rsid w:val="1A3A0B3C"/>
    <w:rsid w:val="1A403B86"/>
    <w:rsid w:val="1A42393B"/>
    <w:rsid w:val="1A430D65"/>
    <w:rsid w:val="1A55661F"/>
    <w:rsid w:val="1A596FC6"/>
    <w:rsid w:val="1A6D1327"/>
    <w:rsid w:val="1A7A0CEE"/>
    <w:rsid w:val="1A891B7C"/>
    <w:rsid w:val="1A894943"/>
    <w:rsid w:val="1AA3589E"/>
    <w:rsid w:val="1AA670EA"/>
    <w:rsid w:val="1AAD45DE"/>
    <w:rsid w:val="1ABF145A"/>
    <w:rsid w:val="1AC22ECC"/>
    <w:rsid w:val="1ACA7D19"/>
    <w:rsid w:val="1ACB5DB7"/>
    <w:rsid w:val="1ACF5771"/>
    <w:rsid w:val="1AF14931"/>
    <w:rsid w:val="1B046F80"/>
    <w:rsid w:val="1B0B78B8"/>
    <w:rsid w:val="1B251036"/>
    <w:rsid w:val="1B3267B5"/>
    <w:rsid w:val="1B40161D"/>
    <w:rsid w:val="1B43183E"/>
    <w:rsid w:val="1B441859"/>
    <w:rsid w:val="1B4C6091"/>
    <w:rsid w:val="1B6606B1"/>
    <w:rsid w:val="1B781E6F"/>
    <w:rsid w:val="1B9000BA"/>
    <w:rsid w:val="1B987F8B"/>
    <w:rsid w:val="1B9D7C6F"/>
    <w:rsid w:val="1BA21B7B"/>
    <w:rsid w:val="1BBD2483"/>
    <w:rsid w:val="1BBF67A5"/>
    <w:rsid w:val="1BC4516C"/>
    <w:rsid w:val="1BD764CD"/>
    <w:rsid w:val="1BDD5CC2"/>
    <w:rsid w:val="1BE3638D"/>
    <w:rsid w:val="1BF1392C"/>
    <w:rsid w:val="1C116F12"/>
    <w:rsid w:val="1C166BBA"/>
    <w:rsid w:val="1C285CFF"/>
    <w:rsid w:val="1C2C70AF"/>
    <w:rsid w:val="1C3F73BD"/>
    <w:rsid w:val="1C5863ED"/>
    <w:rsid w:val="1C5C7170"/>
    <w:rsid w:val="1C5E7925"/>
    <w:rsid w:val="1C7039BF"/>
    <w:rsid w:val="1C824ACC"/>
    <w:rsid w:val="1C83443A"/>
    <w:rsid w:val="1CA4033C"/>
    <w:rsid w:val="1CAA7B2E"/>
    <w:rsid w:val="1CC6392E"/>
    <w:rsid w:val="1CED4625"/>
    <w:rsid w:val="1CFD070F"/>
    <w:rsid w:val="1D0E3F3B"/>
    <w:rsid w:val="1D2422D8"/>
    <w:rsid w:val="1D245692"/>
    <w:rsid w:val="1D2777D5"/>
    <w:rsid w:val="1D325A08"/>
    <w:rsid w:val="1D357C8C"/>
    <w:rsid w:val="1D3A121D"/>
    <w:rsid w:val="1D411277"/>
    <w:rsid w:val="1D46626F"/>
    <w:rsid w:val="1D4F0CAB"/>
    <w:rsid w:val="1D5B4007"/>
    <w:rsid w:val="1D5F6196"/>
    <w:rsid w:val="1D6132A5"/>
    <w:rsid w:val="1D681BA8"/>
    <w:rsid w:val="1D6943AD"/>
    <w:rsid w:val="1D7F2557"/>
    <w:rsid w:val="1D823D5C"/>
    <w:rsid w:val="1D866CC1"/>
    <w:rsid w:val="1D8E56D5"/>
    <w:rsid w:val="1D9B29D9"/>
    <w:rsid w:val="1D9B5E71"/>
    <w:rsid w:val="1DA26535"/>
    <w:rsid w:val="1DD0638E"/>
    <w:rsid w:val="1DD5571F"/>
    <w:rsid w:val="1DE210F4"/>
    <w:rsid w:val="1DEA0722"/>
    <w:rsid w:val="1E011E82"/>
    <w:rsid w:val="1E0611CC"/>
    <w:rsid w:val="1E20790E"/>
    <w:rsid w:val="1E215A71"/>
    <w:rsid w:val="1E304F9C"/>
    <w:rsid w:val="1E440885"/>
    <w:rsid w:val="1E5037DD"/>
    <w:rsid w:val="1E5A1AF1"/>
    <w:rsid w:val="1E5C0C1B"/>
    <w:rsid w:val="1E735527"/>
    <w:rsid w:val="1E743057"/>
    <w:rsid w:val="1E7A43DA"/>
    <w:rsid w:val="1E7B6FB6"/>
    <w:rsid w:val="1E97534F"/>
    <w:rsid w:val="1E9A2699"/>
    <w:rsid w:val="1EA5269A"/>
    <w:rsid w:val="1ECC4017"/>
    <w:rsid w:val="1EFD7719"/>
    <w:rsid w:val="1F1B2402"/>
    <w:rsid w:val="1F43577B"/>
    <w:rsid w:val="1F4C0CB7"/>
    <w:rsid w:val="1F4F6B54"/>
    <w:rsid w:val="1F5E6AAA"/>
    <w:rsid w:val="1FA3176C"/>
    <w:rsid w:val="1FC13B6E"/>
    <w:rsid w:val="1FD56A5C"/>
    <w:rsid w:val="1FDB4421"/>
    <w:rsid w:val="1FDD0A21"/>
    <w:rsid w:val="1FE7539E"/>
    <w:rsid w:val="1FFB2FDC"/>
    <w:rsid w:val="201C5B5A"/>
    <w:rsid w:val="201F6F45"/>
    <w:rsid w:val="20270751"/>
    <w:rsid w:val="202D11EC"/>
    <w:rsid w:val="204213F3"/>
    <w:rsid w:val="2043413C"/>
    <w:rsid w:val="20471219"/>
    <w:rsid w:val="205835E1"/>
    <w:rsid w:val="20671BE0"/>
    <w:rsid w:val="20796073"/>
    <w:rsid w:val="20870F30"/>
    <w:rsid w:val="208B25D9"/>
    <w:rsid w:val="20963CB8"/>
    <w:rsid w:val="209B36FB"/>
    <w:rsid w:val="20A81A1B"/>
    <w:rsid w:val="20B07FB6"/>
    <w:rsid w:val="20B646FB"/>
    <w:rsid w:val="20C02EED"/>
    <w:rsid w:val="20C32326"/>
    <w:rsid w:val="20C6258F"/>
    <w:rsid w:val="20CA6ADE"/>
    <w:rsid w:val="20EB571D"/>
    <w:rsid w:val="20F770C4"/>
    <w:rsid w:val="21022533"/>
    <w:rsid w:val="21074E1A"/>
    <w:rsid w:val="210E59B7"/>
    <w:rsid w:val="211A0445"/>
    <w:rsid w:val="21252022"/>
    <w:rsid w:val="21331719"/>
    <w:rsid w:val="213A42B7"/>
    <w:rsid w:val="213B74B1"/>
    <w:rsid w:val="21450F7C"/>
    <w:rsid w:val="214A0891"/>
    <w:rsid w:val="2157638C"/>
    <w:rsid w:val="215A2310"/>
    <w:rsid w:val="21626ACF"/>
    <w:rsid w:val="2169020D"/>
    <w:rsid w:val="216E3B1F"/>
    <w:rsid w:val="21714B36"/>
    <w:rsid w:val="217A5AB9"/>
    <w:rsid w:val="21820398"/>
    <w:rsid w:val="21940D57"/>
    <w:rsid w:val="21AC2D7D"/>
    <w:rsid w:val="21C716A2"/>
    <w:rsid w:val="21C96176"/>
    <w:rsid w:val="21DE318A"/>
    <w:rsid w:val="21E11EAF"/>
    <w:rsid w:val="21EF5B80"/>
    <w:rsid w:val="21FC48EC"/>
    <w:rsid w:val="221A41B2"/>
    <w:rsid w:val="223D2AB2"/>
    <w:rsid w:val="22497EBC"/>
    <w:rsid w:val="224D214F"/>
    <w:rsid w:val="22576990"/>
    <w:rsid w:val="2274785E"/>
    <w:rsid w:val="2278643C"/>
    <w:rsid w:val="227C1430"/>
    <w:rsid w:val="228079A5"/>
    <w:rsid w:val="2282042C"/>
    <w:rsid w:val="22973581"/>
    <w:rsid w:val="22A12BA3"/>
    <w:rsid w:val="22EF1B78"/>
    <w:rsid w:val="22F47480"/>
    <w:rsid w:val="231A5B99"/>
    <w:rsid w:val="232C496D"/>
    <w:rsid w:val="23343DF9"/>
    <w:rsid w:val="23366A59"/>
    <w:rsid w:val="234923CE"/>
    <w:rsid w:val="234F2361"/>
    <w:rsid w:val="237764D3"/>
    <w:rsid w:val="237D7F40"/>
    <w:rsid w:val="237E00E7"/>
    <w:rsid w:val="239430C7"/>
    <w:rsid w:val="23B32622"/>
    <w:rsid w:val="23B82A11"/>
    <w:rsid w:val="23DE1C48"/>
    <w:rsid w:val="23DF51AB"/>
    <w:rsid w:val="23E31CFC"/>
    <w:rsid w:val="23EB6904"/>
    <w:rsid w:val="23FE663F"/>
    <w:rsid w:val="240210CD"/>
    <w:rsid w:val="24021709"/>
    <w:rsid w:val="2443398C"/>
    <w:rsid w:val="244C6984"/>
    <w:rsid w:val="246031BB"/>
    <w:rsid w:val="2465106B"/>
    <w:rsid w:val="248B4EE8"/>
    <w:rsid w:val="248F08A2"/>
    <w:rsid w:val="24AB55BD"/>
    <w:rsid w:val="24BF09F7"/>
    <w:rsid w:val="24D31193"/>
    <w:rsid w:val="24E53635"/>
    <w:rsid w:val="24F6231C"/>
    <w:rsid w:val="24FA586D"/>
    <w:rsid w:val="24FD432C"/>
    <w:rsid w:val="250E1CE7"/>
    <w:rsid w:val="25217019"/>
    <w:rsid w:val="252C107C"/>
    <w:rsid w:val="252D53FE"/>
    <w:rsid w:val="25311128"/>
    <w:rsid w:val="25357778"/>
    <w:rsid w:val="254C0BE5"/>
    <w:rsid w:val="255F0B3B"/>
    <w:rsid w:val="25820A7A"/>
    <w:rsid w:val="2584598D"/>
    <w:rsid w:val="258B5BB7"/>
    <w:rsid w:val="25BA792F"/>
    <w:rsid w:val="25C30890"/>
    <w:rsid w:val="25C56306"/>
    <w:rsid w:val="25D74817"/>
    <w:rsid w:val="25D86AD2"/>
    <w:rsid w:val="25E92311"/>
    <w:rsid w:val="25EC2D81"/>
    <w:rsid w:val="25EF321A"/>
    <w:rsid w:val="25FC08F7"/>
    <w:rsid w:val="26167F38"/>
    <w:rsid w:val="26196CC9"/>
    <w:rsid w:val="261F4D37"/>
    <w:rsid w:val="26465EFF"/>
    <w:rsid w:val="26594250"/>
    <w:rsid w:val="26702988"/>
    <w:rsid w:val="26777FAA"/>
    <w:rsid w:val="268D176D"/>
    <w:rsid w:val="268F2817"/>
    <w:rsid w:val="26ED28F8"/>
    <w:rsid w:val="26F4031D"/>
    <w:rsid w:val="27053987"/>
    <w:rsid w:val="270D0ADB"/>
    <w:rsid w:val="2714772D"/>
    <w:rsid w:val="272A498F"/>
    <w:rsid w:val="2737305D"/>
    <w:rsid w:val="273B5BA4"/>
    <w:rsid w:val="273F743F"/>
    <w:rsid w:val="275066EB"/>
    <w:rsid w:val="27522EA9"/>
    <w:rsid w:val="27686C72"/>
    <w:rsid w:val="277057A2"/>
    <w:rsid w:val="27710810"/>
    <w:rsid w:val="27856D8F"/>
    <w:rsid w:val="27866D4A"/>
    <w:rsid w:val="279B0493"/>
    <w:rsid w:val="27A12A4B"/>
    <w:rsid w:val="27A75FE0"/>
    <w:rsid w:val="27AF536C"/>
    <w:rsid w:val="27EE0F1E"/>
    <w:rsid w:val="27F751B9"/>
    <w:rsid w:val="28231945"/>
    <w:rsid w:val="28346CE5"/>
    <w:rsid w:val="284D6FC0"/>
    <w:rsid w:val="28640568"/>
    <w:rsid w:val="28801B46"/>
    <w:rsid w:val="289D3C74"/>
    <w:rsid w:val="289E524D"/>
    <w:rsid w:val="28A02884"/>
    <w:rsid w:val="28A27954"/>
    <w:rsid w:val="28A9587E"/>
    <w:rsid w:val="28BC2A61"/>
    <w:rsid w:val="28C75D08"/>
    <w:rsid w:val="28DA34D4"/>
    <w:rsid w:val="28DB6224"/>
    <w:rsid w:val="28EC55EB"/>
    <w:rsid w:val="28F31260"/>
    <w:rsid w:val="28FF0744"/>
    <w:rsid w:val="2900270C"/>
    <w:rsid w:val="290F0BBF"/>
    <w:rsid w:val="291805D6"/>
    <w:rsid w:val="29206EB8"/>
    <w:rsid w:val="2923491C"/>
    <w:rsid w:val="29326FD7"/>
    <w:rsid w:val="29337157"/>
    <w:rsid w:val="293B1D01"/>
    <w:rsid w:val="29580B27"/>
    <w:rsid w:val="29595666"/>
    <w:rsid w:val="295D6B69"/>
    <w:rsid w:val="29642059"/>
    <w:rsid w:val="29874881"/>
    <w:rsid w:val="29913DA7"/>
    <w:rsid w:val="299E59F7"/>
    <w:rsid w:val="29B16CB6"/>
    <w:rsid w:val="29B268C2"/>
    <w:rsid w:val="29B65700"/>
    <w:rsid w:val="29C4395C"/>
    <w:rsid w:val="29CA6637"/>
    <w:rsid w:val="29CF2380"/>
    <w:rsid w:val="29D9412B"/>
    <w:rsid w:val="29D9687F"/>
    <w:rsid w:val="29E325E0"/>
    <w:rsid w:val="29E614D2"/>
    <w:rsid w:val="2A163893"/>
    <w:rsid w:val="2A1D4DBA"/>
    <w:rsid w:val="2A30050E"/>
    <w:rsid w:val="2A3740D9"/>
    <w:rsid w:val="2A452503"/>
    <w:rsid w:val="2A5945FD"/>
    <w:rsid w:val="2A892860"/>
    <w:rsid w:val="2A8D03CB"/>
    <w:rsid w:val="2A8F3BC0"/>
    <w:rsid w:val="2A991471"/>
    <w:rsid w:val="2AA04A4A"/>
    <w:rsid w:val="2AC835F0"/>
    <w:rsid w:val="2AC948F8"/>
    <w:rsid w:val="2ADA73B8"/>
    <w:rsid w:val="2AE354C8"/>
    <w:rsid w:val="2AFF2696"/>
    <w:rsid w:val="2B011CF0"/>
    <w:rsid w:val="2B106DEC"/>
    <w:rsid w:val="2B11041C"/>
    <w:rsid w:val="2B110441"/>
    <w:rsid w:val="2B283C3F"/>
    <w:rsid w:val="2B2D22CA"/>
    <w:rsid w:val="2B354F27"/>
    <w:rsid w:val="2B372D32"/>
    <w:rsid w:val="2B3C42B3"/>
    <w:rsid w:val="2B473DA7"/>
    <w:rsid w:val="2B4877DD"/>
    <w:rsid w:val="2B537E71"/>
    <w:rsid w:val="2B5923D3"/>
    <w:rsid w:val="2B6A728F"/>
    <w:rsid w:val="2B7829DB"/>
    <w:rsid w:val="2B9C2BDB"/>
    <w:rsid w:val="2BA55B6C"/>
    <w:rsid w:val="2BA936A8"/>
    <w:rsid w:val="2BBF67DF"/>
    <w:rsid w:val="2BC46778"/>
    <w:rsid w:val="2BDB485A"/>
    <w:rsid w:val="2BE07652"/>
    <w:rsid w:val="2BE650F6"/>
    <w:rsid w:val="2BF45C0E"/>
    <w:rsid w:val="2BF855D4"/>
    <w:rsid w:val="2BFC1AA9"/>
    <w:rsid w:val="2C177B20"/>
    <w:rsid w:val="2C1C0AF5"/>
    <w:rsid w:val="2C2D6DA8"/>
    <w:rsid w:val="2C310401"/>
    <w:rsid w:val="2C315A5A"/>
    <w:rsid w:val="2C3441B4"/>
    <w:rsid w:val="2C446005"/>
    <w:rsid w:val="2C4B1C25"/>
    <w:rsid w:val="2C5946BF"/>
    <w:rsid w:val="2C677A9B"/>
    <w:rsid w:val="2C6E7E9F"/>
    <w:rsid w:val="2C783906"/>
    <w:rsid w:val="2C930184"/>
    <w:rsid w:val="2CD15F99"/>
    <w:rsid w:val="2CDB625F"/>
    <w:rsid w:val="2CF5279B"/>
    <w:rsid w:val="2D01568F"/>
    <w:rsid w:val="2D1F1CAB"/>
    <w:rsid w:val="2D2735CF"/>
    <w:rsid w:val="2D2F6663"/>
    <w:rsid w:val="2D353F9E"/>
    <w:rsid w:val="2D3653DB"/>
    <w:rsid w:val="2D49562D"/>
    <w:rsid w:val="2D601584"/>
    <w:rsid w:val="2D6E6E31"/>
    <w:rsid w:val="2D814B8B"/>
    <w:rsid w:val="2D8E12A3"/>
    <w:rsid w:val="2D931FC0"/>
    <w:rsid w:val="2D9E56F5"/>
    <w:rsid w:val="2DAE1AF5"/>
    <w:rsid w:val="2DC7564C"/>
    <w:rsid w:val="2DCF2C85"/>
    <w:rsid w:val="2DD009D8"/>
    <w:rsid w:val="2DFA4246"/>
    <w:rsid w:val="2E026438"/>
    <w:rsid w:val="2E3B3EB2"/>
    <w:rsid w:val="2E406220"/>
    <w:rsid w:val="2E411C83"/>
    <w:rsid w:val="2E5011D2"/>
    <w:rsid w:val="2E646A66"/>
    <w:rsid w:val="2E667F96"/>
    <w:rsid w:val="2E8226AB"/>
    <w:rsid w:val="2E973DB6"/>
    <w:rsid w:val="2EB905B2"/>
    <w:rsid w:val="2EBB0214"/>
    <w:rsid w:val="2EC73366"/>
    <w:rsid w:val="2ECB4BAA"/>
    <w:rsid w:val="2F0A3A8F"/>
    <w:rsid w:val="2F16311C"/>
    <w:rsid w:val="2F35014C"/>
    <w:rsid w:val="2F397934"/>
    <w:rsid w:val="2F5029F6"/>
    <w:rsid w:val="2F662C24"/>
    <w:rsid w:val="2F935EC4"/>
    <w:rsid w:val="2FAC53B7"/>
    <w:rsid w:val="2FB0429E"/>
    <w:rsid w:val="2FD065E6"/>
    <w:rsid w:val="2FD33D2D"/>
    <w:rsid w:val="2FD80E1B"/>
    <w:rsid w:val="2FD96870"/>
    <w:rsid w:val="2FEA78E7"/>
    <w:rsid w:val="2FEE31D2"/>
    <w:rsid w:val="30095598"/>
    <w:rsid w:val="3041770A"/>
    <w:rsid w:val="304259A1"/>
    <w:rsid w:val="30580BC9"/>
    <w:rsid w:val="30601421"/>
    <w:rsid w:val="30784281"/>
    <w:rsid w:val="30832CEE"/>
    <w:rsid w:val="308B1E7C"/>
    <w:rsid w:val="309E5917"/>
    <w:rsid w:val="309F7E34"/>
    <w:rsid w:val="30AF7782"/>
    <w:rsid w:val="30B250AD"/>
    <w:rsid w:val="30B670F2"/>
    <w:rsid w:val="30D00355"/>
    <w:rsid w:val="311E2ED7"/>
    <w:rsid w:val="31247713"/>
    <w:rsid w:val="3144234D"/>
    <w:rsid w:val="315619EE"/>
    <w:rsid w:val="315C449C"/>
    <w:rsid w:val="315E2A16"/>
    <w:rsid w:val="315F185A"/>
    <w:rsid w:val="315F7FC0"/>
    <w:rsid w:val="316244DC"/>
    <w:rsid w:val="3163118E"/>
    <w:rsid w:val="316F1D77"/>
    <w:rsid w:val="317F2878"/>
    <w:rsid w:val="319A0B1A"/>
    <w:rsid w:val="319F268C"/>
    <w:rsid w:val="31A046FB"/>
    <w:rsid w:val="31B80B5F"/>
    <w:rsid w:val="31B82709"/>
    <w:rsid w:val="31C1613C"/>
    <w:rsid w:val="31D04F61"/>
    <w:rsid w:val="31D05482"/>
    <w:rsid w:val="31EE41A2"/>
    <w:rsid w:val="31F94647"/>
    <w:rsid w:val="320C360F"/>
    <w:rsid w:val="3214625D"/>
    <w:rsid w:val="32233622"/>
    <w:rsid w:val="323529B4"/>
    <w:rsid w:val="323B4614"/>
    <w:rsid w:val="32400B34"/>
    <w:rsid w:val="32415E8A"/>
    <w:rsid w:val="324231D9"/>
    <w:rsid w:val="32535159"/>
    <w:rsid w:val="326E7E26"/>
    <w:rsid w:val="328202AF"/>
    <w:rsid w:val="32836EBD"/>
    <w:rsid w:val="3284471D"/>
    <w:rsid w:val="32963058"/>
    <w:rsid w:val="32963204"/>
    <w:rsid w:val="329D1A79"/>
    <w:rsid w:val="329E6876"/>
    <w:rsid w:val="32AC7E27"/>
    <w:rsid w:val="32B37A6E"/>
    <w:rsid w:val="32CC285A"/>
    <w:rsid w:val="32E05B0E"/>
    <w:rsid w:val="32EE28E1"/>
    <w:rsid w:val="32F01465"/>
    <w:rsid w:val="32F944F8"/>
    <w:rsid w:val="32FD3351"/>
    <w:rsid w:val="32FE1923"/>
    <w:rsid w:val="3306107A"/>
    <w:rsid w:val="330936A5"/>
    <w:rsid w:val="33095DA0"/>
    <w:rsid w:val="331E5E44"/>
    <w:rsid w:val="333015F2"/>
    <w:rsid w:val="33337D2A"/>
    <w:rsid w:val="334B6320"/>
    <w:rsid w:val="33625557"/>
    <w:rsid w:val="338A008C"/>
    <w:rsid w:val="338C73BD"/>
    <w:rsid w:val="33A934BE"/>
    <w:rsid w:val="33B651DB"/>
    <w:rsid w:val="33CB00ED"/>
    <w:rsid w:val="33D934D4"/>
    <w:rsid w:val="33E10B70"/>
    <w:rsid w:val="33E8784D"/>
    <w:rsid w:val="33FE2F6A"/>
    <w:rsid w:val="34067067"/>
    <w:rsid w:val="340A4CC4"/>
    <w:rsid w:val="340D4F1E"/>
    <w:rsid w:val="340E07E5"/>
    <w:rsid w:val="341E32C3"/>
    <w:rsid w:val="341E7CBA"/>
    <w:rsid w:val="34235BF7"/>
    <w:rsid w:val="342D6E2D"/>
    <w:rsid w:val="34314CC4"/>
    <w:rsid w:val="343844D7"/>
    <w:rsid w:val="34527A2D"/>
    <w:rsid w:val="34633C80"/>
    <w:rsid w:val="346C5EDD"/>
    <w:rsid w:val="346F56A2"/>
    <w:rsid w:val="348322AF"/>
    <w:rsid w:val="34A36CAE"/>
    <w:rsid w:val="34AE0E84"/>
    <w:rsid w:val="34BA10D4"/>
    <w:rsid w:val="34BF464A"/>
    <w:rsid w:val="34C544E7"/>
    <w:rsid w:val="34C740F0"/>
    <w:rsid w:val="34D46F19"/>
    <w:rsid w:val="34D90874"/>
    <w:rsid w:val="34DF1062"/>
    <w:rsid w:val="34E2274F"/>
    <w:rsid w:val="34E7473C"/>
    <w:rsid w:val="350C4599"/>
    <w:rsid w:val="350F6AC3"/>
    <w:rsid w:val="352001C4"/>
    <w:rsid w:val="352B2379"/>
    <w:rsid w:val="352F77EB"/>
    <w:rsid w:val="35377B0F"/>
    <w:rsid w:val="35383F66"/>
    <w:rsid w:val="355436A4"/>
    <w:rsid w:val="35582085"/>
    <w:rsid w:val="3576331D"/>
    <w:rsid w:val="358C5FA8"/>
    <w:rsid w:val="358E5AAB"/>
    <w:rsid w:val="3593233B"/>
    <w:rsid w:val="359C184B"/>
    <w:rsid w:val="35AD4F65"/>
    <w:rsid w:val="35B55280"/>
    <w:rsid w:val="35BF3C31"/>
    <w:rsid w:val="35C15DF1"/>
    <w:rsid w:val="35CA70E5"/>
    <w:rsid w:val="35CB2596"/>
    <w:rsid w:val="35CE2303"/>
    <w:rsid w:val="35EF2CCA"/>
    <w:rsid w:val="35F81636"/>
    <w:rsid w:val="36000D6B"/>
    <w:rsid w:val="36074A7F"/>
    <w:rsid w:val="360C3201"/>
    <w:rsid w:val="36237179"/>
    <w:rsid w:val="362400A4"/>
    <w:rsid w:val="36327FCD"/>
    <w:rsid w:val="36564353"/>
    <w:rsid w:val="367979C7"/>
    <w:rsid w:val="36812427"/>
    <w:rsid w:val="3681745A"/>
    <w:rsid w:val="36853990"/>
    <w:rsid w:val="3690252D"/>
    <w:rsid w:val="36920044"/>
    <w:rsid w:val="36923549"/>
    <w:rsid w:val="36A67CFC"/>
    <w:rsid w:val="36B75FBF"/>
    <w:rsid w:val="36BB007C"/>
    <w:rsid w:val="36BD0C45"/>
    <w:rsid w:val="36EC6E3D"/>
    <w:rsid w:val="36F960CB"/>
    <w:rsid w:val="370733F9"/>
    <w:rsid w:val="37150D09"/>
    <w:rsid w:val="37392BEC"/>
    <w:rsid w:val="374C767A"/>
    <w:rsid w:val="374E1B3E"/>
    <w:rsid w:val="375C7C8F"/>
    <w:rsid w:val="375F2594"/>
    <w:rsid w:val="377234F6"/>
    <w:rsid w:val="37964388"/>
    <w:rsid w:val="37A10C9D"/>
    <w:rsid w:val="37AF0BE9"/>
    <w:rsid w:val="37B22EAA"/>
    <w:rsid w:val="37BD38AD"/>
    <w:rsid w:val="37C34CEE"/>
    <w:rsid w:val="37C61B77"/>
    <w:rsid w:val="37C86E2A"/>
    <w:rsid w:val="37D4129F"/>
    <w:rsid w:val="37DF7442"/>
    <w:rsid w:val="37E00298"/>
    <w:rsid w:val="38033C6D"/>
    <w:rsid w:val="381212E9"/>
    <w:rsid w:val="38162551"/>
    <w:rsid w:val="383B5BF1"/>
    <w:rsid w:val="3849025B"/>
    <w:rsid w:val="38496AB6"/>
    <w:rsid w:val="384C15E7"/>
    <w:rsid w:val="38887C24"/>
    <w:rsid w:val="38993D78"/>
    <w:rsid w:val="38B302F9"/>
    <w:rsid w:val="38B34780"/>
    <w:rsid w:val="38C86281"/>
    <w:rsid w:val="38E64587"/>
    <w:rsid w:val="38F12CD3"/>
    <w:rsid w:val="38F13698"/>
    <w:rsid w:val="38F6250F"/>
    <w:rsid w:val="38F94775"/>
    <w:rsid w:val="39213196"/>
    <w:rsid w:val="392971ED"/>
    <w:rsid w:val="392E3B48"/>
    <w:rsid w:val="39325651"/>
    <w:rsid w:val="393575BE"/>
    <w:rsid w:val="39362B2C"/>
    <w:rsid w:val="39400060"/>
    <w:rsid w:val="39720CB2"/>
    <w:rsid w:val="3995213C"/>
    <w:rsid w:val="399A726D"/>
    <w:rsid w:val="39A56A29"/>
    <w:rsid w:val="39B527DE"/>
    <w:rsid w:val="39DC0655"/>
    <w:rsid w:val="39FD0BBC"/>
    <w:rsid w:val="3A1A0ECC"/>
    <w:rsid w:val="3A3C1226"/>
    <w:rsid w:val="3A500A23"/>
    <w:rsid w:val="3A581B9E"/>
    <w:rsid w:val="3A5D12B4"/>
    <w:rsid w:val="3A5E5956"/>
    <w:rsid w:val="3A845D15"/>
    <w:rsid w:val="3A872856"/>
    <w:rsid w:val="3AC800E7"/>
    <w:rsid w:val="3ACA6FF9"/>
    <w:rsid w:val="3AD644B6"/>
    <w:rsid w:val="3AE4135E"/>
    <w:rsid w:val="3AE55278"/>
    <w:rsid w:val="3B0C6285"/>
    <w:rsid w:val="3B162265"/>
    <w:rsid w:val="3B2E0C57"/>
    <w:rsid w:val="3B304BCD"/>
    <w:rsid w:val="3B362C39"/>
    <w:rsid w:val="3B3763D1"/>
    <w:rsid w:val="3B452541"/>
    <w:rsid w:val="3B4E0552"/>
    <w:rsid w:val="3B4E14C1"/>
    <w:rsid w:val="3B640159"/>
    <w:rsid w:val="3B7C312E"/>
    <w:rsid w:val="3B8A49B2"/>
    <w:rsid w:val="3BA96971"/>
    <w:rsid w:val="3BB014AF"/>
    <w:rsid w:val="3BEB54EF"/>
    <w:rsid w:val="3C0031D2"/>
    <w:rsid w:val="3C013137"/>
    <w:rsid w:val="3C0D72A2"/>
    <w:rsid w:val="3C193012"/>
    <w:rsid w:val="3C2F6E1E"/>
    <w:rsid w:val="3C4408E9"/>
    <w:rsid w:val="3C4F64BA"/>
    <w:rsid w:val="3C693CA7"/>
    <w:rsid w:val="3C7456D4"/>
    <w:rsid w:val="3C940357"/>
    <w:rsid w:val="3CA25C2F"/>
    <w:rsid w:val="3CAF244B"/>
    <w:rsid w:val="3CC6041E"/>
    <w:rsid w:val="3CC64637"/>
    <w:rsid w:val="3CC66207"/>
    <w:rsid w:val="3CDA245A"/>
    <w:rsid w:val="3CDE78BE"/>
    <w:rsid w:val="3CEF20C9"/>
    <w:rsid w:val="3CF65995"/>
    <w:rsid w:val="3D00065D"/>
    <w:rsid w:val="3D0D6C37"/>
    <w:rsid w:val="3D1A679F"/>
    <w:rsid w:val="3D1E06B7"/>
    <w:rsid w:val="3D2C4A9C"/>
    <w:rsid w:val="3D2E32B3"/>
    <w:rsid w:val="3D3B4E15"/>
    <w:rsid w:val="3D4703F5"/>
    <w:rsid w:val="3D513ED6"/>
    <w:rsid w:val="3D6C0BDB"/>
    <w:rsid w:val="3D7F1772"/>
    <w:rsid w:val="3D855B16"/>
    <w:rsid w:val="3D8817DE"/>
    <w:rsid w:val="3D8817E6"/>
    <w:rsid w:val="3D9B027B"/>
    <w:rsid w:val="3DA93DDC"/>
    <w:rsid w:val="3DFE0C51"/>
    <w:rsid w:val="3E157CEF"/>
    <w:rsid w:val="3E254D18"/>
    <w:rsid w:val="3E3F7B8E"/>
    <w:rsid w:val="3E4A76BC"/>
    <w:rsid w:val="3E506F79"/>
    <w:rsid w:val="3E593BE7"/>
    <w:rsid w:val="3E695B9C"/>
    <w:rsid w:val="3E6B7AC1"/>
    <w:rsid w:val="3EA9381B"/>
    <w:rsid w:val="3EBA23AA"/>
    <w:rsid w:val="3EBA44BE"/>
    <w:rsid w:val="3EC315DE"/>
    <w:rsid w:val="3EC63722"/>
    <w:rsid w:val="3EDA0523"/>
    <w:rsid w:val="3EDE2C48"/>
    <w:rsid w:val="3EE2263F"/>
    <w:rsid w:val="3EE247CD"/>
    <w:rsid w:val="3EEF3985"/>
    <w:rsid w:val="3F075B95"/>
    <w:rsid w:val="3F1E53A2"/>
    <w:rsid w:val="3F2D003E"/>
    <w:rsid w:val="3F4103E3"/>
    <w:rsid w:val="3F4556A5"/>
    <w:rsid w:val="3F595FCA"/>
    <w:rsid w:val="3F5B14D2"/>
    <w:rsid w:val="3F5C1E1E"/>
    <w:rsid w:val="3F5E4CAE"/>
    <w:rsid w:val="3F6572B5"/>
    <w:rsid w:val="3F9675A8"/>
    <w:rsid w:val="3F9C5650"/>
    <w:rsid w:val="3FA350DE"/>
    <w:rsid w:val="3FB70990"/>
    <w:rsid w:val="3FBC78BE"/>
    <w:rsid w:val="3FD03C1B"/>
    <w:rsid w:val="3FD77BF7"/>
    <w:rsid w:val="40102ED7"/>
    <w:rsid w:val="402807E6"/>
    <w:rsid w:val="405C0CA7"/>
    <w:rsid w:val="40736643"/>
    <w:rsid w:val="407A6407"/>
    <w:rsid w:val="407D7313"/>
    <w:rsid w:val="40822146"/>
    <w:rsid w:val="40845074"/>
    <w:rsid w:val="409027E1"/>
    <w:rsid w:val="40AA223D"/>
    <w:rsid w:val="40AB4844"/>
    <w:rsid w:val="40D46452"/>
    <w:rsid w:val="40D762C2"/>
    <w:rsid w:val="40DE5E2B"/>
    <w:rsid w:val="40DF795D"/>
    <w:rsid w:val="40E9211E"/>
    <w:rsid w:val="40F7499C"/>
    <w:rsid w:val="411C5B3D"/>
    <w:rsid w:val="4122076C"/>
    <w:rsid w:val="41251609"/>
    <w:rsid w:val="414D2B5D"/>
    <w:rsid w:val="414D5D28"/>
    <w:rsid w:val="415D1336"/>
    <w:rsid w:val="41631FB8"/>
    <w:rsid w:val="416F6D2D"/>
    <w:rsid w:val="418716C3"/>
    <w:rsid w:val="41903663"/>
    <w:rsid w:val="41B312BC"/>
    <w:rsid w:val="41BD1C85"/>
    <w:rsid w:val="41BE6947"/>
    <w:rsid w:val="41CF1395"/>
    <w:rsid w:val="4200449D"/>
    <w:rsid w:val="422E6498"/>
    <w:rsid w:val="423A3BCC"/>
    <w:rsid w:val="42484CC3"/>
    <w:rsid w:val="424E57D2"/>
    <w:rsid w:val="426746C1"/>
    <w:rsid w:val="42903833"/>
    <w:rsid w:val="429334D0"/>
    <w:rsid w:val="42940ED2"/>
    <w:rsid w:val="42A671D5"/>
    <w:rsid w:val="42B26C49"/>
    <w:rsid w:val="42C31CB9"/>
    <w:rsid w:val="42C37F98"/>
    <w:rsid w:val="42C45C15"/>
    <w:rsid w:val="42CC2837"/>
    <w:rsid w:val="42D05A12"/>
    <w:rsid w:val="42DF44D4"/>
    <w:rsid w:val="42F26DFC"/>
    <w:rsid w:val="430702EC"/>
    <w:rsid w:val="431E45FD"/>
    <w:rsid w:val="4326374D"/>
    <w:rsid w:val="433A6FE6"/>
    <w:rsid w:val="43441BA2"/>
    <w:rsid w:val="434567ED"/>
    <w:rsid w:val="43480868"/>
    <w:rsid w:val="4350713C"/>
    <w:rsid w:val="436653E0"/>
    <w:rsid w:val="43667C05"/>
    <w:rsid w:val="436767F5"/>
    <w:rsid w:val="43713DD7"/>
    <w:rsid w:val="43740C7B"/>
    <w:rsid w:val="4387144A"/>
    <w:rsid w:val="438F2EEF"/>
    <w:rsid w:val="43A643E0"/>
    <w:rsid w:val="43AA60D4"/>
    <w:rsid w:val="43AD3273"/>
    <w:rsid w:val="43BA6509"/>
    <w:rsid w:val="43C4431A"/>
    <w:rsid w:val="43D35039"/>
    <w:rsid w:val="43DC7695"/>
    <w:rsid w:val="43E4524A"/>
    <w:rsid w:val="43EF3D61"/>
    <w:rsid w:val="440305EA"/>
    <w:rsid w:val="440654D4"/>
    <w:rsid w:val="443C18E6"/>
    <w:rsid w:val="443D4072"/>
    <w:rsid w:val="44404DC6"/>
    <w:rsid w:val="444D3282"/>
    <w:rsid w:val="4452387D"/>
    <w:rsid w:val="4456696C"/>
    <w:rsid w:val="44753418"/>
    <w:rsid w:val="44A122D1"/>
    <w:rsid w:val="44B951CC"/>
    <w:rsid w:val="44CD14E0"/>
    <w:rsid w:val="44F20B0B"/>
    <w:rsid w:val="45112C97"/>
    <w:rsid w:val="451B69DA"/>
    <w:rsid w:val="451D222C"/>
    <w:rsid w:val="451E0629"/>
    <w:rsid w:val="45204D75"/>
    <w:rsid w:val="452A7A48"/>
    <w:rsid w:val="452E5F4C"/>
    <w:rsid w:val="45344EFF"/>
    <w:rsid w:val="453F4239"/>
    <w:rsid w:val="45405D70"/>
    <w:rsid w:val="45587EAF"/>
    <w:rsid w:val="45612018"/>
    <w:rsid w:val="45675AF2"/>
    <w:rsid w:val="458672B1"/>
    <w:rsid w:val="458946E9"/>
    <w:rsid w:val="45972AC5"/>
    <w:rsid w:val="45A47C0E"/>
    <w:rsid w:val="45BA3253"/>
    <w:rsid w:val="45C4442B"/>
    <w:rsid w:val="45CC555B"/>
    <w:rsid w:val="45EE64FE"/>
    <w:rsid w:val="46297C23"/>
    <w:rsid w:val="46433C7B"/>
    <w:rsid w:val="46550764"/>
    <w:rsid w:val="46557C38"/>
    <w:rsid w:val="46577FD6"/>
    <w:rsid w:val="465C7D12"/>
    <w:rsid w:val="46881749"/>
    <w:rsid w:val="468D2891"/>
    <w:rsid w:val="469D46D2"/>
    <w:rsid w:val="46A22A95"/>
    <w:rsid w:val="46B67B95"/>
    <w:rsid w:val="46D75A73"/>
    <w:rsid w:val="46D955A7"/>
    <w:rsid w:val="46DA1B89"/>
    <w:rsid w:val="46E00A53"/>
    <w:rsid w:val="46E654E1"/>
    <w:rsid w:val="46F665EC"/>
    <w:rsid w:val="46FE6D59"/>
    <w:rsid w:val="47095F17"/>
    <w:rsid w:val="47120FA9"/>
    <w:rsid w:val="47133957"/>
    <w:rsid w:val="471A1ED2"/>
    <w:rsid w:val="472924B7"/>
    <w:rsid w:val="47352751"/>
    <w:rsid w:val="47433C9D"/>
    <w:rsid w:val="474742D2"/>
    <w:rsid w:val="4747547F"/>
    <w:rsid w:val="474F5E89"/>
    <w:rsid w:val="47592A82"/>
    <w:rsid w:val="47626BD4"/>
    <w:rsid w:val="478115D0"/>
    <w:rsid w:val="4782191E"/>
    <w:rsid w:val="478C3C13"/>
    <w:rsid w:val="47A07E0C"/>
    <w:rsid w:val="47EC1F1A"/>
    <w:rsid w:val="47EC4031"/>
    <w:rsid w:val="47F429FD"/>
    <w:rsid w:val="480540FF"/>
    <w:rsid w:val="48070336"/>
    <w:rsid w:val="480B0534"/>
    <w:rsid w:val="48176BF8"/>
    <w:rsid w:val="48192952"/>
    <w:rsid w:val="48316200"/>
    <w:rsid w:val="48341D04"/>
    <w:rsid w:val="483A296C"/>
    <w:rsid w:val="483A5BF1"/>
    <w:rsid w:val="48534749"/>
    <w:rsid w:val="48581944"/>
    <w:rsid w:val="4870272E"/>
    <w:rsid w:val="48A41097"/>
    <w:rsid w:val="48A7359E"/>
    <w:rsid w:val="48AB7EA7"/>
    <w:rsid w:val="48B134AD"/>
    <w:rsid w:val="48D440D3"/>
    <w:rsid w:val="48F6273A"/>
    <w:rsid w:val="490B3E06"/>
    <w:rsid w:val="4913065A"/>
    <w:rsid w:val="4936512A"/>
    <w:rsid w:val="493E77C1"/>
    <w:rsid w:val="4962540C"/>
    <w:rsid w:val="49974C3E"/>
    <w:rsid w:val="49AC3178"/>
    <w:rsid w:val="49B05215"/>
    <w:rsid w:val="49C10267"/>
    <w:rsid w:val="49D547D7"/>
    <w:rsid w:val="49D92C59"/>
    <w:rsid w:val="49DC7715"/>
    <w:rsid w:val="49EA2E12"/>
    <w:rsid w:val="4A023139"/>
    <w:rsid w:val="4A1F407D"/>
    <w:rsid w:val="4A2B30D0"/>
    <w:rsid w:val="4A2E1181"/>
    <w:rsid w:val="4A3E332E"/>
    <w:rsid w:val="4A400ACD"/>
    <w:rsid w:val="4A4E6A66"/>
    <w:rsid w:val="4A52149E"/>
    <w:rsid w:val="4A5B1180"/>
    <w:rsid w:val="4A5E3C8C"/>
    <w:rsid w:val="4A62113E"/>
    <w:rsid w:val="4A764F5F"/>
    <w:rsid w:val="4A792F2D"/>
    <w:rsid w:val="4A7B576F"/>
    <w:rsid w:val="4A7F6B37"/>
    <w:rsid w:val="4A8F4B67"/>
    <w:rsid w:val="4AA81398"/>
    <w:rsid w:val="4ACD3CF2"/>
    <w:rsid w:val="4AD411B9"/>
    <w:rsid w:val="4AD57669"/>
    <w:rsid w:val="4AF561A9"/>
    <w:rsid w:val="4B0C754A"/>
    <w:rsid w:val="4B1B7841"/>
    <w:rsid w:val="4B2B1C3B"/>
    <w:rsid w:val="4B2B5533"/>
    <w:rsid w:val="4B394B92"/>
    <w:rsid w:val="4B41582A"/>
    <w:rsid w:val="4B6A1BEE"/>
    <w:rsid w:val="4B8D7117"/>
    <w:rsid w:val="4B9D3B2B"/>
    <w:rsid w:val="4BB2778B"/>
    <w:rsid w:val="4BB84B2F"/>
    <w:rsid w:val="4BC30976"/>
    <w:rsid w:val="4BC44B03"/>
    <w:rsid w:val="4BD25B14"/>
    <w:rsid w:val="4BE22B5B"/>
    <w:rsid w:val="4BE43456"/>
    <w:rsid w:val="4BF02F49"/>
    <w:rsid w:val="4C033B37"/>
    <w:rsid w:val="4C145052"/>
    <w:rsid w:val="4C1C32C6"/>
    <w:rsid w:val="4C21296E"/>
    <w:rsid w:val="4C257304"/>
    <w:rsid w:val="4C4874E2"/>
    <w:rsid w:val="4C4A0649"/>
    <w:rsid w:val="4C673035"/>
    <w:rsid w:val="4C7E5ECA"/>
    <w:rsid w:val="4C876AA5"/>
    <w:rsid w:val="4C9B3F93"/>
    <w:rsid w:val="4CBA025E"/>
    <w:rsid w:val="4CDB255E"/>
    <w:rsid w:val="4D0E00FB"/>
    <w:rsid w:val="4D113D78"/>
    <w:rsid w:val="4D12348B"/>
    <w:rsid w:val="4D176606"/>
    <w:rsid w:val="4D176B3F"/>
    <w:rsid w:val="4D1A3EEC"/>
    <w:rsid w:val="4D1E4C30"/>
    <w:rsid w:val="4D2E60F4"/>
    <w:rsid w:val="4D3C1E05"/>
    <w:rsid w:val="4D4B0CC2"/>
    <w:rsid w:val="4D522A0E"/>
    <w:rsid w:val="4D6B4EF9"/>
    <w:rsid w:val="4D965458"/>
    <w:rsid w:val="4DA7117F"/>
    <w:rsid w:val="4DCA10D0"/>
    <w:rsid w:val="4DD33463"/>
    <w:rsid w:val="4DDB1407"/>
    <w:rsid w:val="4DE43A02"/>
    <w:rsid w:val="4DEC4FB0"/>
    <w:rsid w:val="4E075D8A"/>
    <w:rsid w:val="4E27575A"/>
    <w:rsid w:val="4E343376"/>
    <w:rsid w:val="4E3F7637"/>
    <w:rsid w:val="4E4948FB"/>
    <w:rsid w:val="4E516060"/>
    <w:rsid w:val="4E5E1B41"/>
    <w:rsid w:val="4E641C40"/>
    <w:rsid w:val="4E7D6D7D"/>
    <w:rsid w:val="4EB50309"/>
    <w:rsid w:val="4EC00FAD"/>
    <w:rsid w:val="4EC0664C"/>
    <w:rsid w:val="4EC15A64"/>
    <w:rsid w:val="4EC536C9"/>
    <w:rsid w:val="4EC72435"/>
    <w:rsid w:val="4EDA636E"/>
    <w:rsid w:val="4EEA0F96"/>
    <w:rsid w:val="4EFE269F"/>
    <w:rsid w:val="4F002754"/>
    <w:rsid w:val="4F3710E1"/>
    <w:rsid w:val="4F9843DC"/>
    <w:rsid w:val="4F9D2BEE"/>
    <w:rsid w:val="4FA5431E"/>
    <w:rsid w:val="4FA87258"/>
    <w:rsid w:val="4FBC338A"/>
    <w:rsid w:val="4FC62A8C"/>
    <w:rsid w:val="4FD9264E"/>
    <w:rsid w:val="4FE20F0D"/>
    <w:rsid w:val="4FE51552"/>
    <w:rsid w:val="4FE9167D"/>
    <w:rsid w:val="4FEC7B36"/>
    <w:rsid w:val="4FF47C4A"/>
    <w:rsid w:val="4FF67D96"/>
    <w:rsid w:val="4FF85457"/>
    <w:rsid w:val="50001C34"/>
    <w:rsid w:val="50177A2C"/>
    <w:rsid w:val="503B2AF1"/>
    <w:rsid w:val="5043659C"/>
    <w:rsid w:val="50504C4B"/>
    <w:rsid w:val="505B157B"/>
    <w:rsid w:val="50737875"/>
    <w:rsid w:val="507652AE"/>
    <w:rsid w:val="507B0F55"/>
    <w:rsid w:val="508C4FE6"/>
    <w:rsid w:val="50942CF5"/>
    <w:rsid w:val="5096703B"/>
    <w:rsid w:val="509C6E7C"/>
    <w:rsid w:val="509D652E"/>
    <w:rsid w:val="50A47C29"/>
    <w:rsid w:val="50A75077"/>
    <w:rsid w:val="50C82B73"/>
    <w:rsid w:val="50CA014A"/>
    <w:rsid w:val="50E64204"/>
    <w:rsid w:val="50E87169"/>
    <w:rsid w:val="50F76425"/>
    <w:rsid w:val="51165B20"/>
    <w:rsid w:val="51325621"/>
    <w:rsid w:val="513613AB"/>
    <w:rsid w:val="513E0491"/>
    <w:rsid w:val="514358A4"/>
    <w:rsid w:val="514B039A"/>
    <w:rsid w:val="514B0C4B"/>
    <w:rsid w:val="515E5E73"/>
    <w:rsid w:val="51610494"/>
    <w:rsid w:val="5162104E"/>
    <w:rsid w:val="518F00B6"/>
    <w:rsid w:val="51917C8D"/>
    <w:rsid w:val="5196078D"/>
    <w:rsid w:val="51964706"/>
    <w:rsid w:val="51B10ED2"/>
    <w:rsid w:val="51BC5928"/>
    <w:rsid w:val="51D93FF4"/>
    <w:rsid w:val="51EE1DC5"/>
    <w:rsid w:val="52043B9D"/>
    <w:rsid w:val="522A008C"/>
    <w:rsid w:val="524661B3"/>
    <w:rsid w:val="52484953"/>
    <w:rsid w:val="52497A77"/>
    <w:rsid w:val="524D1350"/>
    <w:rsid w:val="52595BB7"/>
    <w:rsid w:val="525D430F"/>
    <w:rsid w:val="52603D83"/>
    <w:rsid w:val="527641DA"/>
    <w:rsid w:val="527B4627"/>
    <w:rsid w:val="527B66DA"/>
    <w:rsid w:val="52814FA0"/>
    <w:rsid w:val="529F79C7"/>
    <w:rsid w:val="52A73A9B"/>
    <w:rsid w:val="52AA7534"/>
    <w:rsid w:val="52C87406"/>
    <w:rsid w:val="52DC1464"/>
    <w:rsid w:val="52F619E5"/>
    <w:rsid w:val="53061A82"/>
    <w:rsid w:val="530766BF"/>
    <w:rsid w:val="533E2E18"/>
    <w:rsid w:val="534C26E4"/>
    <w:rsid w:val="536522DF"/>
    <w:rsid w:val="53671AC7"/>
    <w:rsid w:val="536F7DFC"/>
    <w:rsid w:val="53751FA6"/>
    <w:rsid w:val="53822C25"/>
    <w:rsid w:val="53880A17"/>
    <w:rsid w:val="53932161"/>
    <w:rsid w:val="53960643"/>
    <w:rsid w:val="53A039CC"/>
    <w:rsid w:val="53A1505A"/>
    <w:rsid w:val="53A42853"/>
    <w:rsid w:val="53B03DA1"/>
    <w:rsid w:val="53C24142"/>
    <w:rsid w:val="53E03C8C"/>
    <w:rsid w:val="53F31A5B"/>
    <w:rsid w:val="53FE6ED1"/>
    <w:rsid w:val="54063E08"/>
    <w:rsid w:val="54107FAA"/>
    <w:rsid w:val="541505F1"/>
    <w:rsid w:val="54170333"/>
    <w:rsid w:val="541C70F7"/>
    <w:rsid w:val="543437E8"/>
    <w:rsid w:val="543848D3"/>
    <w:rsid w:val="54413194"/>
    <w:rsid w:val="5448273B"/>
    <w:rsid w:val="544D2367"/>
    <w:rsid w:val="54546072"/>
    <w:rsid w:val="546E2D85"/>
    <w:rsid w:val="547872C7"/>
    <w:rsid w:val="549A5C95"/>
    <w:rsid w:val="549F4D8F"/>
    <w:rsid w:val="54A22126"/>
    <w:rsid w:val="54B04E3C"/>
    <w:rsid w:val="54BA23CD"/>
    <w:rsid w:val="54CB736A"/>
    <w:rsid w:val="54D33BA6"/>
    <w:rsid w:val="54F73313"/>
    <w:rsid w:val="54F80955"/>
    <w:rsid w:val="55060F28"/>
    <w:rsid w:val="550628AA"/>
    <w:rsid w:val="5508302F"/>
    <w:rsid w:val="550C1F5C"/>
    <w:rsid w:val="55424B22"/>
    <w:rsid w:val="555170A7"/>
    <w:rsid w:val="55653B58"/>
    <w:rsid w:val="5587536D"/>
    <w:rsid w:val="559913A9"/>
    <w:rsid w:val="559B174B"/>
    <w:rsid w:val="55A41091"/>
    <w:rsid w:val="55A458DE"/>
    <w:rsid w:val="55A552CC"/>
    <w:rsid w:val="55B462AC"/>
    <w:rsid w:val="55C31F0B"/>
    <w:rsid w:val="55CE0CF4"/>
    <w:rsid w:val="55DB0AA2"/>
    <w:rsid w:val="55DE084D"/>
    <w:rsid w:val="55EF74CC"/>
    <w:rsid w:val="56075D18"/>
    <w:rsid w:val="562B0061"/>
    <w:rsid w:val="562B067F"/>
    <w:rsid w:val="56333A1E"/>
    <w:rsid w:val="56395D15"/>
    <w:rsid w:val="563D798B"/>
    <w:rsid w:val="56403351"/>
    <w:rsid w:val="564C1197"/>
    <w:rsid w:val="566A187D"/>
    <w:rsid w:val="566C31FE"/>
    <w:rsid w:val="566C3856"/>
    <w:rsid w:val="566E0A9C"/>
    <w:rsid w:val="567F4FA9"/>
    <w:rsid w:val="56936868"/>
    <w:rsid w:val="56AF1E54"/>
    <w:rsid w:val="56B22A9C"/>
    <w:rsid w:val="56BC7AF0"/>
    <w:rsid w:val="56C2189F"/>
    <w:rsid w:val="56D7018D"/>
    <w:rsid w:val="56DA3618"/>
    <w:rsid w:val="56E54E56"/>
    <w:rsid w:val="56E74FB5"/>
    <w:rsid w:val="56EB77EF"/>
    <w:rsid w:val="56F231C2"/>
    <w:rsid w:val="56F506A8"/>
    <w:rsid w:val="56FE16DE"/>
    <w:rsid w:val="572C1673"/>
    <w:rsid w:val="57382A12"/>
    <w:rsid w:val="57541A35"/>
    <w:rsid w:val="577A5A4F"/>
    <w:rsid w:val="579D664D"/>
    <w:rsid w:val="57A51FD0"/>
    <w:rsid w:val="57A823D0"/>
    <w:rsid w:val="57AC6E68"/>
    <w:rsid w:val="57B72A76"/>
    <w:rsid w:val="57BB116C"/>
    <w:rsid w:val="57C3426C"/>
    <w:rsid w:val="57CE0AA4"/>
    <w:rsid w:val="57CE1F93"/>
    <w:rsid w:val="57D8193B"/>
    <w:rsid w:val="57DC3DD6"/>
    <w:rsid w:val="580A22D7"/>
    <w:rsid w:val="580D2A13"/>
    <w:rsid w:val="581D0C5C"/>
    <w:rsid w:val="5828647F"/>
    <w:rsid w:val="58382EDE"/>
    <w:rsid w:val="584414A5"/>
    <w:rsid w:val="584520D3"/>
    <w:rsid w:val="5849350E"/>
    <w:rsid w:val="585222CA"/>
    <w:rsid w:val="585D3932"/>
    <w:rsid w:val="5863200F"/>
    <w:rsid w:val="58670A27"/>
    <w:rsid w:val="58717831"/>
    <w:rsid w:val="588743D1"/>
    <w:rsid w:val="5887701A"/>
    <w:rsid w:val="589C62A9"/>
    <w:rsid w:val="58A12117"/>
    <w:rsid w:val="58B05184"/>
    <w:rsid w:val="58CE21AA"/>
    <w:rsid w:val="58DD3DE6"/>
    <w:rsid w:val="58E4608D"/>
    <w:rsid w:val="58EB5ABB"/>
    <w:rsid w:val="58F30A95"/>
    <w:rsid w:val="590A49D7"/>
    <w:rsid w:val="59155C22"/>
    <w:rsid w:val="59246659"/>
    <w:rsid w:val="59353C65"/>
    <w:rsid w:val="59380B33"/>
    <w:rsid w:val="597D2F35"/>
    <w:rsid w:val="5999365F"/>
    <w:rsid w:val="59A83B98"/>
    <w:rsid w:val="59C0439F"/>
    <w:rsid w:val="59CF2F67"/>
    <w:rsid w:val="59DF067A"/>
    <w:rsid w:val="5A020194"/>
    <w:rsid w:val="5A213BDF"/>
    <w:rsid w:val="5A2957EA"/>
    <w:rsid w:val="5A2C49D1"/>
    <w:rsid w:val="5A352132"/>
    <w:rsid w:val="5A51014A"/>
    <w:rsid w:val="5A534BDA"/>
    <w:rsid w:val="5A54656F"/>
    <w:rsid w:val="5A7A0BDD"/>
    <w:rsid w:val="5A7B6DB9"/>
    <w:rsid w:val="5A8060D1"/>
    <w:rsid w:val="5A8D3017"/>
    <w:rsid w:val="5A9902D3"/>
    <w:rsid w:val="5A9A2A9E"/>
    <w:rsid w:val="5AB92907"/>
    <w:rsid w:val="5ABB4FDE"/>
    <w:rsid w:val="5ABC3C87"/>
    <w:rsid w:val="5ABD4FEC"/>
    <w:rsid w:val="5ABE2233"/>
    <w:rsid w:val="5AC578CC"/>
    <w:rsid w:val="5AD45CF7"/>
    <w:rsid w:val="5AFB6E5B"/>
    <w:rsid w:val="5B0875AC"/>
    <w:rsid w:val="5B0D651E"/>
    <w:rsid w:val="5B15487B"/>
    <w:rsid w:val="5B1769B8"/>
    <w:rsid w:val="5B475389"/>
    <w:rsid w:val="5B4F7BCB"/>
    <w:rsid w:val="5B5E49C3"/>
    <w:rsid w:val="5B5F45F2"/>
    <w:rsid w:val="5B7F2B0F"/>
    <w:rsid w:val="5B8402CF"/>
    <w:rsid w:val="5B9444F1"/>
    <w:rsid w:val="5BA21BE2"/>
    <w:rsid w:val="5BB164F1"/>
    <w:rsid w:val="5BC264B6"/>
    <w:rsid w:val="5BD35C5B"/>
    <w:rsid w:val="5BD972C9"/>
    <w:rsid w:val="5BDC55FC"/>
    <w:rsid w:val="5BDF5D95"/>
    <w:rsid w:val="5BE7128A"/>
    <w:rsid w:val="5BFE7528"/>
    <w:rsid w:val="5C186C83"/>
    <w:rsid w:val="5C2A4CC2"/>
    <w:rsid w:val="5C310670"/>
    <w:rsid w:val="5C353D96"/>
    <w:rsid w:val="5C3A54A3"/>
    <w:rsid w:val="5C521047"/>
    <w:rsid w:val="5C524FB3"/>
    <w:rsid w:val="5C5B72DB"/>
    <w:rsid w:val="5C68466A"/>
    <w:rsid w:val="5C6D1B0E"/>
    <w:rsid w:val="5C71449F"/>
    <w:rsid w:val="5C746AD2"/>
    <w:rsid w:val="5C96106C"/>
    <w:rsid w:val="5CA07493"/>
    <w:rsid w:val="5CA46316"/>
    <w:rsid w:val="5CA95811"/>
    <w:rsid w:val="5CAD14ED"/>
    <w:rsid w:val="5CD57954"/>
    <w:rsid w:val="5CDE16B5"/>
    <w:rsid w:val="5CE4009D"/>
    <w:rsid w:val="5CF77DC6"/>
    <w:rsid w:val="5D005393"/>
    <w:rsid w:val="5D0143E2"/>
    <w:rsid w:val="5D121A04"/>
    <w:rsid w:val="5D170190"/>
    <w:rsid w:val="5D31452C"/>
    <w:rsid w:val="5D3E52C4"/>
    <w:rsid w:val="5D3E7B72"/>
    <w:rsid w:val="5D423A49"/>
    <w:rsid w:val="5D4270D0"/>
    <w:rsid w:val="5D5A125D"/>
    <w:rsid w:val="5D5C041E"/>
    <w:rsid w:val="5D654F8B"/>
    <w:rsid w:val="5D6C169D"/>
    <w:rsid w:val="5D770729"/>
    <w:rsid w:val="5D874C9A"/>
    <w:rsid w:val="5D975B23"/>
    <w:rsid w:val="5DA92401"/>
    <w:rsid w:val="5DAB05A3"/>
    <w:rsid w:val="5DCE7DB4"/>
    <w:rsid w:val="5DD31DCB"/>
    <w:rsid w:val="5DFC1138"/>
    <w:rsid w:val="5E2467F1"/>
    <w:rsid w:val="5E2C3D45"/>
    <w:rsid w:val="5E31677E"/>
    <w:rsid w:val="5E323071"/>
    <w:rsid w:val="5E393173"/>
    <w:rsid w:val="5E51491A"/>
    <w:rsid w:val="5E55127A"/>
    <w:rsid w:val="5E675BB0"/>
    <w:rsid w:val="5E69292F"/>
    <w:rsid w:val="5E7B7E34"/>
    <w:rsid w:val="5E7F5C4A"/>
    <w:rsid w:val="5E856373"/>
    <w:rsid w:val="5E900B83"/>
    <w:rsid w:val="5E90622C"/>
    <w:rsid w:val="5EA1381D"/>
    <w:rsid w:val="5EA568B3"/>
    <w:rsid w:val="5EA60F4A"/>
    <w:rsid w:val="5EAD56FD"/>
    <w:rsid w:val="5F0E1CD9"/>
    <w:rsid w:val="5F172745"/>
    <w:rsid w:val="5F1A2B43"/>
    <w:rsid w:val="5F2A3175"/>
    <w:rsid w:val="5F30500C"/>
    <w:rsid w:val="5F5521EA"/>
    <w:rsid w:val="5F6F140F"/>
    <w:rsid w:val="5F883F9C"/>
    <w:rsid w:val="5F8E545E"/>
    <w:rsid w:val="5F8F6D8A"/>
    <w:rsid w:val="5F953BC0"/>
    <w:rsid w:val="5F974489"/>
    <w:rsid w:val="5FAC2FC0"/>
    <w:rsid w:val="5FB837BB"/>
    <w:rsid w:val="5FEA3860"/>
    <w:rsid w:val="6006233B"/>
    <w:rsid w:val="602161AD"/>
    <w:rsid w:val="6038235E"/>
    <w:rsid w:val="60400876"/>
    <w:rsid w:val="60415A3E"/>
    <w:rsid w:val="604349FB"/>
    <w:rsid w:val="60456F49"/>
    <w:rsid w:val="60992215"/>
    <w:rsid w:val="60AE1BA8"/>
    <w:rsid w:val="60B037F9"/>
    <w:rsid w:val="60BD4284"/>
    <w:rsid w:val="60C02657"/>
    <w:rsid w:val="60C74422"/>
    <w:rsid w:val="60CC405A"/>
    <w:rsid w:val="60E07891"/>
    <w:rsid w:val="60E71D62"/>
    <w:rsid w:val="60FB0FFE"/>
    <w:rsid w:val="61082815"/>
    <w:rsid w:val="61211A4E"/>
    <w:rsid w:val="61261BA7"/>
    <w:rsid w:val="6126482B"/>
    <w:rsid w:val="61312F2C"/>
    <w:rsid w:val="613F1515"/>
    <w:rsid w:val="61565414"/>
    <w:rsid w:val="615D0905"/>
    <w:rsid w:val="617C580C"/>
    <w:rsid w:val="617D25C7"/>
    <w:rsid w:val="617D6483"/>
    <w:rsid w:val="618D5867"/>
    <w:rsid w:val="61920D47"/>
    <w:rsid w:val="61965C67"/>
    <w:rsid w:val="6198465A"/>
    <w:rsid w:val="61BE6766"/>
    <w:rsid w:val="61D37181"/>
    <w:rsid w:val="61D92809"/>
    <w:rsid w:val="61E215D8"/>
    <w:rsid w:val="62073379"/>
    <w:rsid w:val="62123690"/>
    <w:rsid w:val="62123D42"/>
    <w:rsid w:val="62127ED7"/>
    <w:rsid w:val="6218514C"/>
    <w:rsid w:val="621B3775"/>
    <w:rsid w:val="621D4D6C"/>
    <w:rsid w:val="622163B3"/>
    <w:rsid w:val="622D44F9"/>
    <w:rsid w:val="6232368A"/>
    <w:rsid w:val="62364782"/>
    <w:rsid w:val="6238583D"/>
    <w:rsid w:val="623C3DE3"/>
    <w:rsid w:val="6248619A"/>
    <w:rsid w:val="624B57DC"/>
    <w:rsid w:val="62514553"/>
    <w:rsid w:val="62552590"/>
    <w:rsid w:val="62587201"/>
    <w:rsid w:val="62637CC5"/>
    <w:rsid w:val="62652D6A"/>
    <w:rsid w:val="626C7F85"/>
    <w:rsid w:val="627368F8"/>
    <w:rsid w:val="62760AAF"/>
    <w:rsid w:val="628279FE"/>
    <w:rsid w:val="62944BFA"/>
    <w:rsid w:val="629D1FC8"/>
    <w:rsid w:val="62E302C5"/>
    <w:rsid w:val="62F3068B"/>
    <w:rsid w:val="62F70847"/>
    <w:rsid w:val="630D1198"/>
    <w:rsid w:val="63125456"/>
    <w:rsid w:val="63127C76"/>
    <w:rsid w:val="6315515C"/>
    <w:rsid w:val="631959C0"/>
    <w:rsid w:val="631E2BF8"/>
    <w:rsid w:val="63431B24"/>
    <w:rsid w:val="634404A6"/>
    <w:rsid w:val="63451431"/>
    <w:rsid w:val="63506F50"/>
    <w:rsid w:val="635673FF"/>
    <w:rsid w:val="63606B77"/>
    <w:rsid w:val="636856D0"/>
    <w:rsid w:val="63743BB5"/>
    <w:rsid w:val="63754D75"/>
    <w:rsid w:val="638C2A5B"/>
    <w:rsid w:val="6394356A"/>
    <w:rsid w:val="63952A6E"/>
    <w:rsid w:val="639A76F4"/>
    <w:rsid w:val="639E5780"/>
    <w:rsid w:val="63B374DF"/>
    <w:rsid w:val="63C61B2C"/>
    <w:rsid w:val="63C97B8F"/>
    <w:rsid w:val="63D40BE9"/>
    <w:rsid w:val="63D66E81"/>
    <w:rsid w:val="63EA37B2"/>
    <w:rsid w:val="64102431"/>
    <w:rsid w:val="64225643"/>
    <w:rsid w:val="64283108"/>
    <w:rsid w:val="643B4FA0"/>
    <w:rsid w:val="64540D47"/>
    <w:rsid w:val="645C60CA"/>
    <w:rsid w:val="646D6A7F"/>
    <w:rsid w:val="64705EFE"/>
    <w:rsid w:val="647733F5"/>
    <w:rsid w:val="649B6155"/>
    <w:rsid w:val="649D39AB"/>
    <w:rsid w:val="64A5243A"/>
    <w:rsid w:val="64B71215"/>
    <w:rsid w:val="64BA53A1"/>
    <w:rsid w:val="64C51D4E"/>
    <w:rsid w:val="64C85236"/>
    <w:rsid w:val="64DA68EF"/>
    <w:rsid w:val="64E14675"/>
    <w:rsid w:val="64E66CE9"/>
    <w:rsid w:val="64ED5FDF"/>
    <w:rsid w:val="64F531DE"/>
    <w:rsid w:val="64FD0EA0"/>
    <w:rsid w:val="650941AF"/>
    <w:rsid w:val="651915C4"/>
    <w:rsid w:val="65196259"/>
    <w:rsid w:val="651E0ADD"/>
    <w:rsid w:val="65240C9C"/>
    <w:rsid w:val="65280173"/>
    <w:rsid w:val="652F7EE1"/>
    <w:rsid w:val="65373578"/>
    <w:rsid w:val="65693D9D"/>
    <w:rsid w:val="657B0BFD"/>
    <w:rsid w:val="6585778C"/>
    <w:rsid w:val="65861A1B"/>
    <w:rsid w:val="659550EE"/>
    <w:rsid w:val="659605CE"/>
    <w:rsid w:val="65A955D2"/>
    <w:rsid w:val="65B97B71"/>
    <w:rsid w:val="65BF2C22"/>
    <w:rsid w:val="65BF62B7"/>
    <w:rsid w:val="65E73529"/>
    <w:rsid w:val="65F07A94"/>
    <w:rsid w:val="660423D7"/>
    <w:rsid w:val="66042672"/>
    <w:rsid w:val="66081D64"/>
    <w:rsid w:val="66244606"/>
    <w:rsid w:val="6629194D"/>
    <w:rsid w:val="662A0A77"/>
    <w:rsid w:val="66442EF8"/>
    <w:rsid w:val="667917F7"/>
    <w:rsid w:val="667C4A9A"/>
    <w:rsid w:val="6686225C"/>
    <w:rsid w:val="66A977EE"/>
    <w:rsid w:val="66AE0391"/>
    <w:rsid w:val="66BB6D05"/>
    <w:rsid w:val="66D77FC6"/>
    <w:rsid w:val="66DC0AD8"/>
    <w:rsid w:val="66EA30FC"/>
    <w:rsid w:val="66EE1EFF"/>
    <w:rsid w:val="66FB71D3"/>
    <w:rsid w:val="66FC7934"/>
    <w:rsid w:val="671E1AE0"/>
    <w:rsid w:val="671F124A"/>
    <w:rsid w:val="67206086"/>
    <w:rsid w:val="67251291"/>
    <w:rsid w:val="672F0339"/>
    <w:rsid w:val="67321521"/>
    <w:rsid w:val="67426A70"/>
    <w:rsid w:val="67591D52"/>
    <w:rsid w:val="675D1508"/>
    <w:rsid w:val="677A33C6"/>
    <w:rsid w:val="677B4A1E"/>
    <w:rsid w:val="67920253"/>
    <w:rsid w:val="67933081"/>
    <w:rsid w:val="67987A02"/>
    <w:rsid w:val="679A7650"/>
    <w:rsid w:val="67A55838"/>
    <w:rsid w:val="67CA71E3"/>
    <w:rsid w:val="67E003BB"/>
    <w:rsid w:val="67E24888"/>
    <w:rsid w:val="67E56CAD"/>
    <w:rsid w:val="67EB6DBA"/>
    <w:rsid w:val="67F271F8"/>
    <w:rsid w:val="67F55AE1"/>
    <w:rsid w:val="67FA790B"/>
    <w:rsid w:val="681D2E1A"/>
    <w:rsid w:val="681F6961"/>
    <w:rsid w:val="682B7AD3"/>
    <w:rsid w:val="68404E8C"/>
    <w:rsid w:val="684173D9"/>
    <w:rsid w:val="6847531F"/>
    <w:rsid w:val="684D73B0"/>
    <w:rsid w:val="68610A2F"/>
    <w:rsid w:val="686308E0"/>
    <w:rsid w:val="68805514"/>
    <w:rsid w:val="68845383"/>
    <w:rsid w:val="688F2E61"/>
    <w:rsid w:val="68AB2D36"/>
    <w:rsid w:val="68AD77AA"/>
    <w:rsid w:val="68C73B8F"/>
    <w:rsid w:val="68D04DED"/>
    <w:rsid w:val="68D575AA"/>
    <w:rsid w:val="68DC23E0"/>
    <w:rsid w:val="68E02E8E"/>
    <w:rsid w:val="68F047DB"/>
    <w:rsid w:val="68F4077C"/>
    <w:rsid w:val="69186AFD"/>
    <w:rsid w:val="691A3D3E"/>
    <w:rsid w:val="691E71D8"/>
    <w:rsid w:val="69316E2F"/>
    <w:rsid w:val="69374B4E"/>
    <w:rsid w:val="694653C3"/>
    <w:rsid w:val="694E2071"/>
    <w:rsid w:val="69766163"/>
    <w:rsid w:val="697A3B33"/>
    <w:rsid w:val="697E0A8E"/>
    <w:rsid w:val="698B34CF"/>
    <w:rsid w:val="6990215D"/>
    <w:rsid w:val="699E6073"/>
    <w:rsid w:val="69A718F8"/>
    <w:rsid w:val="69AA446E"/>
    <w:rsid w:val="69C126E9"/>
    <w:rsid w:val="69D44760"/>
    <w:rsid w:val="69D75768"/>
    <w:rsid w:val="6A042EF7"/>
    <w:rsid w:val="6A0F7894"/>
    <w:rsid w:val="6A3D574B"/>
    <w:rsid w:val="6A520EC7"/>
    <w:rsid w:val="6A524585"/>
    <w:rsid w:val="6A5350CB"/>
    <w:rsid w:val="6A536B99"/>
    <w:rsid w:val="6A5D66A4"/>
    <w:rsid w:val="6A811F13"/>
    <w:rsid w:val="6A8B35B7"/>
    <w:rsid w:val="6A8C2410"/>
    <w:rsid w:val="6A930AA2"/>
    <w:rsid w:val="6A9D0089"/>
    <w:rsid w:val="6ABD02EF"/>
    <w:rsid w:val="6AC02C0D"/>
    <w:rsid w:val="6AC76BD7"/>
    <w:rsid w:val="6AE33641"/>
    <w:rsid w:val="6AF33295"/>
    <w:rsid w:val="6AF87E20"/>
    <w:rsid w:val="6B043A94"/>
    <w:rsid w:val="6B0B4CB9"/>
    <w:rsid w:val="6B100AF6"/>
    <w:rsid w:val="6B117DA5"/>
    <w:rsid w:val="6B1E7BCC"/>
    <w:rsid w:val="6B2A1BF7"/>
    <w:rsid w:val="6B2C1A79"/>
    <w:rsid w:val="6B2F30F2"/>
    <w:rsid w:val="6B322639"/>
    <w:rsid w:val="6B382B50"/>
    <w:rsid w:val="6B4A226E"/>
    <w:rsid w:val="6B4B4C62"/>
    <w:rsid w:val="6B6F4930"/>
    <w:rsid w:val="6B8379EA"/>
    <w:rsid w:val="6BBB02D3"/>
    <w:rsid w:val="6BC86F0D"/>
    <w:rsid w:val="6BCF5C29"/>
    <w:rsid w:val="6BD56BFB"/>
    <w:rsid w:val="6BF73E21"/>
    <w:rsid w:val="6BF74B8B"/>
    <w:rsid w:val="6BFD1452"/>
    <w:rsid w:val="6C2A50A2"/>
    <w:rsid w:val="6C2F76E3"/>
    <w:rsid w:val="6C4F762D"/>
    <w:rsid w:val="6C545CEB"/>
    <w:rsid w:val="6C55507D"/>
    <w:rsid w:val="6C573DAC"/>
    <w:rsid w:val="6C575B99"/>
    <w:rsid w:val="6C581375"/>
    <w:rsid w:val="6C5B522C"/>
    <w:rsid w:val="6C636C38"/>
    <w:rsid w:val="6C787716"/>
    <w:rsid w:val="6C8D2092"/>
    <w:rsid w:val="6C936282"/>
    <w:rsid w:val="6CA269DC"/>
    <w:rsid w:val="6CB13FBF"/>
    <w:rsid w:val="6CBF6AAF"/>
    <w:rsid w:val="6CC308DF"/>
    <w:rsid w:val="6CCD0CE1"/>
    <w:rsid w:val="6CD51238"/>
    <w:rsid w:val="6CD62D60"/>
    <w:rsid w:val="6CD96484"/>
    <w:rsid w:val="6CE20B63"/>
    <w:rsid w:val="6CFA1AA4"/>
    <w:rsid w:val="6CFE0F2C"/>
    <w:rsid w:val="6D071CF1"/>
    <w:rsid w:val="6D2F2A62"/>
    <w:rsid w:val="6D2F314B"/>
    <w:rsid w:val="6D3E732D"/>
    <w:rsid w:val="6D4420C6"/>
    <w:rsid w:val="6D561607"/>
    <w:rsid w:val="6D6B4ADF"/>
    <w:rsid w:val="6D884317"/>
    <w:rsid w:val="6D89532A"/>
    <w:rsid w:val="6DA85767"/>
    <w:rsid w:val="6DB34098"/>
    <w:rsid w:val="6DB545B6"/>
    <w:rsid w:val="6DC61E67"/>
    <w:rsid w:val="6DCD2B0D"/>
    <w:rsid w:val="6DD456AD"/>
    <w:rsid w:val="6DD914FC"/>
    <w:rsid w:val="6DE02FB4"/>
    <w:rsid w:val="6DF95E59"/>
    <w:rsid w:val="6DFA78AB"/>
    <w:rsid w:val="6E2A7333"/>
    <w:rsid w:val="6E4315CE"/>
    <w:rsid w:val="6E4A4931"/>
    <w:rsid w:val="6E514CED"/>
    <w:rsid w:val="6E5A03F4"/>
    <w:rsid w:val="6E5D50D5"/>
    <w:rsid w:val="6E7A1C2C"/>
    <w:rsid w:val="6E910E54"/>
    <w:rsid w:val="6EB563D5"/>
    <w:rsid w:val="6ED92677"/>
    <w:rsid w:val="6EEB7588"/>
    <w:rsid w:val="6EF73713"/>
    <w:rsid w:val="6F0B6A44"/>
    <w:rsid w:val="6F135DBC"/>
    <w:rsid w:val="6F191BFC"/>
    <w:rsid w:val="6F225983"/>
    <w:rsid w:val="6F2932D3"/>
    <w:rsid w:val="6F4E2BF4"/>
    <w:rsid w:val="6F5B1D90"/>
    <w:rsid w:val="6F6531FB"/>
    <w:rsid w:val="6F853FD5"/>
    <w:rsid w:val="6F944668"/>
    <w:rsid w:val="6F953127"/>
    <w:rsid w:val="6F995E98"/>
    <w:rsid w:val="6FAD7C2C"/>
    <w:rsid w:val="6FB1471E"/>
    <w:rsid w:val="6FB81F4C"/>
    <w:rsid w:val="6FBA20C5"/>
    <w:rsid w:val="6FE057DC"/>
    <w:rsid w:val="6FE1680B"/>
    <w:rsid w:val="6FE20D1E"/>
    <w:rsid w:val="6FE254F8"/>
    <w:rsid w:val="6FF70194"/>
    <w:rsid w:val="6FFA7302"/>
    <w:rsid w:val="6FFC5590"/>
    <w:rsid w:val="70064A29"/>
    <w:rsid w:val="70093C9F"/>
    <w:rsid w:val="702520E9"/>
    <w:rsid w:val="70257949"/>
    <w:rsid w:val="7034568C"/>
    <w:rsid w:val="706A0F4D"/>
    <w:rsid w:val="706D1DD0"/>
    <w:rsid w:val="7073427E"/>
    <w:rsid w:val="70856B87"/>
    <w:rsid w:val="708943BF"/>
    <w:rsid w:val="70897F8C"/>
    <w:rsid w:val="70CF3B8E"/>
    <w:rsid w:val="70D527EE"/>
    <w:rsid w:val="70E0054D"/>
    <w:rsid w:val="71011921"/>
    <w:rsid w:val="71083ED7"/>
    <w:rsid w:val="71240C74"/>
    <w:rsid w:val="712634DD"/>
    <w:rsid w:val="713C22F0"/>
    <w:rsid w:val="7148328E"/>
    <w:rsid w:val="714B3F99"/>
    <w:rsid w:val="715A2EC8"/>
    <w:rsid w:val="715B5300"/>
    <w:rsid w:val="715D5702"/>
    <w:rsid w:val="7164080A"/>
    <w:rsid w:val="716532A2"/>
    <w:rsid w:val="71676356"/>
    <w:rsid w:val="71AA18F7"/>
    <w:rsid w:val="71AF08DC"/>
    <w:rsid w:val="71B522B7"/>
    <w:rsid w:val="71C277ED"/>
    <w:rsid w:val="71C37470"/>
    <w:rsid w:val="71C44761"/>
    <w:rsid w:val="71D27F8A"/>
    <w:rsid w:val="71D70843"/>
    <w:rsid w:val="71D80049"/>
    <w:rsid w:val="71EE1429"/>
    <w:rsid w:val="71EE7FC3"/>
    <w:rsid w:val="71FB7E10"/>
    <w:rsid w:val="720129AE"/>
    <w:rsid w:val="72135D18"/>
    <w:rsid w:val="72182439"/>
    <w:rsid w:val="721E1B98"/>
    <w:rsid w:val="722021E3"/>
    <w:rsid w:val="72274803"/>
    <w:rsid w:val="722F0A0F"/>
    <w:rsid w:val="72334CBF"/>
    <w:rsid w:val="724941DE"/>
    <w:rsid w:val="724E3B15"/>
    <w:rsid w:val="72553024"/>
    <w:rsid w:val="72622EB3"/>
    <w:rsid w:val="727F54B7"/>
    <w:rsid w:val="729D5E9E"/>
    <w:rsid w:val="729F24C4"/>
    <w:rsid w:val="72A34BFD"/>
    <w:rsid w:val="72BE0BCB"/>
    <w:rsid w:val="72F533C6"/>
    <w:rsid w:val="72FC5C11"/>
    <w:rsid w:val="730B7C64"/>
    <w:rsid w:val="730E1CA4"/>
    <w:rsid w:val="730E46A5"/>
    <w:rsid w:val="73122968"/>
    <w:rsid w:val="731F5D5E"/>
    <w:rsid w:val="73283C31"/>
    <w:rsid w:val="733573BB"/>
    <w:rsid w:val="73401094"/>
    <w:rsid w:val="735973D3"/>
    <w:rsid w:val="73603CF2"/>
    <w:rsid w:val="736B7A1B"/>
    <w:rsid w:val="737767CA"/>
    <w:rsid w:val="73823411"/>
    <w:rsid w:val="738D2233"/>
    <w:rsid w:val="73BD5BCC"/>
    <w:rsid w:val="73C51AD5"/>
    <w:rsid w:val="73C75294"/>
    <w:rsid w:val="73E46E43"/>
    <w:rsid w:val="73F4374B"/>
    <w:rsid w:val="7400078C"/>
    <w:rsid w:val="740C0632"/>
    <w:rsid w:val="740C50E9"/>
    <w:rsid w:val="741B59F4"/>
    <w:rsid w:val="741E793C"/>
    <w:rsid w:val="74240118"/>
    <w:rsid w:val="7445482C"/>
    <w:rsid w:val="745E3944"/>
    <w:rsid w:val="74617D8C"/>
    <w:rsid w:val="746C2946"/>
    <w:rsid w:val="747A4A38"/>
    <w:rsid w:val="748C67FA"/>
    <w:rsid w:val="74A20C96"/>
    <w:rsid w:val="74B42C2B"/>
    <w:rsid w:val="74B440FC"/>
    <w:rsid w:val="74DE6456"/>
    <w:rsid w:val="74F959E8"/>
    <w:rsid w:val="74FB420B"/>
    <w:rsid w:val="75195DD0"/>
    <w:rsid w:val="75336893"/>
    <w:rsid w:val="753D5ECD"/>
    <w:rsid w:val="754F637D"/>
    <w:rsid w:val="7550119D"/>
    <w:rsid w:val="75501E88"/>
    <w:rsid w:val="755A608D"/>
    <w:rsid w:val="758825AA"/>
    <w:rsid w:val="75A4697B"/>
    <w:rsid w:val="75B37FA1"/>
    <w:rsid w:val="75B41D06"/>
    <w:rsid w:val="75C64E50"/>
    <w:rsid w:val="75D41A93"/>
    <w:rsid w:val="75D8573E"/>
    <w:rsid w:val="75DF5E5C"/>
    <w:rsid w:val="75E05DE0"/>
    <w:rsid w:val="75E27CAF"/>
    <w:rsid w:val="760106D7"/>
    <w:rsid w:val="7619758D"/>
    <w:rsid w:val="762B7EB6"/>
    <w:rsid w:val="76314938"/>
    <w:rsid w:val="7635099D"/>
    <w:rsid w:val="765D575D"/>
    <w:rsid w:val="766E5C13"/>
    <w:rsid w:val="767201AA"/>
    <w:rsid w:val="76827DBC"/>
    <w:rsid w:val="76950948"/>
    <w:rsid w:val="76971891"/>
    <w:rsid w:val="76DA2E46"/>
    <w:rsid w:val="76DB0954"/>
    <w:rsid w:val="76E935F3"/>
    <w:rsid w:val="77094B9E"/>
    <w:rsid w:val="77340D3A"/>
    <w:rsid w:val="775070C7"/>
    <w:rsid w:val="7760037C"/>
    <w:rsid w:val="77697B4D"/>
    <w:rsid w:val="77762421"/>
    <w:rsid w:val="778545E0"/>
    <w:rsid w:val="77985EFE"/>
    <w:rsid w:val="779B3663"/>
    <w:rsid w:val="77B56B1F"/>
    <w:rsid w:val="77BE205A"/>
    <w:rsid w:val="77C71DFF"/>
    <w:rsid w:val="77CE4DD0"/>
    <w:rsid w:val="77E437A5"/>
    <w:rsid w:val="77EB0C2E"/>
    <w:rsid w:val="7807238B"/>
    <w:rsid w:val="780F09F4"/>
    <w:rsid w:val="781717C3"/>
    <w:rsid w:val="781D2C4C"/>
    <w:rsid w:val="782332D0"/>
    <w:rsid w:val="78254454"/>
    <w:rsid w:val="782A0C1A"/>
    <w:rsid w:val="782C6A89"/>
    <w:rsid w:val="78351F1A"/>
    <w:rsid w:val="783E5A5F"/>
    <w:rsid w:val="78541BD0"/>
    <w:rsid w:val="78553163"/>
    <w:rsid w:val="78623142"/>
    <w:rsid w:val="786C6866"/>
    <w:rsid w:val="78782641"/>
    <w:rsid w:val="787F6076"/>
    <w:rsid w:val="78A3591C"/>
    <w:rsid w:val="78A6378B"/>
    <w:rsid w:val="78A90480"/>
    <w:rsid w:val="78AB5D16"/>
    <w:rsid w:val="78B5195A"/>
    <w:rsid w:val="78CC4D70"/>
    <w:rsid w:val="78CC6248"/>
    <w:rsid w:val="78E92AC9"/>
    <w:rsid w:val="78EF7FED"/>
    <w:rsid w:val="79010AE1"/>
    <w:rsid w:val="791505C8"/>
    <w:rsid w:val="792A7B9E"/>
    <w:rsid w:val="792C6010"/>
    <w:rsid w:val="79306AB1"/>
    <w:rsid w:val="79461DD7"/>
    <w:rsid w:val="79591BB0"/>
    <w:rsid w:val="79716FCF"/>
    <w:rsid w:val="79825549"/>
    <w:rsid w:val="798C69A6"/>
    <w:rsid w:val="79A73957"/>
    <w:rsid w:val="79E2292D"/>
    <w:rsid w:val="79E83A97"/>
    <w:rsid w:val="79EE6CFE"/>
    <w:rsid w:val="79F667B3"/>
    <w:rsid w:val="7A15797A"/>
    <w:rsid w:val="7A364017"/>
    <w:rsid w:val="7A3F4B24"/>
    <w:rsid w:val="7A411EEA"/>
    <w:rsid w:val="7A476A1E"/>
    <w:rsid w:val="7A494128"/>
    <w:rsid w:val="7A800263"/>
    <w:rsid w:val="7A8265E1"/>
    <w:rsid w:val="7A8B195D"/>
    <w:rsid w:val="7AA108E4"/>
    <w:rsid w:val="7AA162AF"/>
    <w:rsid w:val="7AB6441A"/>
    <w:rsid w:val="7ACF2404"/>
    <w:rsid w:val="7AD15342"/>
    <w:rsid w:val="7AD91395"/>
    <w:rsid w:val="7AD922EE"/>
    <w:rsid w:val="7AE67E49"/>
    <w:rsid w:val="7B017672"/>
    <w:rsid w:val="7B0421DC"/>
    <w:rsid w:val="7B124498"/>
    <w:rsid w:val="7B2E56D4"/>
    <w:rsid w:val="7B3446FD"/>
    <w:rsid w:val="7B36408D"/>
    <w:rsid w:val="7B4A7BFE"/>
    <w:rsid w:val="7B526279"/>
    <w:rsid w:val="7B6104C6"/>
    <w:rsid w:val="7B6620AA"/>
    <w:rsid w:val="7B686D42"/>
    <w:rsid w:val="7B786BEC"/>
    <w:rsid w:val="7B841746"/>
    <w:rsid w:val="7B88108E"/>
    <w:rsid w:val="7B8A5343"/>
    <w:rsid w:val="7B9836ED"/>
    <w:rsid w:val="7B983FCB"/>
    <w:rsid w:val="7BBE30D4"/>
    <w:rsid w:val="7BC01A25"/>
    <w:rsid w:val="7BFD3335"/>
    <w:rsid w:val="7C1D35E6"/>
    <w:rsid w:val="7C2B1B46"/>
    <w:rsid w:val="7C2B6897"/>
    <w:rsid w:val="7C2E522A"/>
    <w:rsid w:val="7C354ADD"/>
    <w:rsid w:val="7C396366"/>
    <w:rsid w:val="7C6C5AC7"/>
    <w:rsid w:val="7C762C18"/>
    <w:rsid w:val="7CA06D45"/>
    <w:rsid w:val="7CA57AE6"/>
    <w:rsid w:val="7CBD4C34"/>
    <w:rsid w:val="7CC6544B"/>
    <w:rsid w:val="7CDA431C"/>
    <w:rsid w:val="7CE40AC9"/>
    <w:rsid w:val="7CE4203B"/>
    <w:rsid w:val="7CF1139E"/>
    <w:rsid w:val="7D0239FF"/>
    <w:rsid w:val="7D0E178A"/>
    <w:rsid w:val="7D120F5A"/>
    <w:rsid w:val="7D2242DF"/>
    <w:rsid w:val="7D2E1B72"/>
    <w:rsid w:val="7D300738"/>
    <w:rsid w:val="7D3E26E5"/>
    <w:rsid w:val="7D424115"/>
    <w:rsid w:val="7D446A7F"/>
    <w:rsid w:val="7D5E40CD"/>
    <w:rsid w:val="7D81470E"/>
    <w:rsid w:val="7D833B0F"/>
    <w:rsid w:val="7D894B75"/>
    <w:rsid w:val="7DAA1562"/>
    <w:rsid w:val="7DCD56F2"/>
    <w:rsid w:val="7DD00E8B"/>
    <w:rsid w:val="7DF11BD3"/>
    <w:rsid w:val="7E1C514B"/>
    <w:rsid w:val="7E233C9F"/>
    <w:rsid w:val="7E310A7F"/>
    <w:rsid w:val="7E3E0F2F"/>
    <w:rsid w:val="7E4037B2"/>
    <w:rsid w:val="7E411775"/>
    <w:rsid w:val="7E4E775F"/>
    <w:rsid w:val="7E6407D9"/>
    <w:rsid w:val="7E642E31"/>
    <w:rsid w:val="7E8B036D"/>
    <w:rsid w:val="7E8F1A0E"/>
    <w:rsid w:val="7E992EBB"/>
    <w:rsid w:val="7EAB072F"/>
    <w:rsid w:val="7EAE0BEB"/>
    <w:rsid w:val="7EB37BCB"/>
    <w:rsid w:val="7EBA32FB"/>
    <w:rsid w:val="7EBE0E52"/>
    <w:rsid w:val="7EE368E8"/>
    <w:rsid w:val="7EF8662F"/>
    <w:rsid w:val="7F001CE7"/>
    <w:rsid w:val="7F025CF4"/>
    <w:rsid w:val="7F0301C3"/>
    <w:rsid w:val="7F09385C"/>
    <w:rsid w:val="7F0F09A5"/>
    <w:rsid w:val="7F151490"/>
    <w:rsid w:val="7F1E650A"/>
    <w:rsid w:val="7F246175"/>
    <w:rsid w:val="7F343B2B"/>
    <w:rsid w:val="7F3D2370"/>
    <w:rsid w:val="7F5711DC"/>
    <w:rsid w:val="7F5E32A7"/>
    <w:rsid w:val="7F6567B2"/>
    <w:rsid w:val="7F8156DA"/>
    <w:rsid w:val="7F8926B5"/>
    <w:rsid w:val="7F8D69DE"/>
    <w:rsid w:val="7FD51C55"/>
    <w:rsid w:val="7FE47E50"/>
    <w:rsid w:val="7FE84BA4"/>
    <w:rsid w:val="7FEA08AE"/>
    <w:rsid w:val="7FEF51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nhideWhenUsed="0" w:uiPriority="0" w:semiHidden="0" w:name="heading 5" w:locked="1"/>
    <w:lsdException w:qFormat="1" w:unhideWhenUsed="0" w:uiPriority="0"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name="Block Text" w:locked="1"/>
    <w:lsdException w:qFormat="1" w:unhideWhenUsed="0" w:uiPriority="0" w:semiHidden="0" w:name="Hyperlink" w:locked="1"/>
    <w:lsdException w:qFormat="1"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qFormat="1"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99"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50"/>
    <w:qFormat/>
    <w:locked/>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qFormat/>
    <w:locked/>
    <w:uiPriority w:val="0"/>
    <w:pPr>
      <w:keepNext/>
      <w:keepLines/>
      <w:spacing w:line="440" w:lineRule="exact"/>
      <w:outlineLvl w:val="2"/>
    </w:pPr>
    <w:rPr>
      <w:rFonts w:eastAsia="FangSong_GB2312"/>
      <w:bCs/>
      <w:sz w:val="24"/>
      <w:szCs w:val="32"/>
    </w:rPr>
  </w:style>
  <w:style w:type="paragraph" w:styleId="7">
    <w:name w:val="heading 5"/>
    <w:basedOn w:val="1"/>
    <w:next w:val="1"/>
    <w:autoRedefine/>
    <w:qFormat/>
    <w:locked/>
    <w:uiPriority w:val="0"/>
    <w:pPr>
      <w:keepNext/>
      <w:keepLines/>
      <w:spacing w:before="280" w:after="290" w:line="376" w:lineRule="auto"/>
      <w:outlineLvl w:val="4"/>
    </w:pPr>
    <w:rPr>
      <w:b/>
      <w:bCs/>
      <w:sz w:val="28"/>
      <w:szCs w:val="28"/>
    </w:rPr>
  </w:style>
  <w:style w:type="paragraph" w:styleId="8">
    <w:name w:val="heading 6"/>
    <w:basedOn w:val="1"/>
    <w:next w:val="1"/>
    <w:link w:val="51"/>
    <w:qFormat/>
    <w:locked/>
    <w:uiPriority w:val="0"/>
    <w:pPr>
      <w:keepNext/>
      <w:keepLines/>
      <w:spacing w:before="240" w:after="64" w:line="320" w:lineRule="auto"/>
      <w:outlineLvl w:val="5"/>
    </w:pPr>
    <w:rPr>
      <w:rFonts w:ascii="Arial" w:hAnsi="Arial" w:eastAsia="黑体"/>
      <w:b/>
      <w:bCs/>
      <w:sz w:val="24"/>
    </w:rPr>
  </w:style>
  <w:style w:type="character" w:default="1" w:styleId="40">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49"/>
    <w:qFormat/>
    <w:locked/>
    <w:uiPriority w:val="0"/>
    <w:pPr>
      <w:ind w:firstLine="420" w:firstLineChars="200"/>
    </w:pPr>
  </w:style>
  <w:style w:type="paragraph" w:customStyle="1" w:styleId="3">
    <w:name w:val="正文首行缩进2个字 Char"/>
    <w:basedOn w:val="1"/>
    <w:qFormat/>
    <w:uiPriority w:val="0"/>
    <w:pPr>
      <w:ind w:firstLine="480" w:firstLineChars="200"/>
    </w:pPr>
    <w:rPr>
      <w:rFonts w:eastAsia="楷体"/>
      <w:sz w:val="24"/>
    </w:rPr>
  </w:style>
  <w:style w:type="paragraph" w:styleId="9">
    <w:name w:val="toc 7"/>
    <w:basedOn w:val="1"/>
    <w:next w:val="1"/>
    <w:qFormat/>
    <w:locked/>
    <w:uiPriority w:val="0"/>
    <w:pPr>
      <w:ind w:left="2520" w:leftChars="1200"/>
    </w:pPr>
  </w:style>
  <w:style w:type="paragraph" w:styleId="10">
    <w:name w:val="caption"/>
    <w:basedOn w:val="1"/>
    <w:next w:val="1"/>
    <w:link w:val="52"/>
    <w:qFormat/>
    <w:locked/>
    <w:uiPriority w:val="0"/>
    <w:pPr>
      <w:widowControl/>
      <w:jc w:val="center"/>
    </w:pPr>
    <w:rPr>
      <w:rFonts w:ascii="Arial" w:hAnsi="Arial"/>
      <w:kern w:val="0"/>
      <w:sz w:val="24"/>
      <w:szCs w:val="20"/>
    </w:rPr>
  </w:style>
  <w:style w:type="paragraph" w:styleId="11">
    <w:name w:val="Document Map"/>
    <w:basedOn w:val="1"/>
    <w:link w:val="53"/>
    <w:qFormat/>
    <w:locked/>
    <w:uiPriority w:val="0"/>
    <w:pPr>
      <w:shd w:val="clear" w:color="auto" w:fill="000080"/>
    </w:pPr>
    <w:rPr>
      <w:szCs w:val="20"/>
    </w:rPr>
  </w:style>
  <w:style w:type="paragraph" w:styleId="12">
    <w:name w:val="annotation text"/>
    <w:basedOn w:val="1"/>
    <w:link w:val="54"/>
    <w:qFormat/>
    <w:uiPriority w:val="0"/>
    <w:pPr>
      <w:jc w:val="left"/>
    </w:pPr>
    <w:rPr>
      <w:kern w:val="0"/>
      <w:sz w:val="24"/>
      <w:szCs w:val="20"/>
    </w:rPr>
  </w:style>
  <w:style w:type="paragraph" w:styleId="13">
    <w:name w:val="Body Text 3"/>
    <w:basedOn w:val="1"/>
    <w:link w:val="55"/>
    <w:qFormat/>
    <w:locked/>
    <w:uiPriority w:val="0"/>
    <w:pPr>
      <w:spacing w:after="120"/>
    </w:pPr>
    <w:rPr>
      <w:sz w:val="16"/>
      <w:szCs w:val="16"/>
    </w:rPr>
  </w:style>
  <w:style w:type="paragraph" w:styleId="14">
    <w:name w:val="Body Text"/>
    <w:basedOn w:val="1"/>
    <w:link w:val="56"/>
    <w:qFormat/>
    <w:uiPriority w:val="0"/>
    <w:pPr>
      <w:widowControl/>
      <w:snapToGrid w:val="0"/>
      <w:spacing w:before="60" w:after="160" w:line="259" w:lineRule="auto"/>
      <w:ind w:right="113"/>
    </w:pPr>
    <w:rPr>
      <w:kern w:val="0"/>
      <w:sz w:val="18"/>
      <w:szCs w:val="20"/>
    </w:rPr>
  </w:style>
  <w:style w:type="paragraph" w:styleId="15">
    <w:name w:val="Body Text Indent"/>
    <w:basedOn w:val="1"/>
    <w:link w:val="57"/>
    <w:qFormat/>
    <w:uiPriority w:val="0"/>
    <w:pPr>
      <w:spacing w:after="120"/>
      <w:ind w:left="420" w:leftChars="200"/>
    </w:pPr>
    <w:rPr>
      <w:kern w:val="0"/>
      <w:sz w:val="24"/>
      <w:szCs w:val="20"/>
    </w:rPr>
  </w:style>
  <w:style w:type="paragraph" w:styleId="16">
    <w:name w:val="List Continue"/>
    <w:basedOn w:val="1"/>
    <w:qFormat/>
    <w:locked/>
    <w:uiPriority w:val="0"/>
    <w:pPr>
      <w:spacing w:after="120"/>
      <w:ind w:left="420"/>
    </w:pPr>
    <w:rPr>
      <w:sz w:val="26"/>
      <w:szCs w:val="20"/>
    </w:rPr>
  </w:style>
  <w:style w:type="paragraph" w:styleId="17">
    <w:name w:val="Block Text"/>
    <w:basedOn w:val="1"/>
    <w:semiHidden/>
    <w:qFormat/>
    <w:locked/>
    <w:uiPriority w:val="0"/>
    <w:pPr>
      <w:spacing w:after="120" w:line="500" w:lineRule="atLeast"/>
      <w:ind w:left="1440" w:leftChars="700" w:right="1440" w:rightChars="700"/>
    </w:pPr>
    <w:rPr>
      <w:sz w:val="28"/>
      <w:szCs w:val="20"/>
    </w:rPr>
  </w:style>
  <w:style w:type="paragraph" w:styleId="18">
    <w:name w:val="toc 5"/>
    <w:basedOn w:val="1"/>
    <w:next w:val="1"/>
    <w:qFormat/>
    <w:locked/>
    <w:uiPriority w:val="0"/>
    <w:pPr>
      <w:ind w:left="1680" w:leftChars="800"/>
    </w:pPr>
    <w:rPr>
      <w:szCs w:val="20"/>
    </w:rPr>
  </w:style>
  <w:style w:type="paragraph" w:styleId="19">
    <w:name w:val="Plain Text"/>
    <w:basedOn w:val="1"/>
    <w:next w:val="20"/>
    <w:link w:val="58"/>
    <w:qFormat/>
    <w:locked/>
    <w:uiPriority w:val="0"/>
    <w:rPr>
      <w:rFonts w:ascii="宋体" w:hAnsi="Courier New"/>
      <w:szCs w:val="21"/>
    </w:rPr>
  </w:style>
  <w:style w:type="paragraph" w:styleId="20">
    <w:name w:val="toc 1"/>
    <w:basedOn w:val="1"/>
    <w:next w:val="1"/>
    <w:qFormat/>
    <w:locked/>
    <w:uiPriority w:val="0"/>
    <w:pPr>
      <w:tabs>
        <w:tab w:val="right" w:leader="dot" w:pos="8494"/>
      </w:tabs>
      <w:spacing w:line="360" w:lineRule="auto"/>
    </w:pPr>
    <w:rPr>
      <w:rFonts w:eastAsia="黑体"/>
      <w:bCs/>
      <w:kern w:val="44"/>
      <w:sz w:val="24"/>
    </w:rPr>
  </w:style>
  <w:style w:type="paragraph" w:styleId="21">
    <w:name w:val="Date"/>
    <w:basedOn w:val="1"/>
    <w:next w:val="1"/>
    <w:link w:val="59"/>
    <w:autoRedefine/>
    <w:qFormat/>
    <w:uiPriority w:val="0"/>
    <w:pPr>
      <w:ind w:left="100" w:leftChars="2500"/>
    </w:pPr>
    <w:rPr>
      <w:kern w:val="0"/>
      <w:sz w:val="24"/>
      <w:szCs w:val="20"/>
    </w:rPr>
  </w:style>
  <w:style w:type="paragraph" w:styleId="22">
    <w:name w:val="Body Text Indent 2"/>
    <w:basedOn w:val="1"/>
    <w:link w:val="60"/>
    <w:qFormat/>
    <w:locked/>
    <w:uiPriority w:val="0"/>
    <w:pPr>
      <w:spacing w:line="312" w:lineRule="auto"/>
      <w:ind w:firstLine="420" w:firstLineChars="200"/>
    </w:pPr>
    <w:rPr>
      <w:color w:val="FF0000"/>
      <w:szCs w:val="20"/>
    </w:rPr>
  </w:style>
  <w:style w:type="paragraph" w:styleId="23">
    <w:name w:val="Balloon Text"/>
    <w:basedOn w:val="1"/>
    <w:link w:val="61"/>
    <w:qFormat/>
    <w:uiPriority w:val="0"/>
    <w:rPr>
      <w:kern w:val="0"/>
      <w:sz w:val="18"/>
      <w:szCs w:val="20"/>
    </w:rPr>
  </w:style>
  <w:style w:type="paragraph" w:styleId="24">
    <w:name w:val="footer"/>
    <w:basedOn w:val="1"/>
    <w:link w:val="62"/>
    <w:qFormat/>
    <w:uiPriority w:val="99"/>
    <w:pPr>
      <w:tabs>
        <w:tab w:val="center" w:pos="4153"/>
        <w:tab w:val="right" w:pos="8306"/>
      </w:tabs>
      <w:snapToGrid w:val="0"/>
      <w:jc w:val="left"/>
    </w:pPr>
    <w:rPr>
      <w:kern w:val="0"/>
      <w:sz w:val="18"/>
      <w:szCs w:val="20"/>
    </w:rPr>
  </w:style>
  <w:style w:type="paragraph" w:styleId="25">
    <w:name w:val="header"/>
    <w:basedOn w:val="1"/>
    <w:link w:val="63"/>
    <w:autoRedefine/>
    <w:qFormat/>
    <w:uiPriority w:val="99"/>
    <w:pPr>
      <w:pBdr>
        <w:bottom w:val="single" w:color="auto" w:sz="6" w:space="1"/>
      </w:pBdr>
      <w:tabs>
        <w:tab w:val="center" w:pos="4153"/>
        <w:tab w:val="right" w:pos="8306"/>
      </w:tabs>
      <w:snapToGrid w:val="0"/>
      <w:jc w:val="center"/>
    </w:pPr>
    <w:rPr>
      <w:kern w:val="0"/>
      <w:sz w:val="18"/>
      <w:szCs w:val="20"/>
    </w:rPr>
  </w:style>
  <w:style w:type="paragraph" w:styleId="26">
    <w:name w:val="List"/>
    <w:basedOn w:val="1"/>
    <w:qFormat/>
    <w:locked/>
    <w:uiPriority w:val="0"/>
    <w:pPr>
      <w:ind w:left="200" w:hanging="200" w:hangingChars="200"/>
    </w:pPr>
    <w:rPr>
      <w:szCs w:val="20"/>
    </w:rPr>
  </w:style>
  <w:style w:type="paragraph" w:styleId="27">
    <w:name w:val="toc 6"/>
    <w:basedOn w:val="1"/>
    <w:next w:val="1"/>
    <w:autoRedefine/>
    <w:qFormat/>
    <w:locked/>
    <w:uiPriority w:val="0"/>
    <w:pPr>
      <w:ind w:left="2100" w:leftChars="1000"/>
    </w:pPr>
    <w:rPr>
      <w:szCs w:val="20"/>
    </w:rPr>
  </w:style>
  <w:style w:type="paragraph" w:styleId="28">
    <w:name w:val="Body Text Indent 3"/>
    <w:basedOn w:val="1"/>
    <w:link w:val="64"/>
    <w:qFormat/>
    <w:locked/>
    <w:uiPriority w:val="0"/>
    <w:pPr>
      <w:spacing w:line="288" w:lineRule="auto"/>
      <w:ind w:firstLine="405"/>
    </w:pPr>
    <w:rPr>
      <w:color w:val="000000"/>
      <w:szCs w:val="20"/>
    </w:rPr>
  </w:style>
  <w:style w:type="paragraph" w:styleId="29">
    <w:name w:val="toc 2"/>
    <w:basedOn w:val="1"/>
    <w:next w:val="1"/>
    <w:qFormat/>
    <w:locked/>
    <w:uiPriority w:val="0"/>
    <w:pPr>
      <w:ind w:left="420"/>
    </w:pPr>
    <w:rPr>
      <w:szCs w:val="20"/>
    </w:rPr>
  </w:style>
  <w:style w:type="paragraph" w:styleId="30">
    <w:name w:val="Body Text 2"/>
    <w:basedOn w:val="1"/>
    <w:link w:val="65"/>
    <w:autoRedefine/>
    <w:qFormat/>
    <w:locked/>
    <w:uiPriority w:val="0"/>
    <w:pPr>
      <w:spacing w:line="312" w:lineRule="auto"/>
    </w:pPr>
    <w:rPr>
      <w:color w:val="000000"/>
      <w:szCs w:val="20"/>
    </w:rPr>
  </w:style>
  <w:style w:type="paragraph" w:styleId="31">
    <w:name w:val="HTML Preformatted"/>
    <w:basedOn w:val="1"/>
    <w:link w:val="66"/>
    <w:autoRedefine/>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2">
    <w:name w:val="Normal (Web)"/>
    <w:basedOn w:val="1"/>
    <w:link w:val="67"/>
    <w:qFormat/>
    <w:uiPriority w:val="0"/>
    <w:pPr>
      <w:widowControl/>
      <w:spacing w:before="100" w:beforeAutospacing="1" w:after="100" w:afterAutospacing="1"/>
      <w:jc w:val="left"/>
    </w:pPr>
    <w:rPr>
      <w:rFonts w:ascii="宋体" w:hAnsi="宋体"/>
      <w:kern w:val="0"/>
      <w:sz w:val="24"/>
      <w:szCs w:val="20"/>
    </w:rPr>
  </w:style>
  <w:style w:type="paragraph" w:styleId="33">
    <w:name w:val="Title"/>
    <w:basedOn w:val="1"/>
    <w:link w:val="68"/>
    <w:autoRedefine/>
    <w:qFormat/>
    <w:locked/>
    <w:uiPriority w:val="0"/>
    <w:pPr>
      <w:spacing w:before="240" w:after="60"/>
      <w:jc w:val="center"/>
      <w:outlineLvl w:val="0"/>
    </w:pPr>
    <w:rPr>
      <w:rFonts w:ascii="Arial" w:hAnsi="Arial"/>
      <w:b/>
      <w:bCs/>
      <w:sz w:val="32"/>
      <w:szCs w:val="32"/>
    </w:rPr>
  </w:style>
  <w:style w:type="paragraph" w:styleId="34">
    <w:name w:val="annotation subject"/>
    <w:basedOn w:val="12"/>
    <w:next w:val="12"/>
    <w:link w:val="69"/>
    <w:autoRedefine/>
    <w:qFormat/>
    <w:uiPriority w:val="0"/>
    <w:rPr>
      <w:b/>
      <w:kern w:val="2"/>
    </w:rPr>
  </w:style>
  <w:style w:type="paragraph" w:styleId="35">
    <w:name w:val="Body Text First Indent"/>
    <w:basedOn w:val="14"/>
    <w:link w:val="70"/>
    <w:qFormat/>
    <w:locked/>
    <w:uiPriority w:val="0"/>
    <w:pPr>
      <w:widowControl w:val="0"/>
      <w:snapToGrid/>
      <w:spacing w:before="0" w:after="120" w:line="240" w:lineRule="auto"/>
      <w:ind w:right="0" w:firstLine="420"/>
    </w:pPr>
    <w:rPr>
      <w:kern w:val="2"/>
      <w:sz w:val="21"/>
    </w:rPr>
  </w:style>
  <w:style w:type="paragraph" w:styleId="36">
    <w:name w:val="Body Text First Indent 2"/>
    <w:basedOn w:val="15"/>
    <w:qFormat/>
    <w:locked/>
    <w:uiPriority w:val="0"/>
    <w:pPr>
      <w:ind w:left="0" w:leftChars="0" w:firstLine="420"/>
    </w:pPr>
    <w:rPr>
      <w:rFonts w:ascii="宋体"/>
    </w:rPr>
  </w:style>
  <w:style w:type="table" w:styleId="38">
    <w:name w:val="Table Grid"/>
    <w:basedOn w:val="37"/>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Grid 1"/>
    <w:basedOn w:val="37"/>
    <w:autoRedefine/>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1">
    <w:name w:val="Strong"/>
    <w:autoRedefine/>
    <w:qFormat/>
    <w:locked/>
    <w:uiPriority w:val="22"/>
    <w:rPr>
      <w:b/>
      <w:bCs/>
    </w:rPr>
  </w:style>
  <w:style w:type="character" w:styleId="42">
    <w:name w:val="page number"/>
    <w:basedOn w:val="40"/>
    <w:autoRedefine/>
    <w:qFormat/>
    <w:locked/>
    <w:uiPriority w:val="0"/>
  </w:style>
  <w:style w:type="character" w:styleId="43">
    <w:name w:val="FollowedHyperlink"/>
    <w:basedOn w:val="40"/>
    <w:qFormat/>
    <w:locked/>
    <w:uiPriority w:val="0"/>
    <w:rPr>
      <w:color w:val="900B09"/>
      <w:u w:val="none"/>
    </w:rPr>
  </w:style>
  <w:style w:type="character" w:styleId="44">
    <w:name w:val="Emphasis"/>
    <w:qFormat/>
    <w:locked/>
    <w:uiPriority w:val="20"/>
    <w:rPr>
      <w:color w:val="CC0000"/>
    </w:rPr>
  </w:style>
  <w:style w:type="character" w:styleId="45">
    <w:name w:val="Hyperlink"/>
    <w:basedOn w:val="40"/>
    <w:qFormat/>
    <w:locked/>
    <w:uiPriority w:val="0"/>
    <w:rPr>
      <w:color w:val="000000"/>
      <w:u w:val="none"/>
    </w:rPr>
  </w:style>
  <w:style w:type="character" w:styleId="46">
    <w:name w:val="HTML Code"/>
    <w:autoRedefine/>
    <w:qFormat/>
    <w:locked/>
    <w:uiPriority w:val="0"/>
    <w:rPr>
      <w:rFonts w:ascii="黑体" w:hAnsi="Courier New" w:eastAsia="黑体" w:cs="Courier New"/>
      <w:sz w:val="24"/>
      <w:szCs w:val="24"/>
    </w:rPr>
  </w:style>
  <w:style w:type="character" w:styleId="47">
    <w:name w:val="annotation reference"/>
    <w:qFormat/>
    <w:uiPriority w:val="0"/>
    <w:rPr>
      <w:sz w:val="21"/>
    </w:rPr>
  </w:style>
  <w:style w:type="paragraph" w:customStyle="1" w:styleId="48">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49">
    <w:name w:val="正文缩进 Char"/>
    <w:link w:val="2"/>
    <w:qFormat/>
    <w:uiPriority w:val="0"/>
    <w:rPr>
      <w:kern w:val="2"/>
      <w:sz w:val="21"/>
      <w:szCs w:val="24"/>
    </w:rPr>
  </w:style>
  <w:style w:type="character" w:customStyle="1" w:styleId="50">
    <w:name w:val="标题 2 Char"/>
    <w:basedOn w:val="40"/>
    <w:link w:val="5"/>
    <w:autoRedefine/>
    <w:qFormat/>
    <w:uiPriority w:val="0"/>
    <w:rPr>
      <w:rFonts w:ascii="Cambria" w:hAnsi="Cambria" w:eastAsia="宋体" w:cs="Times New Roman"/>
      <w:b/>
      <w:bCs/>
      <w:kern w:val="2"/>
      <w:sz w:val="32"/>
      <w:szCs w:val="32"/>
    </w:rPr>
  </w:style>
  <w:style w:type="character" w:customStyle="1" w:styleId="51">
    <w:name w:val="标题 6 Char"/>
    <w:basedOn w:val="40"/>
    <w:link w:val="8"/>
    <w:autoRedefine/>
    <w:qFormat/>
    <w:uiPriority w:val="0"/>
    <w:rPr>
      <w:rFonts w:ascii="Arial" w:hAnsi="Arial" w:eastAsia="黑体"/>
      <w:b/>
      <w:bCs/>
      <w:kern w:val="2"/>
      <w:sz w:val="24"/>
      <w:szCs w:val="24"/>
    </w:rPr>
  </w:style>
  <w:style w:type="character" w:customStyle="1" w:styleId="52">
    <w:name w:val="题注 Char"/>
    <w:link w:val="10"/>
    <w:autoRedefine/>
    <w:qFormat/>
    <w:uiPriority w:val="0"/>
    <w:rPr>
      <w:rFonts w:ascii="Arial" w:hAnsi="Arial"/>
      <w:sz w:val="24"/>
    </w:rPr>
  </w:style>
  <w:style w:type="character" w:customStyle="1" w:styleId="53">
    <w:name w:val="文档结构图 Char"/>
    <w:basedOn w:val="40"/>
    <w:link w:val="11"/>
    <w:autoRedefine/>
    <w:qFormat/>
    <w:uiPriority w:val="0"/>
    <w:rPr>
      <w:kern w:val="2"/>
      <w:sz w:val="21"/>
      <w:shd w:val="clear" w:color="auto" w:fill="000080"/>
    </w:rPr>
  </w:style>
  <w:style w:type="character" w:customStyle="1" w:styleId="54">
    <w:name w:val="批注文字 Char"/>
    <w:link w:val="12"/>
    <w:autoRedefine/>
    <w:qFormat/>
    <w:locked/>
    <w:uiPriority w:val="0"/>
    <w:rPr>
      <w:rFonts w:ascii="Times New Roman" w:hAnsi="Times New Roman" w:eastAsia="宋体"/>
      <w:sz w:val="24"/>
    </w:rPr>
  </w:style>
  <w:style w:type="character" w:customStyle="1" w:styleId="55">
    <w:name w:val="正文文本 3 Char"/>
    <w:basedOn w:val="40"/>
    <w:link w:val="13"/>
    <w:autoRedefine/>
    <w:qFormat/>
    <w:uiPriority w:val="0"/>
    <w:rPr>
      <w:kern w:val="2"/>
      <w:sz w:val="16"/>
      <w:szCs w:val="16"/>
    </w:rPr>
  </w:style>
  <w:style w:type="character" w:customStyle="1" w:styleId="56">
    <w:name w:val="正文文本 Char"/>
    <w:link w:val="14"/>
    <w:autoRedefine/>
    <w:qFormat/>
    <w:locked/>
    <w:uiPriority w:val="0"/>
    <w:rPr>
      <w:sz w:val="18"/>
    </w:rPr>
  </w:style>
  <w:style w:type="character" w:customStyle="1" w:styleId="57">
    <w:name w:val="正文文本缩进 Char"/>
    <w:link w:val="15"/>
    <w:autoRedefine/>
    <w:qFormat/>
    <w:locked/>
    <w:uiPriority w:val="0"/>
    <w:rPr>
      <w:rFonts w:ascii="Times New Roman" w:hAnsi="Times New Roman" w:eastAsia="宋体"/>
      <w:sz w:val="24"/>
    </w:rPr>
  </w:style>
  <w:style w:type="character" w:customStyle="1" w:styleId="58">
    <w:name w:val="纯文本 Char"/>
    <w:link w:val="19"/>
    <w:autoRedefine/>
    <w:qFormat/>
    <w:uiPriority w:val="0"/>
    <w:rPr>
      <w:rFonts w:ascii="宋体" w:hAnsi="Courier New" w:cs="Courier New"/>
      <w:kern w:val="2"/>
      <w:sz w:val="21"/>
      <w:szCs w:val="21"/>
    </w:rPr>
  </w:style>
  <w:style w:type="character" w:customStyle="1" w:styleId="59">
    <w:name w:val="日期 Char"/>
    <w:link w:val="21"/>
    <w:autoRedefine/>
    <w:qFormat/>
    <w:locked/>
    <w:uiPriority w:val="0"/>
    <w:rPr>
      <w:rFonts w:ascii="Times New Roman" w:hAnsi="Times New Roman" w:eastAsia="宋体"/>
      <w:sz w:val="24"/>
    </w:rPr>
  </w:style>
  <w:style w:type="character" w:customStyle="1" w:styleId="60">
    <w:name w:val="正文文本缩进 2 Char"/>
    <w:basedOn w:val="40"/>
    <w:link w:val="22"/>
    <w:autoRedefine/>
    <w:qFormat/>
    <w:uiPriority w:val="0"/>
    <w:rPr>
      <w:color w:val="FF0000"/>
      <w:kern w:val="2"/>
      <w:sz w:val="21"/>
    </w:rPr>
  </w:style>
  <w:style w:type="character" w:customStyle="1" w:styleId="61">
    <w:name w:val="批注框文本 Char"/>
    <w:link w:val="23"/>
    <w:autoRedefine/>
    <w:semiHidden/>
    <w:qFormat/>
    <w:locked/>
    <w:uiPriority w:val="0"/>
    <w:rPr>
      <w:rFonts w:ascii="Times New Roman" w:hAnsi="Times New Roman" w:eastAsia="宋体"/>
      <w:sz w:val="18"/>
    </w:rPr>
  </w:style>
  <w:style w:type="character" w:customStyle="1" w:styleId="62">
    <w:name w:val="页脚 Char"/>
    <w:link w:val="24"/>
    <w:autoRedefine/>
    <w:qFormat/>
    <w:locked/>
    <w:uiPriority w:val="99"/>
    <w:rPr>
      <w:sz w:val="18"/>
    </w:rPr>
  </w:style>
  <w:style w:type="character" w:customStyle="1" w:styleId="63">
    <w:name w:val="页眉 Char1"/>
    <w:basedOn w:val="40"/>
    <w:link w:val="25"/>
    <w:autoRedefine/>
    <w:qFormat/>
    <w:uiPriority w:val="99"/>
    <w:rPr>
      <w:rFonts w:hint="default" w:ascii="Calibri" w:hAnsi="Calibri" w:cs="Calibri"/>
    </w:rPr>
  </w:style>
  <w:style w:type="character" w:customStyle="1" w:styleId="64">
    <w:name w:val="正文文本缩进 3 Char"/>
    <w:basedOn w:val="40"/>
    <w:link w:val="28"/>
    <w:autoRedefine/>
    <w:qFormat/>
    <w:uiPriority w:val="0"/>
    <w:rPr>
      <w:color w:val="000000"/>
      <w:kern w:val="2"/>
      <w:sz w:val="21"/>
    </w:rPr>
  </w:style>
  <w:style w:type="character" w:customStyle="1" w:styleId="65">
    <w:name w:val="正文文本 2 Char"/>
    <w:basedOn w:val="40"/>
    <w:link w:val="30"/>
    <w:autoRedefine/>
    <w:qFormat/>
    <w:uiPriority w:val="0"/>
    <w:rPr>
      <w:color w:val="000000"/>
      <w:kern w:val="2"/>
      <w:sz w:val="21"/>
    </w:rPr>
  </w:style>
  <w:style w:type="character" w:customStyle="1" w:styleId="66">
    <w:name w:val="HTML 预设格式 Char"/>
    <w:basedOn w:val="40"/>
    <w:link w:val="31"/>
    <w:autoRedefine/>
    <w:qFormat/>
    <w:uiPriority w:val="0"/>
    <w:rPr>
      <w:rFonts w:ascii="黑体" w:hAnsi="Courier New" w:eastAsia="黑体" w:cs="Courier New"/>
    </w:rPr>
  </w:style>
  <w:style w:type="character" w:customStyle="1" w:styleId="67">
    <w:name w:val="普通(网站) Char"/>
    <w:link w:val="32"/>
    <w:autoRedefine/>
    <w:qFormat/>
    <w:locked/>
    <w:uiPriority w:val="0"/>
    <w:rPr>
      <w:rFonts w:ascii="宋体" w:hAnsi="宋体" w:eastAsia="宋体"/>
      <w:sz w:val="24"/>
    </w:rPr>
  </w:style>
  <w:style w:type="character" w:customStyle="1" w:styleId="68">
    <w:name w:val="标题 Char"/>
    <w:basedOn w:val="40"/>
    <w:link w:val="33"/>
    <w:autoRedefine/>
    <w:qFormat/>
    <w:uiPriority w:val="0"/>
    <w:rPr>
      <w:rFonts w:ascii="Arial" w:hAnsi="Arial"/>
      <w:b/>
      <w:bCs/>
      <w:kern w:val="2"/>
      <w:sz w:val="32"/>
      <w:szCs w:val="32"/>
    </w:rPr>
  </w:style>
  <w:style w:type="character" w:customStyle="1" w:styleId="69">
    <w:name w:val="批注主题 Char"/>
    <w:link w:val="34"/>
    <w:autoRedefine/>
    <w:semiHidden/>
    <w:qFormat/>
    <w:locked/>
    <w:uiPriority w:val="0"/>
    <w:rPr>
      <w:rFonts w:ascii="Times New Roman" w:hAnsi="Times New Roman" w:eastAsia="宋体"/>
      <w:b/>
      <w:kern w:val="2"/>
      <w:sz w:val="24"/>
    </w:rPr>
  </w:style>
  <w:style w:type="character" w:customStyle="1" w:styleId="70">
    <w:name w:val="正文首行缩进 Char"/>
    <w:basedOn w:val="56"/>
    <w:link w:val="35"/>
    <w:autoRedefine/>
    <w:qFormat/>
    <w:uiPriority w:val="0"/>
    <w:rPr>
      <w:kern w:val="2"/>
      <w:sz w:val="21"/>
    </w:rPr>
  </w:style>
  <w:style w:type="character" w:customStyle="1" w:styleId="71">
    <w:name w:val="font71"/>
    <w:basedOn w:val="40"/>
    <w:autoRedefine/>
    <w:qFormat/>
    <w:uiPriority w:val="0"/>
    <w:rPr>
      <w:rFonts w:hint="default" w:ascii="Times New Roman" w:hAnsi="Times New Roman" w:cs="Times New Roman"/>
      <w:color w:val="000000"/>
      <w:sz w:val="21"/>
      <w:szCs w:val="21"/>
      <w:u w:val="none"/>
      <w:vertAlign w:val="superscript"/>
    </w:rPr>
  </w:style>
  <w:style w:type="character" w:customStyle="1" w:styleId="72">
    <w:name w:val="日期 字符"/>
    <w:autoRedefine/>
    <w:semiHidden/>
    <w:qFormat/>
    <w:uiPriority w:val="0"/>
    <w:rPr>
      <w:rFonts w:ascii="Times New Roman" w:hAnsi="Times New Roman" w:eastAsia="宋体"/>
      <w:sz w:val="24"/>
    </w:rPr>
  </w:style>
  <w:style w:type="character" w:customStyle="1" w:styleId="73">
    <w:name w:val="样式 (中文) 仿宋_GB2312 四号"/>
    <w:basedOn w:val="40"/>
    <w:autoRedefine/>
    <w:semiHidden/>
    <w:qFormat/>
    <w:uiPriority w:val="0"/>
    <w:rPr>
      <w:rFonts w:eastAsia="FangSong_GB2312"/>
      <w:color w:val="FF0000"/>
      <w:kern w:val="2"/>
      <w:sz w:val="24"/>
      <w:szCs w:val="21"/>
      <w:lang w:val="en-US" w:eastAsia="zh-CN" w:bidi="ar-SA"/>
    </w:rPr>
  </w:style>
  <w:style w:type="character" w:customStyle="1" w:styleId="74">
    <w:name w:val="表格 Char"/>
    <w:link w:val="75"/>
    <w:autoRedefine/>
    <w:qFormat/>
    <w:locked/>
    <w:uiPriority w:val="0"/>
    <w:rPr>
      <w:rFonts w:ascii="宋体"/>
      <w:sz w:val="21"/>
    </w:rPr>
  </w:style>
  <w:style w:type="paragraph" w:customStyle="1" w:styleId="75">
    <w:name w:val="表格"/>
    <w:basedOn w:val="1"/>
    <w:next w:val="1"/>
    <w:link w:val="74"/>
    <w:qFormat/>
    <w:uiPriority w:val="0"/>
    <w:pPr>
      <w:adjustRightInd w:val="0"/>
      <w:snapToGrid w:val="0"/>
      <w:spacing w:beforeLines="10" w:afterLines="10" w:line="259" w:lineRule="auto"/>
      <w:jc w:val="center"/>
    </w:pPr>
    <w:rPr>
      <w:rFonts w:ascii="宋体"/>
      <w:kern w:val="0"/>
      <w:szCs w:val="20"/>
    </w:rPr>
  </w:style>
  <w:style w:type="character" w:customStyle="1" w:styleId="76">
    <w:name w:val="cur1"/>
    <w:basedOn w:val="40"/>
    <w:autoRedefine/>
    <w:qFormat/>
    <w:uiPriority w:val="0"/>
    <w:rPr>
      <w:color w:val="FFFFFF"/>
      <w:shd w:val="clear" w:color="auto" w:fill="0C79CC"/>
    </w:rPr>
  </w:style>
  <w:style w:type="character" w:customStyle="1" w:styleId="77">
    <w:name w:val="font01"/>
    <w:basedOn w:val="40"/>
    <w:autoRedefine/>
    <w:qFormat/>
    <w:uiPriority w:val="0"/>
    <w:rPr>
      <w:rFonts w:hint="eastAsia" w:ascii="宋体" w:hAnsi="宋体" w:eastAsia="宋体" w:cs="宋体"/>
      <w:color w:val="000000"/>
      <w:sz w:val="22"/>
      <w:szCs w:val="22"/>
      <w:u w:val="none"/>
    </w:rPr>
  </w:style>
  <w:style w:type="character" w:customStyle="1" w:styleId="78">
    <w:name w:val="font41"/>
    <w:basedOn w:val="40"/>
    <w:autoRedefine/>
    <w:qFormat/>
    <w:uiPriority w:val="0"/>
    <w:rPr>
      <w:rFonts w:hint="eastAsia" w:ascii="宋体" w:hAnsi="宋体" w:eastAsia="宋体" w:cs="宋体"/>
      <w:color w:val="000000"/>
      <w:sz w:val="22"/>
      <w:szCs w:val="22"/>
      <w:u w:val="none"/>
    </w:rPr>
  </w:style>
  <w:style w:type="character" w:customStyle="1" w:styleId="79">
    <w:name w:val="样式4 Char"/>
    <w:basedOn w:val="40"/>
    <w:link w:val="80"/>
    <w:autoRedefine/>
    <w:qFormat/>
    <w:uiPriority w:val="0"/>
    <w:rPr>
      <w:rFonts w:eastAsia="FangSong_GB2312"/>
      <w:kern w:val="2"/>
      <w:sz w:val="24"/>
      <w:szCs w:val="24"/>
      <w:lang w:val="en-US" w:eastAsia="zh-CN" w:bidi="ar-SA"/>
    </w:rPr>
  </w:style>
  <w:style w:type="paragraph" w:customStyle="1" w:styleId="80">
    <w:name w:val="样式4"/>
    <w:next w:val="2"/>
    <w:link w:val="79"/>
    <w:autoRedefine/>
    <w:qFormat/>
    <w:uiPriority w:val="0"/>
    <w:pPr>
      <w:spacing w:line="440" w:lineRule="exact"/>
      <w:ind w:firstLine="200" w:firstLineChars="200"/>
      <w:jc w:val="both"/>
    </w:pPr>
    <w:rPr>
      <w:rFonts w:ascii="Times New Roman" w:hAnsi="Times New Roman" w:eastAsia="FangSong_GB2312" w:cs="Times New Roman"/>
      <w:kern w:val="2"/>
      <w:sz w:val="24"/>
      <w:szCs w:val="24"/>
      <w:lang w:val="en-US" w:eastAsia="zh-CN" w:bidi="ar-SA"/>
    </w:rPr>
  </w:style>
  <w:style w:type="character" w:customStyle="1" w:styleId="81">
    <w:name w:val="正文文本 字符1"/>
    <w:autoRedefine/>
    <w:semiHidden/>
    <w:qFormat/>
    <w:uiPriority w:val="0"/>
    <w:rPr>
      <w:rFonts w:ascii="Times New Roman" w:hAnsi="Times New Roman" w:eastAsia="宋体"/>
      <w:sz w:val="24"/>
    </w:rPr>
  </w:style>
  <w:style w:type="character" w:customStyle="1" w:styleId="82">
    <w:name w:val="font51"/>
    <w:basedOn w:val="40"/>
    <w:autoRedefine/>
    <w:qFormat/>
    <w:uiPriority w:val="0"/>
    <w:rPr>
      <w:rFonts w:hint="default" w:ascii="Times New Roman" w:hAnsi="Times New Roman" w:cs="Times New Roman"/>
      <w:color w:val="FF0000"/>
      <w:sz w:val="21"/>
      <w:szCs w:val="21"/>
      <w:u w:val="none"/>
      <w:vertAlign w:val="subscript"/>
    </w:rPr>
  </w:style>
  <w:style w:type="character" w:customStyle="1" w:styleId="83">
    <w:name w:val="表格内容"/>
    <w:basedOn w:val="40"/>
    <w:autoRedefine/>
    <w:semiHidden/>
    <w:qFormat/>
    <w:uiPriority w:val="0"/>
    <w:rPr>
      <w:rFonts w:eastAsia="FangSong_GB2312"/>
    </w:rPr>
  </w:style>
  <w:style w:type="character" w:customStyle="1" w:styleId="84">
    <w:name w:val="页眉 Char"/>
    <w:autoRedefine/>
    <w:qFormat/>
    <w:locked/>
    <w:uiPriority w:val="99"/>
    <w:rPr>
      <w:sz w:val="18"/>
    </w:rPr>
  </w:style>
  <w:style w:type="character" w:customStyle="1" w:styleId="85">
    <w:name w:val="页脚 字符"/>
    <w:basedOn w:val="40"/>
    <w:autoRedefine/>
    <w:qFormat/>
    <w:uiPriority w:val="99"/>
  </w:style>
  <w:style w:type="character" w:customStyle="1" w:styleId="86">
    <w:name w:val="批注文字 字符1"/>
    <w:autoRedefine/>
    <w:semiHidden/>
    <w:qFormat/>
    <w:uiPriority w:val="0"/>
    <w:rPr>
      <w:rFonts w:ascii="Times New Roman" w:hAnsi="Times New Roman" w:eastAsia="宋体"/>
      <w:sz w:val="24"/>
    </w:rPr>
  </w:style>
  <w:style w:type="character" w:customStyle="1" w:styleId="87">
    <w:name w:val="hover28"/>
    <w:basedOn w:val="40"/>
    <w:autoRedefine/>
    <w:qFormat/>
    <w:uiPriority w:val="0"/>
  </w:style>
  <w:style w:type="character" w:customStyle="1" w:styleId="88">
    <w:name w:val="font11"/>
    <w:basedOn w:val="40"/>
    <w:autoRedefine/>
    <w:qFormat/>
    <w:uiPriority w:val="0"/>
    <w:rPr>
      <w:rFonts w:hint="default" w:ascii="Times New Roman" w:hAnsi="Times New Roman" w:cs="Times New Roman"/>
      <w:color w:val="000000"/>
      <w:sz w:val="21"/>
      <w:szCs w:val="21"/>
      <w:u w:val="none"/>
    </w:rPr>
  </w:style>
  <w:style w:type="character" w:customStyle="1" w:styleId="89">
    <w:name w:val="lable"/>
    <w:basedOn w:val="40"/>
    <w:autoRedefine/>
    <w:qFormat/>
    <w:uiPriority w:val="0"/>
  </w:style>
  <w:style w:type="character" w:customStyle="1" w:styleId="90">
    <w:name w:val="radio-btn"/>
    <w:basedOn w:val="40"/>
    <w:autoRedefine/>
    <w:qFormat/>
    <w:uiPriority w:val="0"/>
  </w:style>
  <w:style w:type="paragraph" w:customStyle="1" w:styleId="91">
    <w:name w:val="（正文"/>
    <w:basedOn w:val="1"/>
    <w:autoRedefine/>
    <w:semiHidden/>
    <w:qFormat/>
    <w:uiPriority w:val="0"/>
    <w:pPr>
      <w:spacing w:line="440" w:lineRule="exact"/>
      <w:ind w:firstLine="200" w:firstLineChars="200"/>
    </w:pPr>
    <w:rPr>
      <w:rFonts w:eastAsia="FangSong_GB2312"/>
      <w:color w:val="000000"/>
      <w:sz w:val="24"/>
      <w:szCs w:val="20"/>
    </w:rPr>
  </w:style>
  <w:style w:type="paragraph" w:customStyle="1" w:styleId="92">
    <w:name w:val="备注2019"/>
    <w:autoRedefine/>
    <w:qFormat/>
    <w:uiPriority w:val="0"/>
    <w:pPr>
      <w:adjustRightInd w:val="0"/>
      <w:snapToGrid w:val="0"/>
    </w:pPr>
    <w:rPr>
      <w:rFonts w:ascii="Times New Roman" w:hAnsi="Times New Roman" w:eastAsia="FangSong_GB2312" w:cs="Times New Roman"/>
      <w:kern w:val="2"/>
      <w:sz w:val="21"/>
      <w:szCs w:val="24"/>
      <w:lang w:val="en-US" w:eastAsia="zh-CN" w:bidi="ar-SA"/>
    </w:rPr>
  </w:style>
  <w:style w:type="paragraph" w:customStyle="1" w:styleId="93">
    <w:name w:val="正文2019"/>
    <w:autoRedefine/>
    <w:qFormat/>
    <w:uiPriority w:val="0"/>
    <w:pPr>
      <w:adjustRightInd w:val="0"/>
      <w:snapToGrid w:val="0"/>
      <w:spacing w:line="440" w:lineRule="exact"/>
      <w:ind w:firstLine="200" w:firstLineChars="200"/>
    </w:pPr>
    <w:rPr>
      <w:rFonts w:ascii="Times New Roman" w:hAnsi="Times New Roman" w:eastAsia="FangSong_GB2312" w:cs="Times New Roman"/>
      <w:bCs/>
      <w:kern w:val="44"/>
      <w:sz w:val="24"/>
      <w:szCs w:val="44"/>
      <w:lang w:val="en-US" w:eastAsia="zh-CN" w:bidi="ar-SA"/>
    </w:rPr>
  </w:style>
  <w:style w:type="paragraph" w:customStyle="1" w:styleId="94">
    <w:name w:val="列表2019"/>
    <w:autoRedefine/>
    <w:qFormat/>
    <w:uiPriority w:val="0"/>
    <w:pPr>
      <w:adjustRightInd w:val="0"/>
      <w:snapToGrid w:val="0"/>
      <w:spacing w:line="440" w:lineRule="exact"/>
      <w:ind w:firstLine="442"/>
    </w:pPr>
    <w:rPr>
      <w:rFonts w:ascii="Times New Roman" w:hAnsi="Times New Roman" w:eastAsia="FangSong_GB2312" w:cs="Times New Roman"/>
      <w:bCs/>
      <w:kern w:val="44"/>
      <w:sz w:val="24"/>
      <w:szCs w:val="44"/>
      <w:lang w:val="en-US" w:eastAsia="zh-CN" w:bidi="ar-SA"/>
    </w:rPr>
  </w:style>
  <w:style w:type="paragraph" w:customStyle="1" w:styleId="95">
    <w:name w:val="Default"/>
    <w:autoRedefine/>
    <w:unhideWhenUsed/>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96">
    <w:name w:val="报告正文"/>
    <w:basedOn w:val="1"/>
    <w:autoRedefine/>
    <w:semiHidden/>
    <w:qFormat/>
    <w:uiPriority w:val="0"/>
    <w:pPr>
      <w:spacing w:line="440" w:lineRule="exact"/>
      <w:ind w:firstLine="200" w:firstLineChars="200"/>
      <w:jc w:val="left"/>
    </w:pPr>
    <w:rPr>
      <w:rFonts w:eastAsia="FangSong_GB2312"/>
      <w:sz w:val="24"/>
    </w:rPr>
  </w:style>
  <w:style w:type="paragraph" w:customStyle="1" w:styleId="97">
    <w:name w:val="样式 文本2017 + 首行缩进:  2 字符"/>
    <w:basedOn w:val="98"/>
    <w:autoRedefine/>
    <w:qFormat/>
    <w:uiPriority w:val="0"/>
    <w:pPr>
      <w:ind w:firstLine="480"/>
    </w:pPr>
    <w:rPr>
      <w:rFonts w:cs="宋体"/>
      <w:szCs w:val="20"/>
    </w:rPr>
  </w:style>
  <w:style w:type="paragraph" w:customStyle="1" w:styleId="98">
    <w:name w:val="文本2017"/>
    <w:basedOn w:val="1"/>
    <w:autoRedefine/>
    <w:qFormat/>
    <w:uiPriority w:val="0"/>
    <w:pPr>
      <w:spacing w:line="440" w:lineRule="atLeast"/>
      <w:ind w:firstLine="200" w:firstLineChars="200"/>
    </w:pPr>
    <w:rPr>
      <w:rFonts w:eastAsia="FangSong_GB2312"/>
      <w:sz w:val="24"/>
      <w:szCs w:val="21"/>
    </w:rPr>
  </w:style>
  <w:style w:type="paragraph" w:customStyle="1" w:styleId="99">
    <w:name w:val="--"/>
    <w:basedOn w:val="1"/>
    <w:autoRedefine/>
    <w:qFormat/>
    <w:uiPriority w:val="0"/>
    <w:pPr>
      <w:widowControl/>
      <w:spacing w:before="100" w:beforeAutospacing="1" w:after="100" w:afterAutospacing="1"/>
      <w:jc w:val="left"/>
    </w:pPr>
    <w:rPr>
      <w:rFonts w:ascii="宋体" w:hAnsi="宋体"/>
      <w:kern w:val="0"/>
    </w:rPr>
  </w:style>
  <w:style w:type="paragraph" w:customStyle="1" w:styleId="100">
    <w:name w:val="嘉环表格文字"/>
    <w:autoRedefine/>
    <w:qFormat/>
    <w:uiPriority w:val="0"/>
    <w:pPr>
      <w:snapToGrid w:val="0"/>
      <w:spacing w:line="320" w:lineRule="exact"/>
      <w:jc w:val="center"/>
    </w:pPr>
    <w:rPr>
      <w:rFonts w:ascii="Times New Roman" w:hAnsi="Times New Roman" w:eastAsia="FangSong_GB2312" w:cs="Times New Roman"/>
      <w:kern w:val="2"/>
      <w:sz w:val="21"/>
      <w:szCs w:val="21"/>
      <w:lang w:val="en-US" w:eastAsia="zh-CN" w:bidi="ar-SA"/>
    </w:rPr>
  </w:style>
  <w:style w:type="paragraph" w:customStyle="1" w:styleId="101">
    <w:name w:val="表内1"/>
    <w:autoRedefine/>
    <w:qFormat/>
    <w:uiPriority w:val="0"/>
    <w:pPr>
      <w:jc w:val="center"/>
    </w:pPr>
    <w:rPr>
      <w:rFonts w:ascii="Times New Roman" w:hAnsi="Times New Roman" w:eastAsia="FangSong_GB2312" w:cs="Times New Roman"/>
      <w:kern w:val="2"/>
      <w:sz w:val="21"/>
      <w:szCs w:val="21"/>
      <w:lang w:val="en-US" w:eastAsia="zh-CN" w:bidi="ar-SA"/>
    </w:rPr>
  </w:style>
  <w:style w:type="paragraph" w:customStyle="1" w:styleId="102">
    <w:name w:val="图表标题"/>
    <w:basedOn w:val="1"/>
    <w:autoRedefine/>
    <w:semiHidden/>
    <w:qFormat/>
    <w:uiPriority w:val="0"/>
    <w:pPr>
      <w:jc w:val="center"/>
    </w:pPr>
    <w:rPr>
      <w:rFonts w:eastAsia="黑体"/>
      <w:b/>
    </w:rPr>
  </w:style>
  <w:style w:type="paragraph" w:customStyle="1" w:styleId="103">
    <w:name w:val="表内3"/>
    <w:basedOn w:val="1"/>
    <w:autoRedefine/>
    <w:semiHidden/>
    <w:qFormat/>
    <w:uiPriority w:val="0"/>
    <w:pPr>
      <w:spacing w:line="440" w:lineRule="exact"/>
      <w:ind w:firstLine="200" w:firstLineChars="200"/>
    </w:pPr>
    <w:rPr>
      <w:rFonts w:eastAsia="FangSong_GB2312" w:cs="宋体"/>
      <w:sz w:val="24"/>
    </w:rPr>
  </w:style>
  <w:style w:type="paragraph" w:customStyle="1" w:styleId="104">
    <w:name w:val="环评正文"/>
    <w:basedOn w:val="1"/>
    <w:link w:val="105"/>
    <w:autoRedefine/>
    <w:qFormat/>
    <w:uiPriority w:val="0"/>
    <w:pPr>
      <w:spacing w:line="440" w:lineRule="exact"/>
      <w:ind w:firstLine="200" w:firstLineChars="200"/>
    </w:pPr>
    <w:rPr>
      <w:rFonts w:eastAsia="FangSong_GB2312"/>
      <w:sz w:val="24"/>
    </w:rPr>
  </w:style>
  <w:style w:type="character" w:customStyle="1" w:styleId="105">
    <w:name w:val="环评正文 Char Char"/>
    <w:link w:val="104"/>
    <w:autoRedefine/>
    <w:qFormat/>
    <w:uiPriority w:val="0"/>
    <w:rPr>
      <w:rFonts w:eastAsia="FangSong_GB2312"/>
      <w:kern w:val="2"/>
      <w:sz w:val="24"/>
      <w:szCs w:val="24"/>
    </w:rPr>
  </w:style>
  <w:style w:type="paragraph" w:customStyle="1" w:styleId="106">
    <w:name w:val="样式6"/>
    <w:autoRedefine/>
    <w:qFormat/>
    <w:uiPriority w:val="0"/>
    <w:pPr>
      <w:spacing w:line="320" w:lineRule="exact"/>
      <w:jc w:val="center"/>
    </w:pPr>
    <w:rPr>
      <w:rFonts w:ascii="Times New Roman" w:hAnsi="Times New Roman" w:eastAsia="FangSong_GB2312" w:cs="Times New Roman"/>
      <w:kern w:val="2"/>
      <w:sz w:val="21"/>
      <w:szCs w:val="21"/>
      <w:lang w:val="en-US" w:eastAsia="zh-CN" w:bidi="ar-SA"/>
    </w:rPr>
  </w:style>
  <w:style w:type="paragraph" w:customStyle="1" w:styleId="107">
    <w:name w:val="(a正文"/>
    <w:basedOn w:val="15"/>
    <w:autoRedefine/>
    <w:semiHidden/>
    <w:qFormat/>
    <w:uiPriority w:val="0"/>
    <w:pPr>
      <w:spacing w:after="0" w:line="400" w:lineRule="exact"/>
      <w:ind w:left="0" w:leftChars="0" w:firstLine="200" w:firstLineChars="200"/>
    </w:pPr>
    <w:rPr>
      <w:rFonts w:eastAsia="FangSong_GB2312"/>
      <w:color w:val="000000"/>
    </w:rPr>
  </w:style>
  <w:style w:type="paragraph" w:customStyle="1" w:styleId="108">
    <w:name w:val="嘉环正文"/>
    <w:autoRedefine/>
    <w:qFormat/>
    <w:uiPriority w:val="0"/>
    <w:pPr>
      <w:spacing w:line="440" w:lineRule="exact"/>
      <w:ind w:firstLine="200" w:firstLineChars="200"/>
    </w:pPr>
    <w:rPr>
      <w:rFonts w:ascii="Times New Roman" w:hAnsi="Times New Roman" w:eastAsia="FangSong_GB2312" w:cs="Times New Roman"/>
      <w:kern w:val="2"/>
      <w:sz w:val="24"/>
      <w:szCs w:val="21"/>
      <w:lang w:val="en-US" w:eastAsia="zh-CN" w:bidi="ar-SA"/>
    </w:rPr>
  </w:style>
  <w:style w:type="paragraph" w:customStyle="1" w:styleId="109">
    <w:name w:val="Table Paragraph"/>
    <w:basedOn w:val="1"/>
    <w:autoRedefine/>
    <w:qFormat/>
    <w:uiPriority w:val="1"/>
    <w:pPr>
      <w:autoSpaceDE w:val="0"/>
      <w:autoSpaceDN w:val="0"/>
      <w:adjustRightInd w:val="0"/>
      <w:spacing w:before="27"/>
      <w:jc w:val="center"/>
    </w:pPr>
    <w:rPr>
      <w:kern w:val="0"/>
      <w:sz w:val="24"/>
    </w:rPr>
  </w:style>
  <w:style w:type="paragraph" w:customStyle="1" w:styleId="110">
    <w:name w:val="报告书正文"/>
    <w:basedOn w:val="1"/>
    <w:autoRedefine/>
    <w:semiHidden/>
    <w:qFormat/>
    <w:uiPriority w:val="0"/>
    <w:pPr>
      <w:tabs>
        <w:tab w:val="left" w:pos="420"/>
      </w:tabs>
      <w:spacing w:line="440" w:lineRule="exact"/>
      <w:ind w:firstLine="200" w:firstLineChars="200"/>
    </w:pPr>
    <w:rPr>
      <w:rFonts w:eastAsia="FangSong_GB2312"/>
      <w:sz w:val="24"/>
    </w:rPr>
  </w:style>
  <w:style w:type="paragraph" w:customStyle="1" w:styleId="111">
    <w:name w:val="正文4号"/>
    <w:autoRedefine/>
    <w:qFormat/>
    <w:uiPriority w:val="0"/>
    <w:pPr>
      <w:widowControl w:val="0"/>
      <w:spacing w:line="440" w:lineRule="exact"/>
      <w:ind w:firstLine="200" w:firstLineChars="200"/>
      <w:jc w:val="both"/>
    </w:pPr>
    <w:rPr>
      <w:rFonts w:ascii="Times New Roman" w:hAnsi="Times New Roman" w:eastAsia="FangSong_GB2312" w:cs="Times New Roman"/>
      <w:kern w:val="2"/>
      <w:szCs w:val="24"/>
      <w:lang w:val="en-US" w:eastAsia="zh-CN" w:bidi="ar-SA"/>
    </w:rPr>
  </w:style>
  <w:style w:type="paragraph" w:customStyle="1" w:styleId="112">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13">
    <w:name w:val="表格文字2019"/>
    <w:autoRedefine/>
    <w:qFormat/>
    <w:uiPriority w:val="0"/>
    <w:pPr>
      <w:adjustRightInd w:val="0"/>
      <w:snapToGrid w:val="0"/>
      <w:spacing w:line="320" w:lineRule="exact"/>
      <w:jc w:val="center"/>
    </w:pPr>
    <w:rPr>
      <w:rFonts w:ascii="Times New Roman" w:hAnsi="Times New Roman" w:eastAsia="FangSong_GB2312" w:cs="Times New Roman"/>
      <w:kern w:val="2"/>
      <w:sz w:val="21"/>
      <w:szCs w:val="24"/>
      <w:lang w:val="en-US" w:eastAsia="zh-CN" w:bidi="ar-SA"/>
    </w:rPr>
  </w:style>
  <w:style w:type="paragraph" w:customStyle="1" w:styleId="114">
    <w:name w:val="Char Char Char Char Char Char Char"/>
    <w:basedOn w:val="1"/>
    <w:autoRedefine/>
    <w:semiHidden/>
    <w:qFormat/>
    <w:uiPriority w:val="0"/>
    <w:pPr>
      <w:spacing w:line="360" w:lineRule="auto"/>
      <w:ind w:firstLine="200" w:firstLineChars="200"/>
    </w:pPr>
    <w:rPr>
      <w:szCs w:val="20"/>
    </w:rPr>
  </w:style>
  <w:style w:type="paragraph" w:customStyle="1" w:styleId="115">
    <w:name w:val="表头1"/>
    <w:next w:val="1"/>
    <w:autoRedefine/>
    <w:qFormat/>
    <w:uiPriority w:val="0"/>
    <w:pPr>
      <w:spacing w:line="420" w:lineRule="exact"/>
      <w:jc w:val="center"/>
    </w:pPr>
    <w:rPr>
      <w:rFonts w:ascii="Times New Roman" w:hAnsi="Times New Roman" w:eastAsia="黑体" w:cs="Times New Roman"/>
      <w:b/>
      <w:kern w:val="2"/>
      <w:sz w:val="21"/>
      <w:szCs w:val="24"/>
      <w:lang w:val="en-US" w:eastAsia="zh-CN" w:bidi="ar-SA"/>
    </w:rPr>
  </w:style>
  <w:style w:type="paragraph" w:customStyle="1" w:styleId="116">
    <w:name w:val="正文1"/>
    <w:basedOn w:val="103"/>
    <w:link w:val="117"/>
    <w:autoRedefine/>
    <w:qFormat/>
    <w:uiPriority w:val="0"/>
    <w:rPr>
      <w:rFonts w:cs="Times New Roman"/>
      <w:szCs w:val="20"/>
    </w:rPr>
  </w:style>
  <w:style w:type="character" w:customStyle="1" w:styleId="117">
    <w:name w:val="正文1 Char Char"/>
    <w:link w:val="116"/>
    <w:autoRedefine/>
    <w:qFormat/>
    <w:uiPriority w:val="0"/>
    <w:rPr>
      <w:rFonts w:eastAsia="FangSong_GB2312" w:cs="宋体"/>
      <w:kern w:val="2"/>
      <w:sz w:val="24"/>
    </w:rPr>
  </w:style>
  <w:style w:type="paragraph" w:customStyle="1" w:styleId="118">
    <w:name w:val="正文 缩进"/>
    <w:basedOn w:val="116"/>
    <w:autoRedefine/>
    <w:semiHidden/>
    <w:qFormat/>
    <w:uiPriority w:val="0"/>
    <w:pPr>
      <w:ind w:firstLine="480"/>
    </w:pPr>
    <w:rPr>
      <w:kern w:val="0"/>
    </w:rPr>
  </w:style>
  <w:style w:type="paragraph" w:customStyle="1" w:styleId="119">
    <w:name w:val="表头2018"/>
    <w:autoRedefine/>
    <w:qFormat/>
    <w:uiPriority w:val="0"/>
    <w:pPr>
      <w:spacing w:line="440" w:lineRule="exact"/>
      <w:jc w:val="center"/>
    </w:pPr>
    <w:rPr>
      <w:rFonts w:ascii="Times New Roman" w:hAnsi="Times New Roman" w:eastAsia="黑体" w:cs="Times New Roman"/>
      <w:b/>
      <w:kern w:val="2"/>
      <w:sz w:val="21"/>
      <w:szCs w:val="21"/>
      <w:lang w:val="en-US" w:eastAsia="zh-CN" w:bidi="ar-SA"/>
    </w:rPr>
  </w:style>
  <w:style w:type="paragraph" w:customStyle="1" w:styleId="120">
    <w:name w:val="正文（ZJU2013M01）"/>
    <w:basedOn w:val="1"/>
    <w:autoRedefine/>
    <w:semiHidden/>
    <w:qFormat/>
    <w:uiPriority w:val="0"/>
    <w:pPr>
      <w:spacing w:line="440" w:lineRule="exact"/>
      <w:ind w:firstLine="200" w:firstLineChars="200"/>
    </w:pPr>
    <w:rPr>
      <w:rFonts w:eastAsia="FangSong_GB2312"/>
      <w:sz w:val="24"/>
    </w:rPr>
  </w:style>
  <w:style w:type="paragraph" w:customStyle="1" w:styleId="121">
    <w:name w:val="样式 报告正文 + (中文) 黑体 五号 加粗 居中 行距: 单倍行距 首行缩进:  0 字符"/>
    <w:basedOn w:val="96"/>
    <w:autoRedefine/>
    <w:qFormat/>
    <w:uiPriority w:val="0"/>
    <w:pPr>
      <w:spacing w:line="240" w:lineRule="auto"/>
      <w:ind w:firstLine="0" w:firstLineChars="0"/>
      <w:jc w:val="center"/>
    </w:pPr>
    <w:rPr>
      <w:rFonts w:eastAsia="黑体" w:cs="宋体"/>
      <w:b/>
      <w:bCs/>
      <w:sz w:val="21"/>
      <w:szCs w:val="20"/>
    </w:rPr>
  </w:style>
  <w:style w:type="paragraph" w:customStyle="1" w:styleId="122">
    <w:name w:val="表格文字2018"/>
    <w:autoRedefine/>
    <w:qFormat/>
    <w:uiPriority w:val="0"/>
    <w:pPr>
      <w:spacing w:line="320" w:lineRule="exact"/>
      <w:jc w:val="center"/>
    </w:pPr>
    <w:rPr>
      <w:rFonts w:ascii="Times New Roman" w:hAnsi="Times New Roman" w:eastAsia="FangSong_GB2312" w:cs="Times New Roman"/>
      <w:kern w:val="2"/>
      <w:sz w:val="21"/>
      <w:szCs w:val="21"/>
      <w:lang w:val="en-US" w:eastAsia="zh-CN" w:bidi="ar-SA"/>
    </w:rPr>
  </w:style>
  <w:style w:type="paragraph" w:customStyle="1" w:styleId="123">
    <w:name w:val="Char"/>
    <w:basedOn w:val="1"/>
    <w:autoRedefine/>
    <w:semiHidden/>
    <w:qFormat/>
    <w:uiPriority w:val="0"/>
    <w:pPr>
      <w:spacing w:line="360" w:lineRule="auto"/>
      <w:ind w:firstLine="200" w:firstLineChars="200"/>
    </w:pPr>
  </w:style>
  <w:style w:type="paragraph" w:customStyle="1" w:styleId="124">
    <w:name w:val="表内文本"/>
    <w:basedOn w:val="1"/>
    <w:autoRedefine/>
    <w:qFormat/>
    <w:uiPriority w:val="0"/>
    <w:pPr>
      <w:spacing w:line="320" w:lineRule="exact"/>
      <w:jc w:val="center"/>
    </w:pPr>
    <w:rPr>
      <w:rFonts w:eastAsia="FangSong_GB2312"/>
      <w:szCs w:val="21"/>
    </w:rPr>
  </w:style>
  <w:style w:type="paragraph" w:customStyle="1" w:styleId="125">
    <w:name w:val="文本2018"/>
    <w:autoRedefine/>
    <w:qFormat/>
    <w:uiPriority w:val="0"/>
    <w:pPr>
      <w:spacing w:line="440" w:lineRule="exact"/>
      <w:ind w:firstLine="200" w:firstLineChars="200"/>
    </w:pPr>
    <w:rPr>
      <w:rFonts w:ascii="等线" w:hAnsi="等线" w:eastAsia="FangSong_GB2312" w:cs="Times New Roman"/>
      <w:kern w:val="2"/>
      <w:sz w:val="24"/>
      <w:szCs w:val="21"/>
      <w:lang w:val="en-US" w:eastAsia="zh-CN" w:bidi="ar-SA"/>
    </w:rPr>
  </w:style>
  <w:style w:type="paragraph" w:customStyle="1" w:styleId="126">
    <w:name w:val="表头2019"/>
    <w:autoRedefine/>
    <w:qFormat/>
    <w:uiPriority w:val="0"/>
    <w:pPr>
      <w:spacing w:line="440" w:lineRule="exact"/>
      <w:jc w:val="center"/>
    </w:pPr>
    <w:rPr>
      <w:rFonts w:ascii="Times New Roman" w:hAnsi="Times New Roman" w:eastAsia="黑体" w:cs="Times New Roman"/>
      <w:b/>
      <w:kern w:val="2"/>
      <w:sz w:val="21"/>
      <w:szCs w:val="24"/>
      <w:lang w:val="en-US" w:eastAsia="zh-CN" w:bidi="ar-SA"/>
    </w:rPr>
  </w:style>
  <w:style w:type="paragraph" w:customStyle="1" w:styleId="127">
    <w:name w:val="表内表"/>
    <w:basedOn w:val="1"/>
    <w:autoRedefine/>
    <w:semiHidden/>
    <w:qFormat/>
    <w:uiPriority w:val="0"/>
    <w:pPr>
      <w:jc w:val="center"/>
    </w:pPr>
    <w:rPr>
      <w:rFonts w:eastAsia="FangSong_GB2312"/>
      <w:kern w:val="0"/>
      <w:szCs w:val="20"/>
    </w:rPr>
  </w:style>
  <w:style w:type="paragraph" w:customStyle="1" w:styleId="128">
    <w:name w:val="目录标题"/>
    <w:basedOn w:val="1"/>
    <w:autoRedefine/>
    <w:semiHidden/>
    <w:qFormat/>
    <w:uiPriority w:val="0"/>
    <w:pPr>
      <w:jc w:val="center"/>
    </w:pPr>
    <w:rPr>
      <w:rFonts w:eastAsia="黑体"/>
      <w:b/>
      <w:sz w:val="44"/>
    </w:rPr>
  </w:style>
  <w:style w:type="paragraph" w:customStyle="1" w:styleId="12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0">
    <w:name w:val="样式1"/>
    <w:next w:val="17"/>
    <w:link w:val="131"/>
    <w:autoRedefine/>
    <w:qFormat/>
    <w:uiPriority w:val="0"/>
    <w:pPr>
      <w:adjustRightInd w:val="0"/>
      <w:snapToGrid w:val="0"/>
      <w:spacing w:line="440" w:lineRule="exact"/>
      <w:ind w:firstLine="200" w:firstLineChars="200"/>
      <w:jc w:val="both"/>
    </w:pPr>
    <w:rPr>
      <w:rFonts w:ascii="Times New Roman" w:hAnsi="Times New Roman" w:eastAsia="FangSong_GB2312" w:cs="Times New Roman"/>
      <w:color w:val="FF0000"/>
      <w:kern w:val="2"/>
      <w:sz w:val="24"/>
      <w:szCs w:val="24"/>
      <w:lang w:val="en-US" w:eastAsia="zh-CN" w:bidi="ar-SA"/>
    </w:rPr>
  </w:style>
  <w:style w:type="character" w:customStyle="1" w:styleId="131">
    <w:name w:val="样式1 Char"/>
    <w:link w:val="130"/>
    <w:autoRedefine/>
    <w:qFormat/>
    <w:uiPriority w:val="0"/>
    <w:rPr>
      <w:rFonts w:eastAsia="FangSong_GB2312"/>
      <w:color w:val="FF0000"/>
      <w:kern w:val="2"/>
      <w:sz w:val="24"/>
      <w:szCs w:val="24"/>
      <w:lang w:bidi="ar-SA"/>
    </w:rPr>
  </w:style>
  <w:style w:type="character" w:customStyle="1" w:styleId="132">
    <w:name w:val="表格标题 Char"/>
    <w:autoRedefine/>
    <w:qFormat/>
    <w:uiPriority w:val="0"/>
    <w:rPr>
      <w:rFonts w:eastAsia="宋体"/>
      <w:kern w:val="2"/>
      <w:sz w:val="24"/>
      <w:lang w:val="en-US" w:eastAsia="zh-CN" w:bidi="ar-SA"/>
    </w:rPr>
  </w:style>
  <w:style w:type="paragraph" w:styleId="133">
    <w:name w:val="List Paragraph"/>
    <w:basedOn w:val="1"/>
    <w:link w:val="267"/>
    <w:autoRedefine/>
    <w:qFormat/>
    <w:uiPriority w:val="0"/>
    <w:pPr>
      <w:ind w:firstLine="420" w:firstLineChars="200"/>
    </w:pPr>
    <w:rPr>
      <w:szCs w:val="20"/>
    </w:rPr>
  </w:style>
  <w:style w:type="character" w:customStyle="1" w:styleId="134">
    <w:name w:val="正文01 Char Char"/>
    <w:link w:val="135"/>
    <w:autoRedefine/>
    <w:qFormat/>
    <w:uiPriority w:val="0"/>
    <w:rPr>
      <w:rFonts w:ascii="Arial" w:hAnsi="Arial"/>
      <w:kern w:val="2"/>
      <w:sz w:val="24"/>
    </w:rPr>
  </w:style>
  <w:style w:type="paragraph" w:customStyle="1" w:styleId="135">
    <w:name w:val="正文01"/>
    <w:basedOn w:val="1"/>
    <w:link w:val="134"/>
    <w:autoRedefine/>
    <w:qFormat/>
    <w:uiPriority w:val="0"/>
    <w:pPr>
      <w:spacing w:before="60" w:line="460" w:lineRule="exact"/>
      <w:ind w:firstLine="200" w:firstLineChars="200"/>
    </w:pPr>
    <w:rPr>
      <w:rFonts w:ascii="Arial" w:hAnsi="Arial"/>
      <w:sz w:val="24"/>
      <w:szCs w:val="20"/>
    </w:rPr>
  </w:style>
  <w:style w:type="character" w:customStyle="1" w:styleId="136">
    <w:name w:val="报告正文-连续目录 Char Char"/>
    <w:link w:val="137"/>
    <w:autoRedefine/>
    <w:qFormat/>
    <w:uiPriority w:val="0"/>
    <w:rPr>
      <w:rFonts w:ascii="Arial" w:hAnsi="Arial"/>
      <w:snapToGrid w:val="0"/>
      <w:sz w:val="24"/>
      <w:szCs w:val="24"/>
    </w:rPr>
  </w:style>
  <w:style w:type="paragraph" w:customStyle="1" w:styleId="137">
    <w:name w:val="报告正文-连续目录"/>
    <w:basedOn w:val="1"/>
    <w:link w:val="136"/>
    <w:autoRedefine/>
    <w:qFormat/>
    <w:uiPriority w:val="0"/>
    <w:pPr>
      <w:spacing w:line="440" w:lineRule="exact"/>
      <w:ind w:firstLine="200" w:firstLineChars="200"/>
    </w:pPr>
    <w:rPr>
      <w:rFonts w:ascii="Arial" w:hAnsi="Arial"/>
      <w:snapToGrid w:val="0"/>
      <w:kern w:val="0"/>
      <w:sz w:val="24"/>
    </w:rPr>
  </w:style>
  <w:style w:type="character" w:customStyle="1" w:styleId="138">
    <w:name w:val="Char Char2"/>
    <w:autoRedefine/>
    <w:qFormat/>
    <w:uiPriority w:val="0"/>
    <w:rPr>
      <w:rFonts w:eastAsia="宋体"/>
      <w:kern w:val="2"/>
      <w:sz w:val="21"/>
      <w:lang w:val="en-US" w:eastAsia="zh-CN" w:bidi="ar-SA"/>
    </w:rPr>
  </w:style>
  <w:style w:type="paragraph" w:customStyle="1" w:styleId="139">
    <w:name w:val="表"/>
    <w:basedOn w:val="1"/>
    <w:link w:val="140"/>
    <w:autoRedefine/>
    <w:qFormat/>
    <w:uiPriority w:val="0"/>
    <w:pPr>
      <w:snapToGrid w:val="0"/>
      <w:jc w:val="center"/>
    </w:pPr>
    <w:rPr>
      <w:spacing w:val="2"/>
      <w:szCs w:val="20"/>
    </w:rPr>
  </w:style>
  <w:style w:type="character" w:customStyle="1" w:styleId="140">
    <w:name w:val="表 Char"/>
    <w:link w:val="139"/>
    <w:autoRedefine/>
    <w:qFormat/>
    <w:uiPriority w:val="0"/>
    <w:rPr>
      <w:spacing w:val="2"/>
      <w:kern w:val="2"/>
      <w:sz w:val="21"/>
    </w:rPr>
  </w:style>
  <w:style w:type="paragraph" w:customStyle="1" w:styleId="141">
    <w:name w:val="Char11"/>
    <w:basedOn w:val="1"/>
    <w:autoRedefine/>
    <w:qFormat/>
    <w:uiPriority w:val="0"/>
    <w:rPr>
      <w:sz w:val="24"/>
    </w:rPr>
  </w:style>
  <w:style w:type="character" w:customStyle="1" w:styleId="142">
    <w:name w:val="访问过的超链接1"/>
    <w:autoRedefine/>
    <w:qFormat/>
    <w:uiPriority w:val="0"/>
    <w:rPr>
      <w:color w:val="800080"/>
      <w:u w:val="single"/>
    </w:rPr>
  </w:style>
  <w:style w:type="character" w:customStyle="1" w:styleId="143">
    <w:name w:val="正文1 Char"/>
    <w:autoRedefine/>
    <w:qFormat/>
    <w:uiPriority w:val="0"/>
    <w:rPr>
      <w:kern w:val="2"/>
      <w:sz w:val="28"/>
    </w:rPr>
  </w:style>
  <w:style w:type="character" w:customStyle="1" w:styleId="144">
    <w:name w:val="Char Char4"/>
    <w:autoRedefine/>
    <w:qFormat/>
    <w:uiPriority w:val="0"/>
    <w:rPr>
      <w:rFonts w:eastAsia="宋体"/>
      <w:kern w:val="2"/>
      <w:sz w:val="21"/>
      <w:lang w:val="en-US" w:eastAsia="zh-CN" w:bidi="ar-SA"/>
    </w:rPr>
  </w:style>
  <w:style w:type="character" w:customStyle="1" w:styleId="145">
    <w:name w:val="特点标题 Char"/>
    <w:autoRedefine/>
    <w:qFormat/>
    <w:uiPriority w:val="0"/>
    <w:rPr>
      <w:rFonts w:ascii="宋体" w:eastAsia="宋体"/>
      <w:color w:val="000000"/>
      <w:kern w:val="2"/>
      <w:sz w:val="24"/>
      <w:lang w:val="en-US" w:eastAsia="zh-CN" w:bidi="ar-SA"/>
    </w:rPr>
  </w:style>
  <w:style w:type="character" w:customStyle="1" w:styleId="146">
    <w:name w:val="标题2 Char Char"/>
    <w:link w:val="147"/>
    <w:autoRedefine/>
    <w:qFormat/>
    <w:uiPriority w:val="0"/>
    <w:rPr>
      <w:b/>
      <w:kern w:val="2"/>
      <w:sz w:val="28"/>
      <w:szCs w:val="24"/>
    </w:rPr>
  </w:style>
  <w:style w:type="paragraph" w:customStyle="1" w:styleId="147">
    <w:name w:val="标题2"/>
    <w:basedOn w:val="1"/>
    <w:link w:val="146"/>
    <w:autoRedefine/>
    <w:qFormat/>
    <w:uiPriority w:val="0"/>
    <w:pPr>
      <w:spacing w:line="360" w:lineRule="auto"/>
      <w:jc w:val="left"/>
    </w:pPr>
    <w:rPr>
      <w:b/>
      <w:sz w:val="28"/>
    </w:rPr>
  </w:style>
  <w:style w:type="character" w:customStyle="1" w:styleId="148">
    <w:name w:val="content"/>
    <w:basedOn w:val="40"/>
    <w:autoRedefine/>
    <w:qFormat/>
    <w:uiPriority w:val="0"/>
  </w:style>
  <w:style w:type="character" w:customStyle="1" w:styleId="149">
    <w:name w:val="表格正文 Char Char"/>
    <w:link w:val="150"/>
    <w:autoRedefine/>
    <w:qFormat/>
    <w:uiPriority w:val="0"/>
    <w:rPr>
      <w:rFonts w:ascii="Arial" w:hAnsi="Arial"/>
      <w:color w:val="000000"/>
      <w:kern w:val="2"/>
      <w:sz w:val="21"/>
    </w:rPr>
  </w:style>
  <w:style w:type="paragraph" w:customStyle="1" w:styleId="150">
    <w:name w:val="表格正文"/>
    <w:basedOn w:val="1"/>
    <w:link w:val="149"/>
    <w:autoRedefine/>
    <w:qFormat/>
    <w:uiPriority w:val="0"/>
    <w:pPr>
      <w:spacing w:line="360" w:lineRule="exact"/>
      <w:jc w:val="center"/>
    </w:pPr>
    <w:rPr>
      <w:rFonts w:ascii="Arial" w:hAnsi="Arial"/>
      <w:color w:val="000000"/>
      <w:szCs w:val="20"/>
    </w:rPr>
  </w:style>
  <w:style w:type="character" w:customStyle="1" w:styleId="151">
    <w:name w:val="报告表表格 Char Char"/>
    <w:link w:val="152"/>
    <w:autoRedefine/>
    <w:qFormat/>
    <w:uiPriority w:val="0"/>
    <w:rPr>
      <w:rFonts w:ascii="Arial" w:hAnsi="Arial"/>
      <w:kern w:val="2"/>
      <w:sz w:val="21"/>
      <w:szCs w:val="21"/>
    </w:rPr>
  </w:style>
  <w:style w:type="paragraph" w:customStyle="1" w:styleId="152">
    <w:name w:val="报告表表格"/>
    <w:basedOn w:val="1"/>
    <w:link w:val="151"/>
    <w:autoRedefine/>
    <w:qFormat/>
    <w:uiPriority w:val="0"/>
    <w:pPr>
      <w:spacing w:line="360" w:lineRule="exact"/>
      <w:jc w:val="center"/>
    </w:pPr>
    <w:rPr>
      <w:rFonts w:ascii="Arial" w:hAnsi="Arial"/>
      <w:szCs w:val="21"/>
    </w:rPr>
  </w:style>
  <w:style w:type="character" w:customStyle="1" w:styleId="153">
    <w:name w:val="标题节 Char2"/>
    <w:autoRedefine/>
    <w:qFormat/>
    <w:uiPriority w:val="0"/>
    <w:rPr>
      <w:rFonts w:eastAsia="宋体"/>
      <w:kern w:val="2"/>
      <w:sz w:val="24"/>
      <w:lang w:val="en-US" w:eastAsia="zh-CN" w:bidi="ar-SA"/>
    </w:rPr>
  </w:style>
  <w:style w:type="character" w:customStyle="1" w:styleId="154">
    <w:name w:val="Char Char Char"/>
    <w:autoRedefine/>
    <w:qFormat/>
    <w:uiPriority w:val="0"/>
    <w:rPr>
      <w:rFonts w:ascii="宋体" w:hAnsi="Courier New" w:eastAsia="宋体"/>
      <w:kern w:val="2"/>
      <w:sz w:val="21"/>
      <w:lang w:val="en-US" w:eastAsia="zh-CN" w:bidi="ar-SA"/>
    </w:rPr>
  </w:style>
  <w:style w:type="character" w:customStyle="1" w:styleId="155">
    <w:name w:val="正文01 Char Char Char"/>
    <w:autoRedefine/>
    <w:qFormat/>
    <w:uiPriority w:val="0"/>
    <w:rPr>
      <w:rFonts w:ascii="Arial" w:hAnsi="Arial" w:eastAsia="宋体"/>
      <w:kern w:val="2"/>
      <w:sz w:val="24"/>
      <w:lang w:val="en-US" w:eastAsia="zh-CN" w:bidi="ar-SA"/>
    </w:rPr>
  </w:style>
  <w:style w:type="character" w:customStyle="1" w:styleId="156">
    <w:name w:val="表内 Char"/>
    <w:link w:val="157"/>
    <w:autoRedefine/>
    <w:qFormat/>
    <w:uiPriority w:val="0"/>
    <w:rPr>
      <w:kern w:val="2"/>
      <w:sz w:val="21"/>
      <w:szCs w:val="24"/>
    </w:rPr>
  </w:style>
  <w:style w:type="paragraph" w:customStyle="1" w:styleId="157">
    <w:name w:val="表内"/>
    <w:basedOn w:val="1"/>
    <w:link w:val="156"/>
    <w:autoRedefine/>
    <w:qFormat/>
    <w:uiPriority w:val="0"/>
    <w:pPr>
      <w:jc w:val="center"/>
    </w:pPr>
  </w:style>
  <w:style w:type="character" w:customStyle="1" w:styleId="158">
    <w:name w:val="普通文字 Char3"/>
    <w:autoRedefine/>
    <w:qFormat/>
    <w:uiPriority w:val="0"/>
    <w:rPr>
      <w:rFonts w:ascii="宋体" w:hAnsi="Courier New" w:eastAsia="宋体"/>
      <w:kern w:val="2"/>
      <w:sz w:val="21"/>
      <w:lang w:val="en-US" w:eastAsia="zh-CN" w:bidi="ar-SA"/>
    </w:rPr>
  </w:style>
  <w:style w:type="character" w:customStyle="1" w:styleId="159">
    <w:name w:val="表格标题 Char Char"/>
    <w:link w:val="160"/>
    <w:autoRedefine/>
    <w:qFormat/>
    <w:uiPriority w:val="0"/>
    <w:rPr>
      <w:kern w:val="2"/>
      <w:sz w:val="24"/>
    </w:rPr>
  </w:style>
  <w:style w:type="paragraph" w:customStyle="1" w:styleId="160">
    <w:name w:val="表格标题"/>
    <w:basedOn w:val="1"/>
    <w:link w:val="159"/>
    <w:autoRedefine/>
    <w:qFormat/>
    <w:uiPriority w:val="0"/>
    <w:pPr>
      <w:spacing w:before="120"/>
      <w:jc w:val="center"/>
    </w:pPr>
    <w:rPr>
      <w:sz w:val="24"/>
      <w:szCs w:val="20"/>
    </w:rPr>
  </w:style>
  <w:style w:type="character" w:customStyle="1" w:styleId="161">
    <w:name w:val="三级标题 Char"/>
    <w:link w:val="162"/>
    <w:autoRedefine/>
    <w:qFormat/>
    <w:uiPriority w:val="0"/>
    <w:rPr>
      <w:b/>
      <w:bCs/>
      <w:kern w:val="2"/>
      <w:sz w:val="24"/>
      <w:szCs w:val="24"/>
    </w:rPr>
  </w:style>
  <w:style w:type="paragraph" w:customStyle="1" w:styleId="162">
    <w:name w:val="三级标题"/>
    <w:basedOn w:val="1"/>
    <w:link w:val="161"/>
    <w:autoRedefine/>
    <w:qFormat/>
    <w:uiPriority w:val="0"/>
    <w:pPr>
      <w:spacing w:before="300" w:line="460" w:lineRule="exact"/>
      <w:outlineLvl w:val="2"/>
    </w:pPr>
    <w:rPr>
      <w:b/>
      <w:bCs/>
      <w:sz w:val="24"/>
    </w:rPr>
  </w:style>
  <w:style w:type="character" w:customStyle="1" w:styleId="163">
    <w:name w:val="正文01 Char"/>
    <w:autoRedefine/>
    <w:qFormat/>
    <w:locked/>
    <w:uiPriority w:val="0"/>
    <w:rPr>
      <w:rFonts w:ascii="Arial" w:hAnsi="Arial" w:eastAsia="宋体"/>
      <w:kern w:val="2"/>
      <w:sz w:val="24"/>
      <w:lang w:val="en-US" w:eastAsia="zh-CN" w:bidi="ar-SA"/>
    </w:rPr>
  </w:style>
  <w:style w:type="character" w:customStyle="1" w:styleId="164">
    <w:name w:val="普通文字 Char4"/>
    <w:autoRedefine/>
    <w:qFormat/>
    <w:uiPriority w:val="0"/>
    <w:rPr>
      <w:rFonts w:ascii="宋体" w:hAnsi="Courier New" w:eastAsia="宋体"/>
      <w:kern w:val="2"/>
      <w:sz w:val="21"/>
      <w:lang w:val="en-US" w:eastAsia="zh-CN" w:bidi="ar-SA"/>
    </w:rPr>
  </w:style>
  <w:style w:type="character" w:customStyle="1" w:styleId="165">
    <w:name w:val="报告表正文 Char Char"/>
    <w:link w:val="166"/>
    <w:autoRedefine/>
    <w:qFormat/>
    <w:uiPriority w:val="0"/>
    <w:rPr>
      <w:rFonts w:ascii="宋体" w:hAnsi="宋体" w:cs="Arial"/>
      <w:b/>
      <w:kern w:val="10"/>
      <w:sz w:val="24"/>
      <w:szCs w:val="24"/>
      <w:lang w:val="en-GB" w:eastAsia="zh-CN" w:bidi="ar-SA"/>
    </w:rPr>
  </w:style>
  <w:style w:type="paragraph" w:customStyle="1" w:styleId="166">
    <w:name w:val="报告表正文"/>
    <w:link w:val="165"/>
    <w:autoRedefine/>
    <w:qFormat/>
    <w:uiPriority w:val="0"/>
    <w:pPr>
      <w:tabs>
        <w:tab w:val="left" w:pos="7838"/>
      </w:tabs>
      <w:spacing w:before="40" w:line="360" w:lineRule="auto"/>
      <w:jc w:val="center"/>
    </w:pPr>
    <w:rPr>
      <w:rFonts w:ascii="宋体" w:hAnsi="宋体" w:eastAsia="宋体" w:cs="Arial"/>
      <w:b/>
      <w:kern w:val="10"/>
      <w:sz w:val="24"/>
      <w:szCs w:val="24"/>
      <w:lang w:val="en-GB" w:eastAsia="zh-CN" w:bidi="ar-SA"/>
    </w:rPr>
  </w:style>
  <w:style w:type="character" w:customStyle="1" w:styleId="167">
    <w:name w:val="纯文本 Char Char"/>
    <w:autoRedefine/>
    <w:qFormat/>
    <w:uiPriority w:val="0"/>
    <w:rPr>
      <w:rFonts w:ascii="宋体" w:hAnsi="Courier New" w:eastAsia="宋体"/>
      <w:kern w:val="2"/>
      <w:sz w:val="21"/>
      <w:lang w:val="en-US" w:eastAsia="zh-CN" w:bidi="ar-SA"/>
    </w:rPr>
  </w:style>
  <w:style w:type="character" w:customStyle="1" w:styleId="168">
    <w:name w:val="正文缩进 Char1"/>
    <w:autoRedefine/>
    <w:qFormat/>
    <w:uiPriority w:val="0"/>
    <w:rPr>
      <w:rFonts w:eastAsia="宋体"/>
      <w:kern w:val="2"/>
      <w:sz w:val="21"/>
      <w:lang w:val="en-US" w:eastAsia="zh-CN" w:bidi="ar-SA"/>
    </w:rPr>
  </w:style>
  <w:style w:type="character" w:customStyle="1" w:styleId="169">
    <w:name w:val="正文01 Char1"/>
    <w:autoRedefine/>
    <w:qFormat/>
    <w:uiPriority w:val="0"/>
    <w:rPr>
      <w:rFonts w:eastAsia="宋体"/>
      <w:bCs/>
      <w:kern w:val="2"/>
      <w:sz w:val="24"/>
      <w:szCs w:val="24"/>
      <w:lang w:val="en-US" w:eastAsia="zh-CN" w:bidi="ar-SA"/>
    </w:rPr>
  </w:style>
  <w:style w:type="character" w:customStyle="1" w:styleId="170">
    <w:name w:val="word1"/>
    <w:autoRedefine/>
    <w:qFormat/>
    <w:uiPriority w:val="0"/>
    <w:rPr>
      <w:color w:val="000000"/>
      <w:spacing w:val="0"/>
      <w:sz w:val="18"/>
      <w:szCs w:val="18"/>
    </w:rPr>
  </w:style>
  <w:style w:type="character" w:customStyle="1" w:styleId="171">
    <w:name w:val="普通文字 Char2"/>
    <w:autoRedefine/>
    <w:qFormat/>
    <w:uiPriority w:val="0"/>
    <w:rPr>
      <w:rFonts w:ascii="宋体" w:hAnsi="Courier New" w:eastAsia="宋体"/>
      <w:kern w:val="2"/>
      <w:sz w:val="21"/>
      <w:lang w:val="en-US" w:eastAsia="zh-CN" w:bidi="ar-SA"/>
    </w:rPr>
  </w:style>
  <w:style w:type="character" w:customStyle="1" w:styleId="172">
    <w:name w:val="普通文字 Char1"/>
    <w:autoRedefine/>
    <w:qFormat/>
    <w:uiPriority w:val="0"/>
    <w:rPr>
      <w:rFonts w:ascii="宋体" w:hAnsi="Courier New" w:eastAsia="宋体"/>
      <w:kern w:val="2"/>
      <w:sz w:val="21"/>
      <w:lang w:val="en-US" w:eastAsia="zh-CN" w:bidi="ar-SA"/>
    </w:rPr>
  </w:style>
  <w:style w:type="character" w:customStyle="1" w:styleId="173">
    <w:name w:val="标题节 Char1"/>
    <w:autoRedefine/>
    <w:qFormat/>
    <w:uiPriority w:val="0"/>
    <w:rPr>
      <w:rFonts w:eastAsia="宋体"/>
      <w:kern w:val="2"/>
      <w:sz w:val="24"/>
      <w:lang w:val="en-US" w:eastAsia="zh-CN" w:bidi="ar-SA"/>
    </w:rPr>
  </w:style>
  <w:style w:type="character" w:customStyle="1" w:styleId="174">
    <w:name w:val="body_main_content_text1"/>
    <w:autoRedefine/>
    <w:qFormat/>
    <w:uiPriority w:val="0"/>
    <w:rPr>
      <w:sz w:val="18"/>
      <w:szCs w:val="18"/>
    </w:rPr>
  </w:style>
  <w:style w:type="character" w:customStyle="1" w:styleId="175">
    <w:name w:val="Char Char3"/>
    <w:autoRedefine/>
    <w:qFormat/>
    <w:uiPriority w:val="0"/>
    <w:rPr>
      <w:rFonts w:ascii="宋体" w:hAnsi="Courier New" w:eastAsia="宋体"/>
      <w:kern w:val="2"/>
      <w:sz w:val="21"/>
      <w:lang w:val="en-US" w:eastAsia="zh-CN" w:bidi="ar-SA"/>
    </w:rPr>
  </w:style>
  <w:style w:type="character" w:customStyle="1" w:styleId="176">
    <w:name w:val="Char Char5"/>
    <w:autoRedefine/>
    <w:qFormat/>
    <w:uiPriority w:val="0"/>
    <w:rPr>
      <w:rFonts w:eastAsia="宋体"/>
      <w:kern w:val="2"/>
      <w:sz w:val="24"/>
      <w:lang w:val="en-US" w:eastAsia="zh-CN" w:bidi="ar-SA"/>
    </w:rPr>
  </w:style>
  <w:style w:type="character" w:customStyle="1" w:styleId="177">
    <w:name w:val="apple-converted-space"/>
    <w:basedOn w:val="40"/>
    <w:autoRedefine/>
    <w:qFormat/>
    <w:uiPriority w:val="0"/>
  </w:style>
  <w:style w:type="character" w:customStyle="1" w:styleId="178">
    <w:name w:val="表格正文 Char"/>
    <w:autoRedefine/>
    <w:qFormat/>
    <w:uiPriority w:val="0"/>
    <w:rPr>
      <w:rFonts w:ascii="Arial" w:hAnsi="Arial" w:eastAsia="宋体"/>
      <w:color w:val="000000"/>
      <w:kern w:val="2"/>
      <w:sz w:val="21"/>
      <w:lang w:val="en-US" w:eastAsia="zh-CN" w:bidi="ar-SA"/>
    </w:rPr>
  </w:style>
  <w:style w:type="paragraph" w:customStyle="1" w:styleId="179">
    <w:name w:val="表格文字"/>
    <w:basedOn w:val="1"/>
    <w:autoRedefine/>
    <w:qFormat/>
    <w:uiPriority w:val="0"/>
    <w:pPr>
      <w:adjustRightInd w:val="0"/>
      <w:snapToGrid w:val="0"/>
      <w:spacing w:line="400" w:lineRule="exact"/>
      <w:jc w:val="left"/>
      <w:textAlignment w:val="baseline"/>
    </w:pPr>
    <w:rPr>
      <w:kern w:val="0"/>
      <w:szCs w:val="20"/>
    </w:rPr>
  </w:style>
  <w:style w:type="paragraph" w:customStyle="1" w:styleId="180">
    <w:name w:val="Char1"/>
    <w:basedOn w:val="1"/>
    <w:autoRedefine/>
    <w:qFormat/>
    <w:uiPriority w:val="0"/>
    <w:rPr>
      <w:sz w:val="24"/>
    </w:rPr>
  </w:style>
  <w:style w:type="paragraph" w:customStyle="1" w:styleId="181">
    <w:name w:val="Char Char Char Char Char Char Char Char Char Char Char Char Char Char Char Char Char Char Char Char Char Char Char Char Char Char Char2 Char Char Char Char Char Char Char Char Char Char Char Char Char Char Char Char"/>
    <w:basedOn w:val="1"/>
    <w:autoRedefine/>
    <w:qFormat/>
    <w:uiPriority w:val="0"/>
    <w:rPr>
      <w:sz w:val="24"/>
    </w:rPr>
  </w:style>
  <w:style w:type="paragraph" w:customStyle="1" w:styleId="182">
    <w:name w:val="Char3"/>
    <w:basedOn w:val="1"/>
    <w:autoRedefine/>
    <w:qFormat/>
    <w:uiPriority w:val="0"/>
    <w:pPr>
      <w:spacing w:line="360" w:lineRule="auto"/>
      <w:ind w:firstLine="200" w:firstLineChars="200"/>
    </w:pPr>
    <w:rPr>
      <w:rFonts w:ascii="宋体" w:hAnsi="宋体" w:cs="宋体"/>
      <w:sz w:val="24"/>
    </w:rPr>
  </w:style>
  <w:style w:type="paragraph" w:customStyle="1" w:styleId="183">
    <w:name w:val="Char Char Char Char"/>
    <w:basedOn w:val="1"/>
    <w:autoRedefine/>
    <w:qFormat/>
    <w:uiPriority w:val="0"/>
    <w:rPr>
      <w:sz w:val="24"/>
    </w:rPr>
  </w:style>
  <w:style w:type="paragraph" w:customStyle="1" w:styleId="184">
    <w:name w:val="表格下方正文"/>
    <w:basedOn w:val="1"/>
    <w:autoRedefine/>
    <w:qFormat/>
    <w:uiPriority w:val="0"/>
    <w:pPr>
      <w:spacing w:before="300" w:line="460" w:lineRule="exact"/>
      <w:ind w:firstLine="200" w:firstLineChars="200"/>
    </w:pPr>
    <w:rPr>
      <w:sz w:val="24"/>
      <w:szCs w:val="20"/>
    </w:rPr>
  </w:style>
  <w:style w:type="paragraph" w:customStyle="1" w:styleId="185">
    <w:name w:val="君邦正文"/>
    <w:autoRedefine/>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186">
    <w:name w:val="正文001"/>
    <w:basedOn w:val="1"/>
    <w:autoRedefine/>
    <w:qFormat/>
    <w:uiPriority w:val="0"/>
    <w:pPr>
      <w:spacing w:before="60" w:line="460" w:lineRule="exact"/>
      <w:ind w:firstLine="200" w:firstLineChars="200"/>
    </w:pPr>
    <w:rPr>
      <w:rFonts w:ascii="Arial" w:hAnsi="Arial"/>
      <w:sz w:val="24"/>
      <w:szCs w:val="20"/>
    </w:rPr>
  </w:style>
  <w:style w:type="paragraph" w:customStyle="1" w:styleId="187">
    <w:name w:val="reader-word-layer reader-word-s4-1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88">
    <w:name w:val="Char Char Char Char Char Char1 Char"/>
    <w:basedOn w:val="1"/>
    <w:autoRedefine/>
    <w:qFormat/>
    <w:uiPriority w:val="0"/>
    <w:rPr>
      <w:sz w:val="24"/>
    </w:rPr>
  </w:style>
  <w:style w:type="paragraph" w:customStyle="1" w:styleId="189">
    <w:name w:val="reader-word-layer reader-word-s2-8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0">
    <w:name w:val="reader-word-layer reader-word-s2-15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1">
    <w:name w:val="_Style 62"/>
    <w:basedOn w:val="1"/>
    <w:autoRedefine/>
    <w:qFormat/>
    <w:uiPriority w:val="0"/>
    <w:pPr>
      <w:widowControl/>
      <w:spacing w:after="160" w:line="240" w:lineRule="exact"/>
      <w:jc w:val="left"/>
    </w:pPr>
    <w:rPr>
      <w:sz w:val="24"/>
    </w:rPr>
  </w:style>
  <w:style w:type="paragraph" w:customStyle="1" w:styleId="192">
    <w:name w:val="样式 样式 正文缩进正文（首行缩进两字） Char Char Char Char Char Char正文（首行缩进两字） Cha..."/>
    <w:basedOn w:val="1"/>
    <w:autoRedefine/>
    <w:qFormat/>
    <w:uiPriority w:val="0"/>
    <w:pPr>
      <w:spacing w:before="100" w:beforeAutospacing="1" w:line="360" w:lineRule="auto"/>
      <w:ind w:firstLine="480" w:firstLineChars="200"/>
    </w:pPr>
    <w:rPr>
      <w:kern w:val="0"/>
      <w:sz w:val="24"/>
    </w:rPr>
  </w:style>
  <w:style w:type="paragraph" w:customStyle="1" w:styleId="193">
    <w:name w:val="Char Char Char Char Char Char Char Char Char Char Char Char Char Char Char Char Char Char Char Char Char Char"/>
    <w:basedOn w:val="1"/>
    <w:autoRedefine/>
    <w:qFormat/>
    <w:uiPriority w:val="0"/>
    <w:pPr>
      <w:widowControl/>
      <w:spacing w:after="160" w:line="240" w:lineRule="exact"/>
      <w:jc w:val="left"/>
    </w:pPr>
    <w:rPr>
      <w:szCs w:val="20"/>
    </w:rPr>
  </w:style>
  <w:style w:type="paragraph" w:customStyle="1" w:styleId="194">
    <w:name w:val="表格2"/>
    <w:basedOn w:val="1"/>
    <w:autoRedefine/>
    <w:qFormat/>
    <w:uiPriority w:val="0"/>
    <w:pPr>
      <w:spacing w:line="400" w:lineRule="exact"/>
      <w:jc w:val="center"/>
    </w:pPr>
    <w:rPr>
      <w:szCs w:val="21"/>
    </w:rPr>
  </w:style>
  <w:style w:type="paragraph" w:customStyle="1" w:styleId="195">
    <w:name w:val="纯文本2"/>
    <w:basedOn w:val="1"/>
    <w:autoRedefine/>
    <w:qFormat/>
    <w:uiPriority w:val="0"/>
    <w:pPr>
      <w:adjustRightInd w:val="0"/>
      <w:textAlignment w:val="baseline"/>
    </w:pPr>
    <w:rPr>
      <w:rFonts w:ascii="宋体" w:hAnsi="Courier New"/>
      <w:szCs w:val="20"/>
    </w:rPr>
  </w:style>
  <w:style w:type="paragraph" w:customStyle="1" w:styleId="196">
    <w:name w:val="reader-word-layer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7">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8">
    <w:name w:val="正文my"/>
    <w:basedOn w:val="15"/>
    <w:autoRedefine/>
    <w:qFormat/>
    <w:uiPriority w:val="0"/>
    <w:pPr>
      <w:spacing w:before="60" w:after="0" w:line="480" w:lineRule="exact"/>
      <w:ind w:left="0" w:leftChars="0" w:firstLine="200" w:firstLineChars="200"/>
    </w:pPr>
    <w:rPr>
      <w:kern w:val="2"/>
      <w:szCs w:val="24"/>
    </w:rPr>
  </w:style>
  <w:style w:type="paragraph" w:customStyle="1" w:styleId="199">
    <w:name w:val="默认段落字体 Para Char Char Char Char"/>
    <w:basedOn w:val="1"/>
    <w:autoRedefine/>
    <w:qFormat/>
    <w:uiPriority w:val="0"/>
    <w:rPr>
      <w:sz w:val="24"/>
    </w:rPr>
  </w:style>
  <w:style w:type="paragraph" w:customStyle="1" w:styleId="200">
    <w:name w:val="1"/>
    <w:basedOn w:val="1"/>
    <w:next w:val="19"/>
    <w:autoRedefine/>
    <w:qFormat/>
    <w:uiPriority w:val="0"/>
    <w:rPr>
      <w:rFonts w:ascii="宋体" w:hAnsi="Courier New"/>
      <w:szCs w:val="20"/>
    </w:rPr>
  </w:style>
  <w:style w:type="paragraph" w:customStyle="1" w:styleId="201">
    <w:name w:val="默认段落字体 Para Char"/>
    <w:basedOn w:val="1"/>
    <w:autoRedefine/>
    <w:qFormat/>
    <w:uiPriority w:val="0"/>
    <w:rPr>
      <w:sz w:val="24"/>
    </w:rPr>
  </w:style>
  <w:style w:type="paragraph" w:customStyle="1" w:styleId="202">
    <w:name w:val="Char Char Char1 Char Char Char Char Char Char Char Char Char Char Char Char Char"/>
    <w:basedOn w:val="1"/>
    <w:autoRedefine/>
    <w:qFormat/>
    <w:uiPriority w:val="0"/>
    <w:rPr>
      <w:sz w:val="24"/>
    </w:rPr>
  </w:style>
  <w:style w:type="paragraph" w:customStyle="1" w:styleId="203">
    <w:name w:val="Char Char Char Char1"/>
    <w:basedOn w:val="1"/>
    <w:autoRedefine/>
    <w:qFormat/>
    <w:uiPriority w:val="0"/>
    <w:rPr>
      <w:sz w:val="24"/>
    </w:rPr>
  </w:style>
  <w:style w:type="paragraph" w:customStyle="1" w:styleId="204">
    <w:name w:val="Char Char3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05">
    <w:name w:val="xl24"/>
    <w:basedOn w:val="1"/>
    <w:autoRedefine/>
    <w:qFormat/>
    <w:uiPriority w:val="0"/>
    <w:pPr>
      <w:widowControl/>
      <w:pBdr>
        <w:right w:val="single" w:color="auto" w:sz="4" w:space="0"/>
      </w:pBdr>
      <w:spacing w:before="100" w:beforeAutospacing="1" w:after="100" w:afterAutospacing="1"/>
      <w:jc w:val="center"/>
    </w:pPr>
    <w:rPr>
      <w:rFonts w:hint="eastAsia" w:ascii="FangSong_GB2312" w:hAnsi="宋体" w:eastAsia="FangSong_GB2312"/>
      <w:kern w:val="0"/>
      <w:szCs w:val="21"/>
    </w:rPr>
  </w:style>
  <w:style w:type="paragraph" w:customStyle="1" w:styleId="206">
    <w:name w:val="Char Char Char Char Char Char Char1"/>
    <w:basedOn w:val="1"/>
    <w:autoRedefine/>
    <w:qFormat/>
    <w:uiPriority w:val="0"/>
    <w:rPr>
      <w:sz w:val="24"/>
    </w:rPr>
  </w:style>
  <w:style w:type="paragraph" w:customStyle="1" w:styleId="207">
    <w:name w:val="style7"/>
    <w:basedOn w:val="1"/>
    <w:autoRedefine/>
    <w:qFormat/>
    <w:uiPriority w:val="0"/>
    <w:pPr>
      <w:widowControl/>
      <w:spacing w:before="100" w:beforeAutospacing="1" w:after="100" w:afterAutospacing="1"/>
      <w:jc w:val="left"/>
    </w:pPr>
    <w:rPr>
      <w:rFonts w:ascii="宋体" w:hAnsi="宋体" w:cs="宋体"/>
      <w:color w:val="666666"/>
      <w:kern w:val="0"/>
      <w:sz w:val="18"/>
      <w:szCs w:val="18"/>
    </w:rPr>
  </w:style>
  <w:style w:type="paragraph" w:customStyle="1" w:styleId="208">
    <w:name w:val="reader-word-layer reader-word-s2-10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09">
    <w:name w:val="1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210">
    <w:name w:val="_Style 73"/>
    <w:basedOn w:val="1"/>
    <w:autoRedefine/>
    <w:qFormat/>
    <w:uiPriority w:val="0"/>
    <w:pPr>
      <w:widowControl/>
      <w:spacing w:after="160" w:line="240" w:lineRule="exact"/>
      <w:jc w:val="left"/>
    </w:pPr>
    <w:rPr>
      <w:szCs w:val="20"/>
    </w:rPr>
  </w:style>
  <w:style w:type="paragraph" w:customStyle="1" w:styleId="211">
    <w:name w:val="Char Char1"/>
    <w:basedOn w:val="1"/>
    <w:autoRedefine/>
    <w:qFormat/>
    <w:uiPriority w:val="0"/>
    <w:pPr>
      <w:widowControl/>
      <w:spacing w:after="160" w:line="240" w:lineRule="exact"/>
      <w:jc w:val="left"/>
    </w:pPr>
    <w:rPr>
      <w:szCs w:val="20"/>
    </w:rPr>
  </w:style>
  <w:style w:type="character" w:customStyle="1" w:styleId="212">
    <w:name w:val="Char Char6"/>
    <w:autoRedefine/>
    <w:qFormat/>
    <w:uiPriority w:val="0"/>
    <w:rPr>
      <w:rFonts w:ascii="宋体" w:eastAsia="宋体"/>
      <w:color w:val="000000"/>
      <w:kern w:val="2"/>
      <w:sz w:val="24"/>
      <w:lang w:val="en-US" w:eastAsia="zh-CN" w:bidi="ar-SA"/>
    </w:rPr>
  </w:style>
  <w:style w:type="character" w:customStyle="1" w:styleId="213">
    <w:name w:val="表后文 Char1"/>
    <w:autoRedefine/>
    <w:qFormat/>
    <w:uiPriority w:val="0"/>
    <w:rPr>
      <w:rFonts w:eastAsia="宋体"/>
      <w:kern w:val="2"/>
      <w:sz w:val="21"/>
      <w:lang w:val="en-US" w:eastAsia="zh-CN" w:bidi="ar-SA"/>
    </w:rPr>
  </w:style>
  <w:style w:type="paragraph" w:customStyle="1" w:styleId="214">
    <w:name w:val="修订1"/>
    <w:autoRedefine/>
    <w:semiHidden/>
    <w:qFormat/>
    <w:uiPriority w:val="99"/>
    <w:rPr>
      <w:rFonts w:ascii="Times New Roman" w:hAnsi="Times New Roman" w:eastAsia="宋体" w:cs="Times New Roman"/>
      <w:kern w:val="2"/>
      <w:sz w:val="21"/>
      <w:lang w:val="en-US" w:eastAsia="zh-CN" w:bidi="ar-SA"/>
    </w:rPr>
  </w:style>
  <w:style w:type="paragraph" w:customStyle="1" w:styleId="215">
    <w:name w:val="Char Char1 Char Char"/>
    <w:basedOn w:val="1"/>
    <w:autoRedefine/>
    <w:qFormat/>
    <w:uiPriority w:val="0"/>
    <w:pPr>
      <w:widowControl/>
      <w:spacing w:after="160" w:line="240" w:lineRule="exact"/>
      <w:jc w:val="left"/>
    </w:pPr>
    <w:rPr>
      <w:szCs w:val="20"/>
    </w:rPr>
  </w:style>
  <w:style w:type="paragraph" w:customStyle="1" w:styleId="216">
    <w:name w:val="Char Char7 Char Char Char Char"/>
    <w:basedOn w:val="1"/>
    <w:autoRedefine/>
    <w:qFormat/>
    <w:uiPriority w:val="0"/>
    <w:pPr>
      <w:widowControl/>
      <w:spacing w:after="160" w:line="240" w:lineRule="exact"/>
      <w:jc w:val="left"/>
    </w:pPr>
    <w:rPr>
      <w:szCs w:val="20"/>
    </w:rPr>
  </w:style>
  <w:style w:type="character" w:customStyle="1" w:styleId="217">
    <w:name w:val="特点标题 Char1"/>
    <w:autoRedefine/>
    <w:qFormat/>
    <w:uiPriority w:val="0"/>
    <w:rPr>
      <w:rFonts w:ascii="宋体" w:eastAsia="宋体"/>
      <w:color w:val="000000"/>
      <w:kern w:val="2"/>
      <w:sz w:val="24"/>
      <w:lang w:val="en-US" w:eastAsia="zh-CN" w:bidi="ar-SA"/>
    </w:rPr>
  </w:style>
  <w:style w:type="character" w:customStyle="1" w:styleId="218">
    <w:name w:val="正文(首行缩进) Char"/>
    <w:link w:val="219"/>
    <w:autoRedefine/>
    <w:qFormat/>
    <w:uiPriority w:val="0"/>
    <w:rPr>
      <w:snapToGrid w:val="0"/>
      <w:sz w:val="24"/>
      <w:szCs w:val="24"/>
    </w:rPr>
  </w:style>
  <w:style w:type="paragraph" w:customStyle="1" w:styleId="219">
    <w:name w:val="正文(首行缩进)"/>
    <w:basedOn w:val="1"/>
    <w:link w:val="218"/>
    <w:autoRedefine/>
    <w:qFormat/>
    <w:uiPriority w:val="0"/>
    <w:pPr>
      <w:adjustRightInd w:val="0"/>
      <w:snapToGrid w:val="0"/>
      <w:spacing w:line="360" w:lineRule="auto"/>
      <w:ind w:firstLine="200" w:firstLineChars="200"/>
    </w:pPr>
    <w:rPr>
      <w:snapToGrid w:val="0"/>
      <w:kern w:val="0"/>
      <w:sz w:val="24"/>
    </w:rPr>
  </w:style>
  <w:style w:type="paragraph" w:customStyle="1" w:styleId="220">
    <w:name w:val="Char Char7"/>
    <w:basedOn w:val="1"/>
    <w:autoRedefine/>
    <w:qFormat/>
    <w:uiPriority w:val="0"/>
    <w:pPr>
      <w:widowControl/>
      <w:spacing w:after="160" w:line="240" w:lineRule="exact"/>
      <w:jc w:val="left"/>
    </w:pPr>
    <w:rPr>
      <w:szCs w:val="20"/>
    </w:rPr>
  </w:style>
  <w:style w:type="character" w:customStyle="1" w:styleId="221">
    <w:name w:val="报告表表格 Char"/>
    <w:autoRedefine/>
    <w:qFormat/>
    <w:uiPriority w:val="0"/>
    <w:rPr>
      <w:rFonts w:ascii="Arial" w:hAnsi="Arial" w:eastAsia="宋体"/>
      <w:kern w:val="2"/>
      <w:sz w:val="21"/>
      <w:szCs w:val="21"/>
      <w:lang w:val="en-US" w:eastAsia="zh-CN" w:bidi="ar-SA"/>
    </w:rPr>
  </w:style>
  <w:style w:type="paragraph" w:customStyle="1" w:styleId="222">
    <w:name w:val="Char Char Char Char2"/>
    <w:basedOn w:val="1"/>
    <w:autoRedefine/>
    <w:qFormat/>
    <w:uiPriority w:val="0"/>
    <w:pPr>
      <w:widowControl/>
      <w:spacing w:after="160" w:line="240" w:lineRule="exact"/>
      <w:jc w:val="left"/>
    </w:pPr>
    <w:rPr>
      <w:szCs w:val="20"/>
    </w:rPr>
  </w:style>
  <w:style w:type="paragraph" w:customStyle="1" w:styleId="223">
    <w:name w:val="Char Char"/>
    <w:basedOn w:val="1"/>
    <w:autoRedefine/>
    <w:qFormat/>
    <w:uiPriority w:val="0"/>
    <w:pPr>
      <w:widowControl/>
      <w:spacing w:after="160" w:line="240" w:lineRule="exact"/>
      <w:jc w:val="left"/>
    </w:pPr>
    <w:rPr>
      <w:szCs w:val="20"/>
    </w:rPr>
  </w:style>
  <w:style w:type="paragraph" w:customStyle="1" w:styleId="224">
    <w:name w:val="2"/>
    <w:basedOn w:val="1"/>
    <w:autoRedefine/>
    <w:qFormat/>
    <w:uiPriority w:val="0"/>
    <w:pPr>
      <w:widowControl/>
      <w:spacing w:after="160" w:line="240" w:lineRule="exact"/>
      <w:jc w:val="left"/>
    </w:pPr>
    <w:rPr>
      <w:szCs w:val="20"/>
    </w:rPr>
  </w:style>
  <w:style w:type="paragraph" w:customStyle="1" w:styleId="225">
    <w:name w:val="Body Text 22"/>
    <w:basedOn w:val="1"/>
    <w:autoRedefine/>
    <w:qFormat/>
    <w:uiPriority w:val="0"/>
    <w:pPr>
      <w:adjustRightInd w:val="0"/>
      <w:spacing w:line="440" w:lineRule="atLeast"/>
      <w:ind w:firstLine="480"/>
      <w:textAlignment w:val="baseline"/>
    </w:pPr>
    <w:rPr>
      <w:rFonts w:eastAsia="FangSong_GB2312"/>
      <w:sz w:val="24"/>
      <w:szCs w:val="20"/>
    </w:rPr>
  </w:style>
  <w:style w:type="paragraph" w:customStyle="1" w:styleId="226">
    <w:name w:val="Char Char10"/>
    <w:basedOn w:val="1"/>
    <w:autoRedefine/>
    <w:qFormat/>
    <w:uiPriority w:val="0"/>
    <w:pPr>
      <w:widowControl/>
      <w:spacing w:after="160" w:line="240" w:lineRule="exact"/>
      <w:jc w:val="left"/>
    </w:pPr>
    <w:rPr>
      <w:szCs w:val="20"/>
    </w:rPr>
  </w:style>
  <w:style w:type="character" w:customStyle="1" w:styleId="227">
    <w:name w:val="表后文 Char3"/>
    <w:autoRedefine/>
    <w:qFormat/>
    <w:uiPriority w:val="0"/>
    <w:rPr>
      <w:rFonts w:eastAsia="宋体"/>
      <w:kern w:val="2"/>
      <w:sz w:val="21"/>
      <w:lang w:val="en-US" w:eastAsia="zh-CN" w:bidi="ar-SA"/>
    </w:rPr>
  </w:style>
  <w:style w:type="character" w:customStyle="1" w:styleId="228">
    <w:name w:val="正文文本 Char1"/>
    <w:autoRedefine/>
    <w:semiHidden/>
    <w:qFormat/>
    <w:uiPriority w:val="0"/>
    <w:rPr>
      <w:rFonts w:eastAsia="宋体"/>
      <w:kern w:val="2"/>
      <w:sz w:val="24"/>
      <w:lang w:val="en-US" w:eastAsia="zh-CN" w:bidi="ar-SA"/>
    </w:rPr>
  </w:style>
  <w:style w:type="character" w:customStyle="1" w:styleId="229">
    <w:name w:val="4级（小）标题 Char"/>
    <w:link w:val="230"/>
    <w:autoRedefine/>
    <w:qFormat/>
    <w:uiPriority w:val="0"/>
    <w:rPr>
      <w:b/>
      <w:kern w:val="2"/>
      <w:sz w:val="24"/>
      <w:szCs w:val="24"/>
    </w:rPr>
  </w:style>
  <w:style w:type="paragraph" w:customStyle="1" w:styleId="230">
    <w:name w:val="4级（小）标题"/>
    <w:basedOn w:val="1"/>
    <w:link w:val="229"/>
    <w:autoRedefine/>
    <w:qFormat/>
    <w:uiPriority w:val="0"/>
    <w:pPr>
      <w:spacing w:before="60" w:line="360" w:lineRule="auto"/>
      <w:ind w:firstLine="150" w:firstLineChars="150"/>
      <w:outlineLvl w:val="3"/>
    </w:pPr>
    <w:rPr>
      <w:b/>
      <w:sz w:val="24"/>
    </w:rPr>
  </w:style>
  <w:style w:type="paragraph" w:customStyle="1" w:styleId="231">
    <w:name w:val="Char Char16"/>
    <w:basedOn w:val="1"/>
    <w:autoRedefine/>
    <w:qFormat/>
    <w:uiPriority w:val="0"/>
    <w:pPr>
      <w:spacing w:line="360" w:lineRule="auto"/>
      <w:ind w:firstLine="200" w:firstLineChars="200"/>
    </w:pPr>
    <w:rPr>
      <w:rFonts w:ascii="Arial" w:hAnsi="Arial" w:cs="Arial"/>
      <w:sz w:val="24"/>
    </w:rPr>
  </w:style>
  <w:style w:type="paragraph" w:customStyle="1" w:styleId="232">
    <w:name w:val="Char Char Char Char3 Char Char"/>
    <w:basedOn w:val="1"/>
    <w:autoRedefine/>
    <w:qFormat/>
    <w:uiPriority w:val="0"/>
    <w:pPr>
      <w:widowControl/>
      <w:spacing w:after="160" w:line="240" w:lineRule="exact"/>
      <w:jc w:val="left"/>
    </w:pPr>
    <w:rPr>
      <w:szCs w:val="20"/>
    </w:rPr>
  </w:style>
  <w:style w:type="paragraph" w:customStyle="1" w:styleId="233">
    <w:name w:val="正文首行缩进 2 + Times New Roman"/>
    <w:basedOn w:val="1"/>
    <w:link w:val="234"/>
    <w:autoRedefine/>
    <w:qFormat/>
    <w:uiPriority w:val="0"/>
    <w:pPr>
      <w:tabs>
        <w:tab w:val="left" w:pos="0"/>
        <w:tab w:val="left" w:pos="870"/>
        <w:tab w:val="left" w:pos="3150"/>
      </w:tabs>
      <w:autoSpaceDE w:val="0"/>
      <w:autoSpaceDN w:val="0"/>
      <w:ind w:left="210" w:hanging="210" w:hangingChars="105"/>
      <w:jc w:val="center"/>
    </w:pPr>
    <w:rPr>
      <w:rFonts w:eastAsia="等线"/>
      <w:spacing w:val="-5"/>
      <w:kern w:val="0"/>
      <w:szCs w:val="18"/>
    </w:rPr>
  </w:style>
  <w:style w:type="character" w:customStyle="1" w:styleId="234">
    <w:name w:val="正文首行缩进 2 + Times New Roman Char"/>
    <w:link w:val="233"/>
    <w:autoRedefine/>
    <w:qFormat/>
    <w:uiPriority w:val="0"/>
    <w:rPr>
      <w:rFonts w:eastAsia="等线"/>
      <w:spacing w:val="-5"/>
      <w:sz w:val="21"/>
      <w:szCs w:val="18"/>
    </w:rPr>
  </w:style>
  <w:style w:type="character" w:customStyle="1" w:styleId="235">
    <w:name w:val="正文缩进 Char2"/>
    <w:autoRedefine/>
    <w:qFormat/>
    <w:uiPriority w:val="0"/>
    <w:rPr>
      <w:rFonts w:eastAsia="宋体"/>
      <w:kern w:val="2"/>
      <w:sz w:val="21"/>
      <w:lang w:val="en-US" w:eastAsia="zh-CN" w:bidi="ar-SA"/>
    </w:rPr>
  </w:style>
  <w:style w:type="paragraph" w:customStyle="1" w:styleId="236">
    <w:name w:val="表格文本"/>
    <w:basedOn w:val="1"/>
    <w:next w:val="1"/>
    <w:autoRedefine/>
    <w:qFormat/>
    <w:uiPriority w:val="0"/>
    <w:pPr>
      <w:spacing w:line="240" w:lineRule="exact"/>
      <w:jc w:val="center"/>
    </w:pPr>
    <w:rPr>
      <w:rFonts w:eastAsia="Times New Roman"/>
      <w:szCs w:val="20"/>
    </w:rPr>
  </w:style>
  <w:style w:type="paragraph" w:styleId="237">
    <w:name w:val="No Spacing"/>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8">
    <w:name w:val="Char Char6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39">
    <w:name w:val="Char Char4 Char Char1 Char Char"/>
    <w:basedOn w:val="1"/>
    <w:autoRedefine/>
    <w:qFormat/>
    <w:uiPriority w:val="0"/>
    <w:pPr>
      <w:widowControl/>
      <w:spacing w:after="160" w:line="240" w:lineRule="exact"/>
      <w:jc w:val="left"/>
    </w:pPr>
    <w:rPr>
      <w:rFonts w:ascii="Tahoma" w:hAnsi="Tahoma" w:eastAsia="Times New Roman"/>
      <w:kern w:val="0"/>
      <w:sz w:val="24"/>
      <w:szCs w:val="20"/>
    </w:rPr>
  </w:style>
  <w:style w:type="paragraph" w:customStyle="1" w:styleId="240">
    <w:name w:val="表格文字2"/>
    <w:basedOn w:val="1"/>
    <w:link w:val="241"/>
    <w:autoRedefine/>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241">
    <w:name w:val="表格文字2 Char"/>
    <w:link w:val="240"/>
    <w:autoRedefine/>
    <w:qFormat/>
    <w:uiPriority w:val="0"/>
    <w:rPr>
      <w:sz w:val="21"/>
      <w:szCs w:val="21"/>
    </w:rPr>
  </w:style>
  <w:style w:type="paragraph" w:customStyle="1" w:styleId="242">
    <w:name w:val="Char Char8 Char Char Char Char"/>
    <w:basedOn w:val="1"/>
    <w:autoRedefine/>
    <w:qFormat/>
    <w:uiPriority w:val="0"/>
    <w:pPr>
      <w:widowControl/>
      <w:spacing w:after="160" w:line="240" w:lineRule="exact"/>
      <w:jc w:val="left"/>
    </w:pPr>
    <w:rPr>
      <w:szCs w:val="20"/>
    </w:rPr>
  </w:style>
  <w:style w:type="character" w:customStyle="1" w:styleId="243">
    <w:name w:val="正文缩进 字符"/>
    <w:autoRedefine/>
    <w:qFormat/>
    <w:uiPriority w:val="0"/>
    <w:rPr>
      <w:rFonts w:eastAsia="宋体"/>
      <w:kern w:val="2"/>
      <w:sz w:val="28"/>
      <w:lang w:val="en-US" w:eastAsia="zh-CN" w:bidi="ar-SA"/>
    </w:rPr>
  </w:style>
  <w:style w:type="character" w:customStyle="1" w:styleId="244">
    <w:name w:val="环评正文 Char"/>
    <w:autoRedefine/>
    <w:qFormat/>
    <w:uiPriority w:val="0"/>
    <w:rPr>
      <w:rFonts w:ascii="宋体" w:hAnsi="宋体" w:eastAsia="宋体" w:cs="宋体"/>
      <w:kern w:val="2"/>
      <w:sz w:val="24"/>
      <w:lang w:val="en-US" w:eastAsia="zh-CN" w:bidi="ar-SA"/>
    </w:rPr>
  </w:style>
  <w:style w:type="paragraph" w:customStyle="1" w:styleId="245">
    <w:name w:val="Char Char Char Char3 Char Char Char Char Char Char Char Char Char Char"/>
    <w:basedOn w:val="1"/>
    <w:autoRedefine/>
    <w:qFormat/>
    <w:uiPriority w:val="0"/>
    <w:pPr>
      <w:widowControl/>
      <w:spacing w:after="160" w:line="240" w:lineRule="exact"/>
      <w:jc w:val="left"/>
    </w:pPr>
    <w:rPr>
      <w:szCs w:val="20"/>
    </w:rPr>
  </w:style>
  <w:style w:type="paragraph" w:customStyle="1" w:styleId="246">
    <w:name w:val="Char Char Char Char3 Char Char1"/>
    <w:basedOn w:val="1"/>
    <w:autoRedefine/>
    <w:qFormat/>
    <w:uiPriority w:val="0"/>
    <w:pPr>
      <w:widowControl/>
      <w:spacing w:after="160" w:line="240" w:lineRule="exact"/>
      <w:jc w:val="left"/>
    </w:pPr>
    <w:rPr>
      <w:szCs w:val="20"/>
    </w:rPr>
  </w:style>
  <w:style w:type="paragraph" w:customStyle="1" w:styleId="247">
    <w:name w:val="Char Char Char Char3"/>
    <w:basedOn w:val="1"/>
    <w:autoRedefine/>
    <w:qFormat/>
    <w:uiPriority w:val="0"/>
    <w:pPr>
      <w:widowControl/>
      <w:spacing w:after="160" w:line="240" w:lineRule="exact"/>
      <w:jc w:val="left"/>
    </w:pPr>
    <w:rPr>
      <w:szCs w:val="20"/>
    </w:rPr>
  </w:style>
  <w:style w:type="paragraph" w:customStyle="1" w:styleId="248">
    <w:name w:val="Char Char Char Char3 Char Char2 Char Char"/>
    <w:basedOn w:val="1"/>
    <w:autoRedefine/>
    <w:qFormat/>
    <w:uiPriority w:val="0"/>
    <w:pPr>
      <w:widowControl/>
      <w:spacing w:after="160" w:line="240" w:lineRule="exact"/>
      <w:jc w:val="left"/>
    </w:pPr>
    <w:rPr>
      <w:szCs w:val="20"/>
    </w:rPr>
  </w:style>
  <w:style w:type="paragraph" w:customStyle="1" w:styleId="249">
    <w:name w:val="Char Char Char Char3 Char Char2 Char Char Char Char"/>
    <w:basedOn w:val="1"/>
    <w:autoRedefine/>
    <w:qFormat/>
    <w:uiPriority w:val="0"/>
    <w:pPr>
      <w:widowControl/>
      <w:spacing w:after="160" w:line="240" w:lineRule="exact"/>
      <w:jc w:val="left"/>
    </w:pPr>
    <w:rPr>
      <w:szCs w:val="20"/>
    </w:rPr>
  </w:style>
  <w:style w:type="paragraph" w:customStyle="1" w:styleId="250">
    <w:name w:val="Char Char4 Char Char1"/>
    <w:basedOn w:val="1"/>
    <w:autoRedefine/>
    <w:qFormat/>
    <w:uiPriority w:val="0"/>
    <w:pPr>
      <w:widowControl/>
      <w:spacing w:after="160" w:line="240" w:lineRule="exact"/>
      <w:jc w:val="left"/>
    </w:pPr>
    <w:rPr>
      <w:rFonts w:ascii="Tahoma" w:hAnsi="Tahoma" w:eastAsia="Times New Roman"/>
      <w:kern w:val="0"/>
      <w:sz w:val="24"/>
      <w:szCs w:val="20"/>
    </w:rPr>
  </w:style>
  <w:style w:type="paragraph" w:customStyle="1" w:styleId="251">
    <w:name w:val="列出段落1"/>
    <w:basedOn w:val="1"/>
    <w:autoRedefine/>
    <w:qFormat/>
    <w:uiPriority w:val="0"/>
    <w:pPr>
      <w:ind w:firstLine="420" w:firstLineChars="200"/>
    </w:pPr>
  </w:style>
  <w:style w:type="paragraph" w:customStyle="1" w:styleId="252">
    <w:name w:val="Char Char5 Char Char Char Char"/>
    <w:basedOn w:val="1"/>
    <w:autoRedefine/>
    <w:qFormat/>
    <w:uiPriority w:val="0"/>
    <w:pPr>
      <w:widowControl/>
      <w:spacing w:after="160" w:line="240" w:lineRule="exact"/>
      <w:jc w:val="left"/>
    </w:pPr>
    <w:rPr>
      <w:szCs w:val="20"/>
    </w:rPr>
  </w:style>
  <w:style w:type="paragraph" w:customStyle="1" w:styleId="253">
    <w:name w:val="样式3"/>
    <w:basedOn w:val="1"/>
    <w:autoRedefine/>
    <w:qFormat/>
    <w:uiPriority w:val="0"/>
    <w:pPr>
      <w:spacing w:line="360" w:lineRule="auto"/>
    </w:pPr>
    <w:rPr>
      <w:rFonts w:ascii="楷体_GB2312" w:hAnsi="Arial" w:eastAsia="楷体_GB2312" w:cs="Arial"/>
      <w:b/>
      <w:bCs/>
      <w:sz w:val="28"/>
    </w:rPr>
  </w:style>
  <w:style w:type="paragraph" w:customStyle="1" w:styleId="254">
    <w:name w:val="表文"/>
    <w:basedOn w:val="14"/>
    <w:next w:val="2"/>
    <w:autoRedefine/>
    <w:qFormat/>
    <w:uiPriority w:val="0"/>
    <w:pPr>
      <w:widowControl w:val="0"/>
      <w:snapToGrid/>
      <w:spacing w:before="0" w:after="0" w:line="360" w:lineRule="auto"/>
      <w:ind w:right="0"/>
      <w:jc w:val="center"/>
    </w:pPr>
    <w:rPr>
      <w:rFonts w:eastAsia="FangSong_GB2312"/>
      <w:kern w:val="2"/>
      <w:sz w:val="24"/>
    </w:rPr>
  </w:style>
  <w:style w:type="character" w:customStyle="1" w:styleId="255">
    <w:name w:val="二级标题 Char"/>
    <w:link w:val="256"/>
    <w:autoRedefine/>
    <w:qFormat/>
    <w:uiPriority w:val="0"/>
    <w:rPr>
      <w:b/>
      <w:bCs/>
      <w:kern w:val="2"/>
      <w:sz w:val="28"/>
      <w:szCs w:val="24"/>
    </w:rPr>
  </w:style>
  <w:style w:type="paragraph" w:customStyle="1" w:styleId="256">
    <w:name w:val="二级标题"/>
    <w:basedOn w:val="1"/>
    <w:link w:val="255"/>
    <w:autoRedefine/>
    <w:qFormat/>
    <w:uiPriority w:val="0"/>
    <w:pPr>
      <w:spacing w:before="60" w:line="460" w:lineRule="exact"/>
      <w:outlineLvl w:val="1"/>
    </w:pPr>
    <w:rPr>
      <w:b/>
      <w:bCs/>
      <w:sz w:val="28"/>
    </w:rPr>
  </w:style>
  <w:style w:type="paragraph" w:customStyle="1" w:styleId="257">
    <w:name w:val="正文01新"/>
    <w:basedOn w:val="1"/>
    <w:autoRedefine/>
    <w:qFormat/>
    <w:uiPriority w:val="0"/>
    <w:pPr>
      <w:spacing w:beforeLines="30" w:line="460" w:lineRule="exact"/>
      <w:ind w:firstLine="200" w:firstLineChars="200"/>
    </w:pPr>
    <w:rPr>
      <w:snapToGrid w:val="0"/>
      <w:kern w:val="0"/>
      <w:sz w:val="24"/>
    </w:rPr>
  </w:style>
  <w:style w:type="paragraph" w:customStyle="1" w:styleId="258">
    <w:name w:val="(1表格"/>
    <w:basedOn w:val="5"/>
    <w:autoRedefine/>
    <w:qFormat/>
    <w:uiPriority w:val="0"/>
    <w:pPr>
      <w:keepNext w:val="0"/>
      <w:keepLines w:val="0"/>
      <w:spacing w:before="0" w:after="0" w:line="240" w:lineRule="auto"/>
      <w:jc w:val="center"/>
    </w:pPr>
    <w:rPr>
      <w:rFonts w:ascii="Times New Roman" w:hAnsi="Times New Roman" w:eastAsia="FangSong_GB2312"/>
      <w:b w:val="0"/>
      <w:color w:val="000000"/>
      <w:sz w:val="21"/>
      <w:szCs w:val="30"/>
    </w:rPr>
  </w:style>
  <w:style w:type="paragraph" w:customStyle="1" w:styleId="259">
    <w:name w:val="Other|1"/>
    <w:basedOn w:val="1"/>
    <w:autoRedefine/>
    <w:qFormat/>
    <w:uiPriority w:val="0"/>
    <w:pPr>
      <w:spacing w:line="434" w:lineRule="auto"/>
      <w:ind w:firstLine="400"/>
    </w:pPr>
    <w:rPr>
      <w:rFonts w:ascii="宋体" w:hAnsi="宋体" w:cs="宋体"/>
      <w:sz w:val="28"/>
      <w:szCs w:val="28"/>
      <w:lang w:val="zh-TW" w:eastAsia="zh-TW" w:bidi="zh-TW"/>
    </w:rPr>
  </w:style>
  <w:style w:type="paragraph" w:customStyle="1" w:styleId="260">
    <w:name w:val="表外表头"/>
    <w:basedOn w:val="1"/>
    <w:link w:val="261"/>
    <w:autoRedefine/>
    <w:qFormat/>
    <w:uiPriority w:val="0"/>
    <w:pPr>
      <w:spacing w:line="500" w:lineRule="exact"/>
      <w:jc w:val="center"/>
    </w:pPr>
    <w:rPr>
      <w:b/>
      <w:sz w:val="24"/>
      <w:szCs w:val="20"/>
    </w:rPr>
  </w:style>
  <w:style w:type="character" w:customStyle="1" w:styleId="261">
    <w:name w:val="表外表头 Char"/>
    <w:link w:val="260"/>
    <w:autoRedefine/>
    <w:qFormat/>
    <w:uiPriority w:val="0"/>
    <w:rPr>
      <w:rFonts w:cs="宋体"/>
      <w:b/>
      <w:kern w:val="2"/>
      <w:sz w:val="24"/>
    </w:rPr>
  </w:style>
  <w:style w:type="paragraph" w:customStyle="1" w:styleId="262">
    <w:name w:val="xl22"/>
    <w:basedOn w:val="1"/>
    <w:autoRedefine/>
    <w:qFormat/>
    <w:uiPriority w:val="0"/>
    <w:pPr>
      <w:widowControl/>
      <w:spacing w:before="100" w:after="100"/>
      <w:jc w:val="center"/>
    </w:pPr>
    <w:rPr>
      <w:kern w:val="0"/>
      <w:sz w:val="24"/>
    </w:rPr>
  </w:style>
  <w:style w:type="character" w:customStyle="1" w:styleId="263">
    <w:name w:val="纯文本 Char1"/>
    <w:autoRedefine/>
    <w:qFormat/>
    <w:uiPriority w:val="0"/>
    <w:rPr>
      <w:rFonts w:ascii="宋体" w:hAnsi="Courier New" w:eastAsia="宋体"/>
      <w:kern w:val="2"/>
      <w:lang w:val="en-US" w:eastAsia="zh-CN" w:bidi="ar-SA"/>
    </w:rPr>
  </w:style>
  <w:style w:type="character" w:customStyle="1" w:styleId="264">
    <w:name w:val="页脚 Char1"/>
    <w:basedOn w:val="40"/>
    <w:autoRedefine/>
    <w:semiHidden/>
    <w:qFormat/>
    <w:uiPriority w:val="99"/>
    <w:rPr>
      <w:rFonts w:ascii="Times New Roman" w:hAnsi="Times New Roman" w:eastAsia="宋体" w:cs="Times New Roman"/>
      <w:sz w:val="18"/>
      <w:szCs w:val="18"/>
    </w:rPr>
  </w:style>
  <w:style w:type="character" w:customStyle="1" w:styleId="265">
    <w:name w:val="正文缩进 Char3"/>
    <w:autoRedefine/>
    <w:qFormat/>
    <w:uiPriority w:val="0"/>
    <w:rPr>
      <w:kern w:val="2"/>
      <w:sz w:val="21"/>
      <w:szCs w:val="24"/>
    </w:rPr>
  </w:style>
  <w:style w:type="paragraph" w:customStyle="1" w:styleId="266">
    <w:name w:val="_Style 1"/>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267">
    <w:name w:val="列出段落 Char"/>
    <w:link w:val="133"/>
    <w:autoRedefine/>
    <w:qFormat/>
    <w:uiPriority w:val="0"/>
    <w:rPr>
      <w:kern w:val="2"/>
      <w:sz w:val="21"/>
    </w:rPr>
  </w:style>
  <w:style w:type="paragraph" w:customStyle="1" w:styleId="268">
    <w:name w:val="表中正文"/>
    <w:basedOn w:val="1"/>
    <w:autoRedefine/>
    <w:qFormat/>
    <w:uiPriority w:val="0"/>
    <w:pPr>
      <w:spacing w:line="360" w:lineRule="auto"/>
    </w:pPr>
    <w:rPr>
      <w:rFonts w:cs="ˎ̥"/>
      <w:szCs w:val="20"/>
    </w:rPr>
  </w:style>
  <w:style w:type="paragraph" w:customStyle="1" w:styleId="269">
    <w:name w:val="zl正文缩进"/>
    <w:basedOn w:val="1"/>
    <w:autoRedefine/>
    <w:qFormat/>
    <w:uiPriority w:val="0"/>
    <w:pPr>
      <w:spacing w:beforeLines="50" w:afterLines="100" w:line="320" w:lineRule="exact"/>
      <w:ind w:firstLine="480"/>
    </w:pPr>
    <w:rPr>
      <w:rFonts w:cs="宋体"/>
      <w:szCs w:val="20"/>
    </w:rPr>
  </w:style>
  <w:style w:type="paragraph" w:customStyle="1" w:styleId="270">
    <w:name w:val="表头"/>
    <w:basedOn w:val="116"/>
    <w:next w:val="1"/>
    <w:autoRedefine/>
    <w:qFormat/>
    <w:uiPriority w:val="0"/>
    <w:pPr>
      <w:spacing w:beforeLines="25" w:afterLines="25" w:line="360" w:lineRule="auto"/>
      <w:ind w:firstLine="0"/>
      <w:jc w:val="center"/>
    </w:pPr>
    <w:rPr>
      <w:rFonts w:eastAsia="宋体" w:cs="宋体"/>
      <w:b/>
      <w:szCs w:val="24"/>
    </w:rPr>
  </w:style>
  <w:style w:type="character" w:customStyle="1" w:styleId="271">
    <w:name w:val="fontstyle01"/>
    <w:basedOn w:val="40"/>
    <w:autoRedefine/>
    <w:qFormat/>
    <w:uiPriority w:val="0"/>
    <w:rPr>
      <w:rFonts w:ascii="宋体" w:hAnsi="宋体" w:eastAsia="宋体" w:cs="宋体"/>
      <w:color w:val="000000"/>
      <w:sz w:val="22"/>
      <w:szCs w:val="22"/>
    </w:rPr>
  </w:style>
  <w:style w:type="table" w:customStyle="1" w:styleId="272">
    <w:name w:val="Table Normal"/>
    <w:autoRedefine/>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273">
    <w:name w:val="改表内容居中"/>
    <w:basedOn w:val="1"/>
    <w:autoRedefine/>
    <w:qFormat/>
    <w:uiPriority w:val="0"/>
    <w:pPr>
      <w:jc w:val="center"/>
      <w:textAlignment w:val="center"/>
    </w:pPr>
    <w:rPr>
      <w:szCs w:val="20"/>
    </w:rPr>
  </w:style>
  <w:style w:type="paragraph" w:customStyle="1" w:styleId="274">
    <w:name w:val="Table Text"/>
    <w:basedOn w:val="1"/>
    <w:autoRedefine/>
    <w:semiHidden/>
    <w:qFormat/>
    <w:uiPriority w:val="0"/>
    <w:rPr>
      <w:rFonts w:ascii="宋体" w:hAnsi="宋体" w:cs="宋体"/>
      <w:sz w:val="24"/>
      <w:lang w:eastAsia="en-US"/>
    </w:rPr>
  </w:style>
  <w:style w:type="paragraph" w:customStyle="1" w:styleId="275">
    <w:name w:val="正文2"/>
    <w:basedOn w:val="1"/>
    <w:autoRedefine/>
    <w:qFormat/>
    <w:uiPriority w:val="0"/>
    <w:pPr>
      <w:adjustRightInd w:val="0"/>
      <w:snapToGrid w:val="0"/>
      <w:spacing w:line="440" w:lineRule="atLeast"/>
      <w:ind w:firstLine="567"/>
    </w:pPr>
    <w:rPr>
      <w:sz w:val="24"/>
      <w:szCs w:val="20"/>
    </w:rPr>
  </w:style>
  <w:style w:type="paragraph" w:customStyle="1" w:styleId="276">
    <w:name w:val="样式 标题五 + 居中"/>
    <w:basedOn w:val="277"/>
    <w:autoRedefine/>
    <w:qFormat/>
    <w:uiPriority w:val="0"/>
    <w:pPr>
      <w:keepNext w:val="0"/>
      <w:keepLines w:val="0"/>
      <w:numPr>
        <w:numId w:val="0"/>
      </w:numPr>
      <w:tabs>
        <w:tab w:val="left" w:pos="567"/>
        <w:tab w:val="left" w:pos="700"/>
      </w:tabs>
      <w:autoSpaceDE/>
      <w:autoSpaceDN/>
      <w:adjustRightInd/>
      <w:outlineLvl w:val="9"/>
    </w:pPr>
    <w:rPr>
      <w:rFonts w:cs="宋体"/>
    </w:rPr>
  </w:style>
  <w:style w:type="paragraph" w:customStyle="1" w:styleId="277">
    <w:name w:val="标题五"/>
    <w:basedOn w:val="7"/>
    <w:autoRedefine/>
    <w:qFormat/>
    <w:uiPriority w:val="0"/>
    <w:pPr>
      <w:numPr>
        <w:ilvl w:val="0"/>
        <w:numId w:val="1"/>
      </w:numPr>
      <w:tabs>
        <w:tab w:val="left" w:pos="700"/>
      </w:tabs>
      <w:autoSpaceDE w:val="0"/>
      <w:autoSpaceDN w:val="0"/>
      <w:adjustRightInd w:val="0"/>
      <w:spacing w:before="0" w:after="0" w:line="440" w:lineRule="exact"/>
      <w:jc w:val="center"/>
    </w:pPr>
    <w:rPr>
      <w:rFonts w:ascii="Arial" w:hAnsi="Arial"/>
      <w:b w:val="0"/>
      <w:bCs w:val="0"/>
      <w:snapToGrid w:val="0"/>
      <w:kern w:val="0"/>
      <w:sz w:val="24"/>
      <w:szCs w:val="20"/>
    </w:rPr>
  </w:style>
  <w:style w:type="paragraph" w:customStyle="1" w:styleId="278">
    <w:name w:val="表格数字"/>
    <w:basedOn w:val="1"/>
    <w:autoRedefine/>
    <w:qFormat/>
    <w:uiPriority w:val="0"/>
    <w:pPr>
      <w:spacing w:line="360" w:lineRule="exact"/>
      <w:jc w:val="center"/>
    </w:pPr>
    <w:rPr>
      <w:rFonts w:ascii="Arial" w:hAnsi="Arial" w:cs="宋体"/>
      <w:kern w:val="0"/>
      <w:szCs w:val="20"/>
    </w:rPr>
  </w:style>
  <w:style w:type="paragraph" w:customStyle="1" w:styleId="279">
    <w:name w:val="报告书正文 Char Char Char Char Char Char Char"/>
    <w:basedOn w:val="1"/>
    <w:autoRedefine/>
    <w:qFormat/>
    <w:uiPriority w:val="0"/>
    <w:pPr>
      <w:spacing w:line="300" w:lineRule="auto"/>
      <w:ind w:firstLine="480" w:firstLineChars="200"/>
    </w:pPr>
    <w:rPr>
      <w:color w:val="000000"/>
      <w:sz w:val="24"/>
    </w:rPr>
  </w:style>
  <w:style w:type="paragraph" w:customStyle="1" w:styleId="280">
    <w:name w:val="中文报告书样式"/>
    <w:basedOn w:val="1"/>
    <w:autoRedefine/>
    <w:qFormat/>
    <w:uiPriority w:val="0"/>
    <w:pPr>
      <w:adjustRightInd w:val="0"/>
      <w:spacing w:line="480" w:lineRule="atLeast"/>
      <w:ind w:firstLine="482"/>
      <w:textAlignment w:val="baseline"/>
    </w:pPr>
    <w:rPr>
      <w:kern w:val="24"/>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FC5FEE-F0DF-4273-8566-C38BE715BC43}">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90</Pages>
  <Words>57389</Words>
  <Characters>66081</Characters>
  <Lines>469</Lines>
  <Paragraphs>132</Paragraphs>
  <TotalTime>0</TotalTime>
  <ScaleCrop>false</ScaleCrop>
  <LinksUpToDate>false</LinksUpToDate>
  <CharactersWithSpaces>66769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2021-10-18T00:44:00Z</dcterms:created>
  <dc:creator>lhj</dc:creator>
  <cp:lastModifiedBy>-</cp:lastModifiedBy>
  <cp:lastPrinted>2024-01-02T01:51:00Z</cp:lastPrinted>
  <dcterms:modified xsi:type="dcterms:W3CDTF">2024-09-05T13:20:30Z</dcterms:modified>
  <dc:title>附件2</dc:title>
  <cp:revision>289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5CB165A77B624FD4ADC06A291D53E354_13</vt:lpwstr>
  </property>
</Properties>
</file>