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10718800</wp:posOffset>
            </wp:positionH>
            <wp:positionV relativeFrom="topMargin">
              <wp:posOffset>10629900</wp:posOffset>
            </wp:positionV>
            <wp:extent cx="368300" cy="368300"/>
            <wp:effectExtent l="0" t="0" r="12700" b="12700"/>
            <wp:wrapNone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图片 10004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t>2023年6月浙江省普通高校招生选考科目考试</w:t>
      </w:r>
    </w:p>
    <w:p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地理</w:t>
      </w:r>
    </w:p>
    <w:p>
      <w:pPr>
        <w:spacing w:line="360" w:lineRule="auto"/>
        <w:jc w:val="left"/>
      </w:pPr>
      <w:r>
        <w:rPr>
          <w:rFonts w:ascii="宋体" w:eastAsia="宋体" w:hAnsi="宋体" w:cs="宋体"/>
          <w:b/>
          <w:color w:val="auto"/>
          <w:sz w:val="24"/>
        </w:rPr>
        <w:t>一、选择题I（本大题共20小题，每小题2分，共40分。每小题列出的四个备选项中只有一个是符合题目要求的，不选、多选、错选均不得分）</w:t>
      </w:r>
    </w:p>
    <w:p>
      <w:pPr>
        <w:spacing w:line="360" w:lineRule="auto"/>
        <w:ind w:firstLine="420"/>
        <w:jc w:val="left"/>
      </w:pPr>
      <w:r>
        <w:rPr>
          <w:rFonts w:ascii="楷体" w:eastAsia="楷体" w:hAnsi="楷体" w:cs="楷体"/>
          <w:color w:val="auto"/>
        </w:rPr>
        <w:t>某城市公园引入稻鱼生态系统，将原来分割稻田的田埂用架空的木栈道修建成鱼道，取得了良好效益。下图为改造前后田埂和鱼道的示意图。完成下面小题。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38750" cy="911860"/>
            <wp:effectExtent l="0" t="0" r="0" b="254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1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1. </w:t>
      </w:r>
      <w:r>
        <w:rPr>
          <w:rFonts w:ascii="宋体" w:eastAsia="宋体" w:hAnsi="宋体" w:cs="宋体"/>
          <w:color w:val="auto"/>
        </w:rPr>
        <w:t>修建鱼道的主要生态作用是（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eastAsia="宋体" w:hAnsi="宋体" w:cs="宋体"/>
          <w:color w:val="auto"/>
        </w:rPr>
        <w:t>扩大水稻播种</w:t>
      </w:r>
      <w:r>
        <w:tab/>
      </w:r>
      <w:r>
        <w:t xml:space="preserve">B. </w:t>
      </w:r>
      <w:r>
        <w:rPr>
          <w:rFonts w:ascii="宋体" w:eastAsia="宋体" w:hAnsi="宋体" w:cs="宋体"/>
          <w:color w:val="auto"/>
        </w:rPr>
        <w:t>拓展生物通道</w:t>
      </w:r>
      <w:r>
        <w:tab/>
      </w:r>
      <w:r>
        <w:t xml:space="preserve">C. </w:t>
      </w:r>
      <w:r>
        <w:rPr>
          <w:rFonts w:ascii="宋体" w:eastAsia="宋体" w:hAnsi="宋体" w:cs="宋体"/>
          <w:color w:val="auto"/>
        </w:rPr>
        <w:t>保障游客安全</w:t>
      </w:r>
      <w:r>
        <w:tab/>
      </w:r>
      <w:r>
        <w:t xml:space="preserve">D. </w:t>
      </w:r>
      <w:r>
        <w:rPr>
          <w:rFonts w:ascii="宋体" w:eastAsia="宋体" w:hAnsi="宋体" w:cs="宋体"/>
          <w:color w:val="auto"/>
        </w:rPr>
        <w:t>增加雨水下渗</w:t>
      </w:r>
    </w:p>
    <w:p>
      <w:pPr>
        <w:spacing w:line="360" w:lineRule="auto"/>
        <w:jc w:val="left"/>
        <w:textAlignment w:val="center"/>
        <w:rPr>
          <w:color w:val="auto"/>
        </w:rPr>
      </w:pPr>
      <w:r>
        <w:t xml:space="preserve">2. </w:t>
      </w:r>
      <w:r>
        <w:rPr>
          <w:rFonts w:ascii="宋体" w:eastAsia="宋体" w:hAnsi="宋体" w:cs="宋体"/>
          <w:color w:val="auto"/>
        </w:rPr>
        <w:t>下列地区最适合引进稻鱼生态系统的是（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eastAsia="宋体" w:hAnsi="宋体" w:cs="宋体"/>
          <w:color w:val="auto"/>
        </w:rPr>
        <w:t>江南丘陵</w:t>
      </w:r>
      <w:r>
        <w:tab/>
      </w:r>
      <w:r>
        <w:t xml:space="preserve">B. </w:t>
      </w:r>
      <w:r>
        <w:rPr>
          <w:rFonts w:ascii="宋体" w:eastAsia="宋体" w:hAnsi="宋体" w:cs="宋体"/>
          <w:color w:val="auto"/>
        </w:rPr>
        <w:t>黄土高原</w:t>
      </w:r>
      <w:r>
        <w:tab/>
      </w:r>
      <w:r>
        <w:t xml:space="preserve">C. </w:t>
      </w:r>
      <w:r>
        <w:rPr>
          <w:rFonts w:ascii="宋体" w:eastAsia="宋体" w:hAnsi="宋体" w:cs="宋体"/>
          <w:color w:val="auto"/>
        </w:rPr>
        <w:t>河西走廊</w:t>
      </w:r>
      <w:r>
        <w:tab/>
      </w:r>
      <w:r>
        <w:t xml:space="preserve">D. </w:t>
      </w:r>
      <w:r>
        <w:rPr>
          <w:rFonts w:ascii="宋体" w:eastAsia="宋体" w:hAnsi="宋体" w:cs="宋体"/>
          <w:color w:val="auto"/>
        </w:rPr>
        <w:t>华北平原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下图为广东某丹霞地貌景观图，该地貌主要发育于白垩纪的红色地层。该地质时期，当地主要受信风、副高控制。完成下面小题。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57450" cy="30480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该地貌景观的物质组成是（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砂砾岩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石灰岩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石英岩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花岗岩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该红色地层形成时期的气候特征为（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冷湿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暖湿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冷干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暖干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战略性矿产资源的安全稳定是国内经济循环畅通的保障，也是国内国际相五融合的关键。我国钨矿资源丰富，却将其列入战略性对矿产资源。下图为某企业钨全产业链内涵框架示意图。完成下面小题。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62250" cy="25908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将钨列入战略性矿产资源的主要原因是（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防止钨矿供应链发生中断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主导钨矿上游产业链发展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推进钨矿产业链绿色发展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实现钨资源领域安全可控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位于该企业钨全产业链下游的是（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钨制品的回收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钨矿石的贸易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钨矿勘探采掘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钨矿冶炼加工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城镇空间形态演变具有明显的动态特征。下图为我国某县级市不同时期城镇空间形态演变示意图。完成下面小题。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72025" cy="194310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影响该城市空间形态变化的主要因素是（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地形地貌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环境保护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开发成本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防灾安全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2015年后，该城市的建设用地（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沿交通线蔓延式快速发展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以周边卫星城镇用地为主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以城市更新改造利用为主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以城市中心工业用地为主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下图为南半球部分海域水温分布和海水运动示意图。完成下面小题。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95725" cy="2543175"/>
            <wp:effectExtent l="0" t="0" r="9525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图中甲、乙丙、丁四处海域表层海水性质的比较，正确的是（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甲密度最低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丁盐度最小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甲盐度大于丁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乙密度大于丙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磷虾主要分布在约50S以南的环南极洲海域，其栖息海域的营养物质主要来自于（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①大陆冰川融化②暖寒流的交汇③深层海水上升④西风漂流携带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①④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③④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某研学小组计划在澳大利亚西部开展一次旅行并做野外考察。下图1为该团队初拟的四条活动线路，图2为澳大利亚三种典型自然植被的景观图。完成下面小题。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67025" cy="37528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4210050" cy="3190875"/>
            <wp:effectExtent l="0" t="0" r="0" b="952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本次野外地质考察应准备的工具是（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①罗盘②雨具③冲锋衣④放大镜⑤手持卫星定位仪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①②④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①④⑤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②③⑤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③④⑤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若想在沿途欣赏到三种典型自然植被景观，则应选择线路（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②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④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黄河三角洲海岸线始终在不断变化。1996年黄河经人工改道朝东北方向入海。下图为1996-2020年黄河河口区汛期陆地面积变化统计图。完成下面小题。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33775" cy="19240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下列遥感影像，能正确反映不同年份河口区汛期陆地形态变化先后顺序的是（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22705"/>
            <wp:effectExtent l="0" t="0" r="0" b="1079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①②④③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②①④③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②③④①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③②①④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1996年后，造成老河口陆地面积变化的主要原因是（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海水运动的作用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黄土高原植被的恢复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上游水库的冲淤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汛期流域降水的变化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塔式光热发电是利用成千上万个独立跟踪大阳的定日镜，将阳光聚集到镜场中心的集热塔，通过能量转换来发电。下图1为青海某地塔式光热发电场景观图，图2为定日镜工作原理示意图。完成下面小题。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38575" cy="16097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与浙江省相比，当地布局光热发电场的优势区位因素有（   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①土地②太阳辐射③劳动力④电网分布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①②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③④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定日镜工作期间，镜面朝向（图2所示）的水平和垂直转动方向分别是（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顺时针先逆时针后顺时针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顺时针先顺时针后逆时针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逆时针先顺时针后逆时针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逆时针先逆时针后顺时针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在“双碳”目标背景下，湖泊湿地的生态修复是个重要的固碳举措。下图为湖泊湿地碳循环示意图。完成下面小题。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76600" cy="1962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植物多样性增加对湖泊湿地固碳作用的影响是（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土壤碳含量降低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根系吸碳量减少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碳净排放量降低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微生物活性减弱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下列对湖泊湿地生态修复的措施，合理的是（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减少湖滨植物，清除入湖污染物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放生外来物种，增加生物多样性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降低湖面水位，重建微生物群落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改变湿地地形，建设生态缓冲岛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一天内电力网络的供电量应与实际需求相匹配。下图为美国东部时间（西五区）一周每日不同时刻，平均发电量按来源划分的统计图，其中①②③表示三种不同类型的可再生能源发电量。完成下面小题。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76675" cy="2686050"/>
            <wp:effectExtent l="0" t="0" r="9525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该国为平衡日内供电量与需求量，采取的主要措施是（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增加原子能发电量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调整能源消费结构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拓宽电能进口渠道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调节燃气火力发电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当太阳能发电量在7日达到最大值时，北京时间约为（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7日1-2时左右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7日7-8时左右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8日3-4时左右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8日8-9时左右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二、选择题Ⅱ（本大题共5小题，每小题3分，共15分。每小题列出的四个备选项中只有一个是符合题目要求的，不选、多选、错选均不得分）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麦兹巴赫湖是典型的冰川堰塞湖。2022年6月，湖泊不断接纳上游冰川融水，并于7月中旬发生溃决。6-7月期间，能反映湖泊冰水沉积物总量变化过程的曲线是（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390650" cy="15430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457325" cy="16192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457325" cy="16287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457325" cy="16192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2020年，我国流动人口达3.76亿，比2010年增长约70%，其中省际流动人口为1.25亿，占比为33.2%（比2010年下降5.6%）。流入（出）率为流入（出）人口占本省人口的比重。下表为2020年浙江、新疆、安徽、吉林四省区流入和流出人口统计表。完成下面小题。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1920"/>
        <w:gridCol w:w="1395"/>
        <w:gridCol w:w="1920"/>
        <w:gridCol w:w="1395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省（区）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流入人口（万人）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流入率（%）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流出人口（万人）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流出率（%）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甲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155.1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2.5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1152</w:t>
            </w:r>
            <w:r>
              <w:rPr>
                <w:rFonts w:ascii="宋体" w:eastAsia="宋体" w:hAnsi="宋体" w:cs="宋体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100061" name="图片 100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图片 10006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000000"/>
              </w:rPr>
              <w:t>1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18.9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乙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1618.7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25.1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236.2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3.7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丙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339.1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13.1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60.3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2.3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/>
        </w:trPr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丁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100</w:t>
            </w:r>
            <w:r>
              <w:rPr>
                <w:rFonts w:ascii="宋体" w:eastAsia="宋体" w:hAnsi="宋体" w:cs="宋体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100057" name="图片 10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图片 10005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 w:cs="宋体"/>
                <w:color w:val="000000"/>
              </w:rPr>
              <w:t>2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4.2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241.4</w:t>
            </w:r>
          </w:p>
        </w:tc>
        <w:tc>
          <w:tcPr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10.0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我国省际流动人口占比下降的主要原因是（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沿海产业升级放缓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沿海经济增速下降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省际产业转移增加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省际交通条件改善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表中甲、乙、丙、丁与各省区流动人口状况的对应关系，正确的是（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甲——新疆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乙——安徽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丙——浙江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丁——吉林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贵州中西部地区冬季多出现水平能见度小于1千米的锋面雨雾，雾区位于锋线附近。下图为贵州某次锋面雨雾发生过程中，大致呈纬向分布的三个测站测得的能见度变化图。这次雨雾形成的气象条件是西南气流沿锋后弱冷平流爬升，形成弱降水。雨雾随锋面缓慢东移消亡。完成下面小题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81450" cy="1743075"/>
            <wp:effectExtent l="0" t="0" r="0" b="952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eastAsia="宋体" w:hAnsi="宋体" w:cs="宋体"/>
          <w:color w:val="000000"/>
        </w:rPr>
        <w:t>三个测站的地理位置，自西向东依次排序正确的是（   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①③②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②③①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③①②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eastAsia="宋体" w:hAnsi="宋体" w:cs="宋体"/>
          <w:color w:val="000000"/>
        </w:rPr>
        <w:t>本次锋面雨雾出现时，雾区地面以上气温垂直变化最接近的是（   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00150" cy="193357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00150" cy="19240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562100" cy="19240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00150" cy="1971675"/>
            <wp:effectExtent l="0" t="0" r="0" b="9525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三、非选择题（本大题共3小题，共45分）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eastAsia="宋体" w:hAnsi="宋体" w:cs="宋体"/>
          <w:color w:val="000000"/>
        </w:rPr>
        <w:t>阅读材料，完成下列问题。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材料一波士华城市带是美国工业化的重要发源地。20世纪60年代以来，随着传统工业向外转移，该区域逐步发展成为世界重要金融、贸易中心和高科技产业基地。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材料二图1为北美部分地区略图。图2为波士华城市带主要城市的支柱产业。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638425"/>
            <wp:effectExtent l="0" t="0" r="0" b="9525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260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图1                                                图2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简述产业转移对该城市带产业升级的积极作用。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分析交通对该城市带产业分工格局形成的影响。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该城市带计划建设高铁，分析其有利的社会经济条件。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27. </w:t>
      </w:r>
      <w:r>
        <w:rPr>
          <w:rFonts w:ascii="宋体" w:eastAsia="宋体" w:hAnsi="宋体" w:cs="宋体"/>
          <w:color w:val="000000"/>
        </w:rPr>
        <w:t>阅读材料，完成下列问题</w:t>
      </w:r>
      <w:r>
        <w:rPr>
          <w:rFonts w:ascii="宋体" w:eastAsia="宋体" w:hAnsi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材料一黄河上、中游蒸发的水汽会随大气环流输送，并在沿途形成降水。径流深度是单位流域面积上的径流总量。近年来，人类活动对黄河流域径流深度变化影响显著。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材料二图1为黄河中上游流域略图。图2为黄河中游两个时期径流深度空间分布示意图。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10125" cy="2190750"/>
            <wp:effectExtent l="0" t="0" r="9525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730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图1                           图2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黄河中游地区两个时期径流深度空间分布的共同特点是</w:t>
      </w:r>
      <w:r>
        <w:rPr>
          <w:color w:val="000000"/>
        </w:rPr>
        <w:t>____</w:t>
      </w:r>
      <w:r>
        <w:rPr>
          <w:rFonts w:ascii="宋体" w:eastAsia="宋体" w:hAnsi="宋体" w:cs="宋体"/>
          <w:color w:val="000000"/>
        </w:rPr>
        <w:t>，并指出造成径流深度变化的主要人类活动</w:t>
      </w:r>
      <w:r>
        <w:rPr>
          <w:color w:val="000000"/>
        </w:rPr>
        <w:t>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黄河中上游流域蒸发后的再降水，太行山西侧明显多于黄土高原，分析其原因。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有专家认为，“南水北调”西线引水有利于黄河中上游流域的种植业发展。你是否赞同？试从水循环角度，说明你的理由。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28. </w:t>
      </w:r>
      <w:r>
        <w:rPr>
          <w:rFonts w:ascii="宋体" w:eastAsia="宋体" w:hAnsi="宋体" w:cs="宋体"/>
          <w:color w:val="000000"/>
        </w:rPr>
        <w:t>阅读材料，完成下列问题。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一绿洲是干旱气候区的特有景观，经过人类活动长期影响，部分天然绿洲和荒漠演变为人工绿洲。人工绿洲主要由农田、人工水域、村镇和绿洲城市等组成。天山北麓洪积、冲积作用形成山前倾斜平原，其上堆积的巨厚第四纪沉积物为地下水的储存、运移提供了良好的空间，是新疆人工绿洲分布较集中的区域。</w:t>
      </w:r>
    </w:p>
    <w:p>
      <w:pPr>
        <w:spacing w:line="360" w:lineRule="auto"/>
        <w:ind w:firstLine="420"/>
        <w:jc w:val="left"/>
        <w:textAlignment w:val="center"/>
        <w:rPr>
          <w:color w:val="000000"/>
        </w:rPr>
      </w:pPr>
      <w:r>
        <w:rPr>
          <w:rFonts w:ascii="楷体" w:eastAsia="楷体" w:hAnsi="楷体" w:cs="楷体"/>
          <w:color w:val="000000"/>
        </w:rPr>
        <w:t>材料二图1为天山北麓部分地区略图。图2为洪积一冲积扇示意图。图3为天山北麓一古尔班通古特沙漠某剖面示意图。</w:t>
      </w:r>
    </w:p>
    <w:p>
      <w:pPr>
        <w:spacing w:line="360" w:lineRule="auto"/>
        <w:ind w:firstLine="1680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drawing>
          <wp:inline distT="0" distB="0" distL="114300" distR="114300">
            <wp:extent cx="2876550" cy="31623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 xml:space="preserve">  </w:t>
      </w:r>
      <w:r>
        <w:rPr>
          <w:rFonts w:ascii="宋体" w:eastAsia="宋体" w:hAnsi="宋体" w:cs="宋体"/>
          <w:color w:val="000000"/>
        </w:rPr>
        <w:drawing>
          <wp:inline distT="0" distB="0" distL="114300" distR="114300">
            <wp:extent cx="2486025" cy="2609850"/>
            <wp:effectExtent l="0" t="0" r="9525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drawing>
          <wp:inline distT="0" distB="0" distL="114300" distR="114300">
            <wp:extent cx="4133850" cy="19240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 xml:space="preserve">                                  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制约天然绿洲分布的主要因素是</w:t>
      </w:r>
      <w:r>
        <w:rPr>
          <w:color w:val="000000"/>
        </w:rPr>
        <w:t>____</w:t>
      </w:r>
      <w:r>
        <w:rPr>
          <w:rFonts w:ascii="宋体" w:eastAsia="宋体" w:hAnsi="宋体" w:cs="宋体"/>
          <w:color w:val="000000"/>
        </w:rPr>
        <w:t>，说出山前倾斜平原上天然绿洲的分布特点</w:t>
      </w:r>
      <w:r>
        <w:rPr>
          <w:color w:val="000000"/>
        </w:rPr>
        <w:t>____</w:t>
      </w:r>
      <w:r>
        <w:rPr>
          <w:rFonts w:ascii="宋体" w:eastAsia="宋体" w:hAnsi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指出人工绿洲土壤易受侵蚀的主要自然条件。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简析山前倾斜平原上、中、下部分别开垦农用地的适宜性。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分析影响人工绿洲扩展速度和方向的人类活动。</w:t>
      </w:r>
      <w:r>
        <w:rPr>
          <w:color w:val="000000"/>
        </w:rPr>
        <w:br w:type="page"/>
      </w:r>
    </w:p>
    <w:sectPr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910" w:right="1080" w:bottom="1440" w:left="1080" w:header="152" w:footer="0" w:gutter="0"/>
      <w:cols w:num="1" w:space="720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framePr w:wrap="around" w:vAnchor="text" w:hAnchor="margin" w:xAlign="right" w:y="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8" w:space="0" w:color="auto"/>
      </w:pBdr>
      <w:spacing w:after="0" w:afterLines="0"/>
      <w:rPr>
        <w:rFonts w:eastAsia="宋体" w:hint="eastAsia"/>
        <w:lang w:eastAsia="zh-CN"/>
      </w:rPr>
    </w:pPr>
    <w:r>
      <w:rPr>
        <w:rStyle w:val="PageNumber"/>
        <w:rFonts w:eastAsia="宋体" w:hint="eastAsia"/>
        <w:lang w:eastAsia="zh-CN"/>
      </w:rPr>
      <w:fldChar w:fldCharType="begin"/>
    </w:r>
    <w:r>
      <w:rPr>
        <w:rStyle w:val="PageNumber"/>
        <w:rFonts w:eastAsia="宋体" w:hint="eastAsia"/>
        <w:lang w:eastAsia="zh-CN"/>
      </w:rPr>
      <w:instrText xml:space="preserve"> PAGE </w:instrText>
    </w:r>
    <w:r>
      <w:rPr>
        <w:rStyle w:val="PageNumber"/>
        <w:rFonts w:eastAsia="宋体" w:hint="eastAsia"/>
        <w:lang w:eastAsia="zh-CN"/>
      </w:rPr>
      <w:fldChar w:fldCharType="separate"/>
    </w:r>
    <w:r>
      <w:rPr>
        <w:rStyle w:val="PageNumber"/>
        <w:rFonts w:eastAsia="宋体" w:hint="eastAsia"/>
        <w:lang w:eastAsia="zh-CN"/>
      </w:rPr>
      <w:t>1</w:t>
    </w:r>
    <w:r>
      <w:rPr>
        <w:rStyle w:val="PageNumber"/>
        <w:rFonts w:eastAsia="宋体" w:hint="eastAsia"/>
        <w:lang w:eastAsia="zh-CN"/>
      </w:rPr>
      <w:fldChar w:fldCharType="end"/>
    </w:r>
    <w:bookmarkStart w:id="0" w:name="_GoBack"/>
    <w:bookmarkEnd w:id="0"/>
  </w:p>
  <w:p>
    <w:pPr>
      <w:pStyle w:val="Footer"/>
      <w:ind w:right="360"/>
      <w:rPr>
        <w:rFonts w:eastAsia="宋体" w:hint="eastAsia"/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jc w:val="left"/>
      <w:rPr>
        <w:sz w:val="20"/>
      </w:rPr>
    </w:pPr>
    <w:r>
      <w:rPr>
        <w:sz w:val="20"/>
      </w:rPr>
      <w:t>2024高考模拟卷、网课、资料联系微信：gaokao2888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72267F05"/>
    <w:rsid w:val="74C3102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EastAsia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uiPriority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semiHidden="0" w:uiPriority="0" w:unhideWhenUsed="0"/>
    <w:lsdException w:name="Table Subtle 2" w:uiPriority="0"/>
    <w:lsdException w:name="Table Web 1" w:uiPriority="0"/>
    <w:lsdException w:name="Table Web 2" w:semiHidden="0" w:uiPriority="0" w:unhideWhenUsed="0"/>
    <w:lsdException w:name="Table Web 3" w:semiHidden="0" w:uiPriority="0" w:unhideWhenUsed="0"/>
    <w:lsdException w:name="Balloon Text" w:uiPriority="0"/>
    <w:lsdException w:name="Table Grid" w:semiHidden="0" w:uiPriority="0" w:unhideWhenUsed="0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宋体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a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wmf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wmf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footer" Target="footer1.xml" /><Relationship Id="rId35" Type="http://schemas.openxmlformats.org/officeDocument/2006/relationships/footer" Target="footer2.xml" /><Relationship Id="rId36" Type="http://schemas.openxmlformats.org/officeDocument/2006/relationships/header" Target="header1.xml" /><Relationship Id="rId37" Type="http://schemas.openxmlformats.org/officeDocument/2006/relationships/footer" Target="footer3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3262891809488896</dc:description>
  <cp:lastModifiedBy>AA食来运转美食店洪丽</cp:lastModifiedBy>
  <cp:revision>8</cp:revision>
  <dcterms:created xsi:type="dcterms:W3CDTF">2023-06-23T08:10:00Z</dcterms:created>
  <dcterms:modified xsi:type="dcterms:W3CDTF">2023-06-23T15:21:15Z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ICV">
    <vt:lpwstr>8B96AC05169F4D6F8A24CE5A83783661_12</vt:lpwstr>
  </property>
  <property fmtid="{D5CDD505-2E9C-101B-9397-08002B2CF9AE}" pid="7" name="KSOProductBuildVer">
    <vt:lpwstr>2052-11.1.0.14309</vt:lpwstr>
  </property>
</Properties>
</file>