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B9A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120" w:afterAutospacing="0" w:line="26" w:lineRule="atLeast"/>
        <w:ind w:left="0" w:right="0" w:firstLine="0"/>
        <w:jc w:val="center"/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bookmarkStart w:id="0" w:name="_GoBack"/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eastAsia="zh-CN"/>
        </w:rPr>
        <w:t>“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一带一路</w:t>
      </w:r>
      <w:r>
        <w:rPr>
          <w:rStyle w:val="6"/>
          <w:rFonts w:hint="eastAsia" w:asciiTheme="minorEastAsia" w:hAnsiTheme="minorEastAsia" w:cstheme="minorEastAsia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eastAsia="zh-CN"/>
        </w:rPr>
        <w:t>”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国际教育联盟</w:t>
      </w: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组织架构</w:t>
      </w:r>
    </w:p>
    <w:bookmarkEnd w:id="0"/>
    <w:p w14:paraId="33C47B88">
      <w:pPr>
        <w:rPr>
          <w:rFonts w:hint="default"/>
          <w:lang w:val="en-US" w:eastAsia="zh-CN"/>
        </w:rPr>
      </w:pPr>
    </w:p>
    <w:p w14:paraId="2919BF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120" w:afterAutospacing="0" w:line="26" w:lineRule="atLeast"/>
        <w:ind w:left="0" w:right="0" w:firstLine="0"/>
        <w:rPr>
          <w:rFonts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一、联盟最高决策机构</w:t>
      </w:r>
    </w:p>
    <w:p w14:paraId="7198724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1. 全体成员大会</w:t>
      </w:r>
    </w:p>
    <w:p w14:paraId="0DE4E86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组成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：由所有省市县联盟服务中心及其他成员单位（如高校、研究机构、企业等）的代表组成。</w:t>
      </w:r>
    </w:p>
    <w:p w14:paraId="30FCE3B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职责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：制定和修改联盟章程；审议和批准联盟的工作计划、年度预算和财务报告；选举和罢免联盟理事会成员；决定联盟的重大事项等。</w:t>
      </w:r>
    </w:p>
    <w:p w14:paraId="0DE5FA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120" w:afterAutospacing="0" w:line="26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二、联盟执行机构</w:t>
      </w:r>
    </w:p>
    <w:p w14:paraId="546AFE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2. 联盟理事会</w:t>
      </w:r>
    </w:p>
    <w:p w14:paraId="02C980D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组成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：由全体成员大会选举产生的理事组成，包括理事长、副理事长和若干理事。理事应具备广泛的代表性，能够反映不同领域、不同地区的利益。</w:t>
      </w:r>
    </w:p>
    <w:p w14:paraId="5E56109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职责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：执行全体成员大会的决议；制定和实施联盟的工作计划；管理联盟的财务和资产；决定联盟的日常事务；提名和推荐联盟的重要人选等。</w:t>
      </w:r>
    </w:p>
    <w:p w14:paraId="71D3C7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120" w:afterAutospacing="0" w:line="26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三、联盟日常管理机构</w:t>
      </w:r>
    </w:p>
    <w:p w14:paraId="6DDEAD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3. 秘书处</w:t>
      </w:r>
    </w:p>
    <w:p w14:paraId="4BA0BFE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组成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：由秘书长领导，下设若干部门（如行政部、财务部、项目部、宣传部等），负责联盟的日常运营和管理。</w:t>
      </w:r>
    </w:p>
    <w:p w14:paraId="1AE56662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职责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：负责全体成员大会和理事会的筹备和会务工作；执行理事会的决议；管理联盟的财务和资产；组织和协调联盟的各项活动；对外宣传和推广联盟的品牌形象等。</w:t>
      </w:r>
    </w:p>
    <w:p w14:paraId="218D37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120" w:afterAutospacing="0" w:line="26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四、专项工作组或委员会</w:t>
      </w:r>
    </w:p>
    <w:p w14:paraId="4B46BE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4. 专项工作组/委员会</w:t>
      </w:r>
    </w:p>
    <w:p w14:paraId="7196A922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设立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：根据联盟的工作需要，可以设立若干专项工作组或委员会，如国际合作委员会、教育资源共享委员会、师资培训委员会等。</w:t>
      </w:r>
    </w:p>
    <w:p w14:paraId="059154EB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组成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：由相关领域的专家、学者和代表组成，负责具体领域的合作与研究。</w:t>
      </w:r>
    </w:p>
    <w:p w14:paraId="489520F6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职责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：在理事会的指导下，开展专项领域的合作与研究；提出政策建议和实施方案；协调成员单位之间的合作与交流等。</w:t>
      </w:r>
    </w:p>
    <w:p w14:paraId="608598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120" w:afterAutospacing="0" w:line="26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五、地方分支机构</w:t>
      </w:r>
    </w:p>
    <w:p w14:paraId="6ECD9EF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5. 省市县联盟服务中心</w:t>
      </w:r>
    </w:p>
    <w:p w14:paraId="7FFFF1FB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地位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：作为联盟在地方层面的代表和执行机构，负责在本地区域内推广和实施联盟的各项政策与活动。</w:t>
      </w:r>
    </w:p>
    <w:p w14:paraId="38EFF790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职责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：组织本地区域内的成员单位参与联盟活动；协调本地区域内的教育资源共享与合作；推动本地区域内的教育国际化进程等。</w:t>
      </w:r>
    </w:p>
    <w:p w14:paraId="42F1EB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120" w:afterAutospacing="0" w:line="26" w:lineRule="atLeast"/>
        <w:ind w:left="0" w:right="0" w:firstLine="0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30"/>
          <w:szCs w:val="30"/>
          <w:bdr w:val="none" w:color="auto" w:sz="0" w:space="0"/>
          <w:shd w:val="clear" w:fill="FDFDFE"/>
        </w:rPr>
        <w:t>六、外部合作机构</w:t>
      </w:r>
    </w:p>
    <w:p w14:paraId="526F17F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6. 合作伙伴网络</w:t>
      </w:r>
    </w:p>
    <w:p w14:paraId="2063A90D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组成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：包括国内外的高等教育机构、研究机构、企业、国际组织等，与联盟有共同利益和目标，愿意与联盟开展合作。</w:t>
      </w:r>
    </w:p>
    <w:p w14:paraId="6091B2FA"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0" w:right="0" w:hanging="36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职责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shd w:val="clear" w:fill="FDFDFE"/>
        </w:rPr>
        <w:t>：与联盟共同开展教育国际合作与交流项目；为联盟提供政策咨询、技术支持和资金援助等；参与联盟组织的各项活动并分享成果等。</w:t>
      </w:r>
    </w:p>
    <w:p w14:paraId="509628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DDD67"/>
    <w:multiLevelType w:val="multilevel"/>
    <w:tmpl w:val="955DDD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4DA2845"/>
    <w:multiLevelType w:val="multilevel"/>
    <w:tmpl w:val="C4DA284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F782F38A"/>
    <w:multiLevelType w:val="multilevel"/>
    <w:tmpl w:val="F782F38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06BE31B7"/>
    <w:multiLevelType w:val="multilevel"/>
    <w:tmpl w:val="06BE31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27AE99F3"/>
    <w:multiLevelType w:val="multilevel"/>
    <w:tmpl w:val="27AE99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69961275"/>
    <w:multiLevelType w:val="multilevel"/>
    <w:tmpl w:val="699612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YTdkM2NlZjk0ZTM5NzhmNjgxYmE5N2M4MzQwMzAifQ=="/>
  </w:docVars>
  <w:rsids>
    <w:rsidRoot w:val="14366361"/>
    <w:rsid w:val="143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2024-08-05T03:09:00Z</dcterms:created>
  <dc:creator>廖老师</dc:creator>
  <cp:lastModifiedBy>廖老师</cp:lastModifiedBy>
  <dcterms:modified xsi:type="dcterms:W3CDTF">2024-08-05T03:12:17Z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AC71917C4B3F42DFA99B02963C808A8E_11</vt:lpwstr>
  </property>
</Properties>
</file>