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A9736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  <w:t>Listed Company Information</w:t>
      </w:r>
    </w:p>
    <w:p w14:paraId="02A21442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1DC4C4FC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EXCHANGE NOTICE - TRADING HALT</w:t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Trading in the shares (stock code: 00007) of Hoifu Energy Group Limited will be halted at 9:00 a.m. today (21/3/2018).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4D0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24</Characters>
  <Lines>0</Lines>
  <Paragraphs>0</Paragraphs>
  <TotalTime>0</TotalTime>
  <ScaleCrop>false</ScaleCrop>
  <LinksUpToDate>false</LinksUpToDate>
  <CharactersWithSpaces>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2024-09-30T02:41:45Z</dcterms:created>
  <dc:creator>MI</dc:creator>
  <cp:lastModifiedBy>A</cp:lastModifiedBy>
  <dcterms:modified xsi:type="dcterms:W3CDTF">2024-09-30T02:42:01Z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323CDD03492B402A8DA74FF3C3AA58F4_12</vt:lpwstr>
  </property>
</Properties>
</file>