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3E1" w:rsidRDefault="003563E1">
      <w:pPr>
        <w:snapToGrid w:val="0"/>
        <w:spacing w:line="360" w:lineRule="auto"/>
        <w:jc w:val="center"/>
      </w:pPr>
    </w:p>
    <w:p w:rsidR="003563E1" w:rsidRDefault="003563E1">
      <w:pPr>
        <w:snapToGrid w:val="0"/>
        <w:spacing w:line="360" w:lineRule="auto"/>
        <w:jc w:val="center"/>
      </w:pPr>
    </w:p>
    <w:p w:rsidR="003563E1" w:rsidRDefault="003563E1">
      <w:pPr>
        <w:snapToGrid w:val="0"/>
        <w:spacing w:line="360" w:lineRule="auto"/>
        <w:jc w:val="center"/>
      </w:pPr>
    </w:p>
    <w:p w:rsidR="003563E1" w:rsidRDefault="003563E1">
      <w:pPr>
        <w:snapToGrid w:val="0"/>
        <w:spacing w:line="360" w:lineRule="auto"/>
        <w:jc w:val="center"/>
      </w:pPr>
    </w:p>
    <w:p w:rsidR="003563E1" w:rsidRDefault="003563E1">
      <w:pPr>
        <w:snapToGrid w:val="0"/>
        <w:spacing w:line="360" w:lineRule="auto"/>
        <w:jc w:val="center"/>
      </w:pPr>
    </w:p>
    <w:p w:rsidR="003563E1" w:rsidRDefault="00FB5655">
      <w:pPr>
        <w:snapToGrid w:val="0"/>
        <w:spacing w:line="360" w:lineRule="auto"/>
        <w:jc w:val="center"/>
        <w:rPr>
          <w:rFonts w:ascii="黑体" w:eastAsia="黑体" w:hAnsi="宋体"/>
          <w:sz w:val="48"/>
          <w:szCs w:val="48"/>
        </w:rPr>
      </w:pPr>
      <w:r>
        <w:rPr>
          <w:rFonts w:ascii="黑体" w:eastAsia="黑体" w:hAnsi="宋体" w:hint="eastAsia"/>
          <w:sz w:val="48"/>
          <w:szCs w:val="48"/>
        </w:rPr>
        <w:t>杭州市民用建筑工程设计方案</w:t>
      </w:r>
    </w:p>
    <w:p w:rsidR="003563E1" w:rsidRDefault="00FB5655">
      <w:pPr>
        <w:snapToGrid w:val="0"/>
        <w:spacing w:line="360" w:lineRule="auto"/>
        <w:jc w:val="center"/>
        <w:rPr>
          <w:rFonts w:ascii="黑体" w:eastAsia="黑体" w:hAnsi="宋体"/>
          <w:sz w:val="48"/>
          <w:szCs w:val="48"/>
        </w:rPr>
      </w:pPr>
      <w:r>
        <w:rPr>
          <w:rFonts w:ascii="黑体" w:eastAsia="黑体" w:hAnsi="宋体" w:hint="eastAsia"/>
          <w:sz w:val="48"/>
          <w:szCs w:val="48"/>
        </w:rPr>
        <w:t>“绿色建筑与节能设计”专篇设计内容与自审审查要点（2022版）</w:t>
      </w:r>
    </w:p>
    <w:p w:rsidR="003563E1" w:rsidRDefault="003563E1">
      <w:pPr>
        <w:snapToGrid w:val="0"/>
        <w:spacing w:line="360" w:lineRule="auto"/>
        <w:jc w:val="center"/>
        <w:rPr>
          <w:rFonts w:ascii="黑体" w:eastAsia="黑体" w:hAnsi="宋体"/>
          <w:sz w:val="48"/>
          <w:szCs w:val="48"/>
        </w:rPr>
      </w:pPr>
    </w:p>
    <w:p w:rsidR="003563E1" w:rsidRDefault="003563E1">
      <w:pPr>
        <w:snapToGrid w:val="0"/>
        <w:spacing w:line="360" w:lineRule="auto"/>
        <w:jc w:val="center"/>
        <w:rPr>
          <w:rFonts w:ascii="黑体" w:eastAsia="黑体" w:hAnsi="宋体"/>
          <w:sz w:val="48"/>
          <w:szCs w:val="48"/>
        </w:rPr>
      </w:pPr>
    </w:p>
    <w:p w:rsidR="003563E1" w:rsidRDefault="003563E1">
      <w:pPr>
        <w:snapToGrid w:val="0"/>
        <w:spacing w:line="360" w:lineRule="auto"/>
        <w:jc w:val="center"/>
        <w:rPr>
          <w:rFonts w:ascii="黑体" w:eastAsia="黑体" w:hAnsi="宋体"/>
          <w:sz w:val="48"/>
          <w:szCs w:val="48"/>
        </w:rPr>
      </w:pPr>
    </w:p>
    <w:p w:rsidR="003563E1" w:rsidRDefault="003563E1">
      <w:pPr>
        <w:snapToGrid w:val="0"/>
        <w:spacing w:line="360" w:lineRule="auto"/>
        <w:jc w:val="center"/>
        <w:rPr>
          <w:rFonts w:ascii="黑体" w:eastAsia="黑体" w:hAnsi="宋体"/>
          <w:sz w:val="48"/>
          <w:szCs w:val="48"/>
        </w:rPr>
      </w:pPr>
    </w:p>
    <w:p w:rsidR="003563E1" w:rsidRDefault="003563E1">
      <w:pPr>
        <w:snapToGrid w:val="0"/>
        <w:spacing w:line="360" w:lineRule="auto"/>
        <w:rPr>
          <w:rFonts w:ascii="黑体" w:eastAsia="黑体" w:hAnsi="宋体"/>
          <w:sz w:val="48"/>
          <w:szCs w:val="48"/>
        </w:rPr>
      </w:pPr>
    </w:p>
    <w:p w:rsidR="003563E1" w:rsidRDefault="00FB5655">
      <w:pPr>
        <w:snapToGrid w:val="0"/>
        <w:spacing w:line="360" w:lineRule="auto"/>
        <w:jc w:val="center"/>
        <w:rPr>
          <w:rFonts w:ascii="黑体" w:eastAsia="黑体" w:hAnsi="宋体"/>
          <w:sz w:val="36"/>
          <w:szCs w:val="36"/>
        </w:rPr>
      </w:pPr>
      <w:r>
        <w:rPr>
          <w:rFonts w:ascii="黑体" w:eastAsia="黑体" w:hAnsi="宋体" w:hint="eastAsia"/>
          <w:sz w:val="36"/>
          <w:szCs w:val="36"/>
        </w:rPr>
        <w:t>杭州市城乡建设委员会</w:t>
      </w:r>
    </w:p>
    <w:p w:rsidR="003563E1" w:rsidRDefault="00FB5655">
      <w:pPr>
        <w:snapToGrid w:val="0"/>
        <w:spacing w:line="360" w:lineRule="auto"/>
        <w:jc w:val="center"/>
        <w:rPr>
          <w:rFonts w:ascii="黑体" w:eastAsia="黑体" w:hAnsi="宋体"/>
          <w:sz w:val="36"/>
          <w:szCs w:val="36"/>
        </w:rPr>
      </w:pPr>
      <w:r>
        <w:rPr>
          <w:rFonts w:ascii="黑体" w:eastAsia="黑体" w:hAnsi="宋体" w:hint="eastAsia"/>
          <w:sz w:val="36"/>
          <w:szCs w:val="36"/>
        </w:rPr>
        <w:t>2022年8月</w:t>
      </w:r>
    </w:p>
    <w:p w:rsidR="003563E1" w:rsidRDefault="003563E1">
      <w:pPr>
        <w:snapToGrid w:val="0"/>
        <w:spacing w:line="360" w:lineRule="auto"/>
        <w:jc w:val="center"/>
        <w:rPr>
          <w:rFonts w:ascii="黑体" w:eastAsia="黑体" w:hAnsi="宋体"/>
          <w:sz w:val="36"/>
          <w:szCs w:val="36"/>
        </w:rPr>
      </w:pPr>
    </w:p>
    <w:p w:rsidR="003563E1" w:rsidRDefault="003563E1">
      <w:pPr>
        <w:snapToGrid w:val="0"/>
        <w:spacing w:line="360" w:lineRule="auto"/>
        <w:jc w:val="center"/>
        <w:rPr>
          <w:rFonts w:ascii="黑体" w:eastAsia="黑体" w:hAnsi="宋体"/>
          <w:sz w:val="36"/>
          <w:szCs w:val="36"/>
        </w:rPr>
      </w:pPr>
    </w:p>
    <w:p w:rsidR="003563E1" w:rsidRDefault="003563E1">
      <w:pPr>
        <w:pStyle w:val="ae"/>
        <w:widowControl/>
        <w:spacing w:before="0" w:beforeAutospacing="0" w:after="0" w:afterAutospacing="0" w:line="315" w:lineRule="atLeast"/>
        <w:jc w:val="center"/>
        <w:rPr>
          <w:rFonts w:ascii="黑体" w:eastAsia="黑体" w:hAnsi="宋体" w:cs="黑体"/>
          <w:color w:val="333333"/>
          <w:sz w:val="36"/>
          <w:szCs w:val="36"/>
        </w:rPr>
        <w:sectPr w:rsidR="003563E1">
          <w:headerReference w:type="default" r:id="rId7"/>
          <w:footerReference w:type="default" r:id="rId8"/>
          <w:pgSz w:w="11906" w:h="16838"/>
          <w:pgMar w:top="1440" w:right="1800" w:bottom="1440" w:left="1800" w:header="851" w:footer="992" w:gutter="0"/>
          <w:pgNumType w:fmt="numberInDash"/>
          <w:cols w:space="425"/>
          <w:docGrid w:type="lines" w:linePitch="312"/>
        </w:sectPr>
      </w:pPr>
    </w:p>
    <w:p w:rsidR="003563E1" w:rsidRDefault="00FB5655" w:rsidP="008E445F">
      <w:pPr>
        <w:pStyle w:val="ae"/>
        <w:widowControl/>
        <w:spacing w:before="0" w:beforeAutospacing="0" w:after="0" w:afterAutospacing="0" w:line="360" w:lineRule="auto"/>
        <w:jc w:val="center"/>
      </w:pPr>
      <w:r>
        <w:rPr>
          <w:rFonts w:ascii="黑体" w:eastAsia="黑体" w:hAnsi="宋体" w:cs="黑体" w:hint="eastAsia"/>
          <w:color w:val="333333"/>
          <w:sz w:val="36"/>
          <w:szCs w:val="36"/>
        </w:rPr>
        <w:lastRenderedPageBreak/>
        <w:t>前</w:t>
      </w:r>
      <w:r w:rsidR="008E445F">
        <w:rPr>
          <w:rFonts w:ascii="黑体" w:eastAsia="黑体" w:hAnsi="宋体" w:cs="黑体" w:hint="eastAsia"/>
          <w:color w:val="333333"/>
          <w:sz w:val="36"/>
          <w:szCs w:val="36"/>
        </w:rPr>
        <w:t xml:space="preserve"> </w:t>
      </w:r>
      <w:r>
        <w:rPr>
          <w:rFonts w:ascii="黑体" w:eastAsia="黑体" w:hAnsi="宋体" w:cs="黑体" w:hint="eastAsia"/>
          <w:color w:val="333333"/>
          <w:sz w:val="36"/>
          <w:szCs w:val="36"/>
        </w:rPr>
        <w:t>言</w:t>
      </w:r>
    </w:p>
    <w:p w:rsidR="003563E1" w:rsidRDefault="00FB5655" w:rsidP="008E445F">
      <w:pPr>
        <w:pStyle w:val="ae"/>
        <w:widowControl/>
        <w:snapToGrid w:val="0"/>
        <w:spacing w:before="0" w:beforeAutospacing="0" w:after="0" w:afterAutospacing="0" w:line="360" w:lineRule="auto"/>
        <w:ind w:firstLineChars="200" w:firstLine="480"/>
        <w:rPr>
          <w:rFonts w:ascii="宋体" w:eastAsia="宋体" w:hAnsi="宋体" w:cs="宋体"/>
        </w:rPr>
      </w:pPr>
      <w:r>
        <w:rPr>
          <w:rFonts w:ascii="宋体" w:eastAsia="宋体" w:hAnsi="宋体" w:cs="宋体" w:hint="eastAsia"/>
          <w:color w:val="333333"/>
        </w:rPr>
        <w:t>为贯彻落实国家、浙江省和杭州市碳达峰碳中和决策部署，促进我市绿色建筑高质量发展、提升建筑能效水平、降低建筑运行能耗及碳排放，规范我市绿色建筑与节能设计的管理和控制，根据《国务院办公厅关于开展工程建设项目审批制度改革试点的通知》（国办发</w:t>
      </w:r>
      <w:r>
        <w:rPr>
          <w:rFonts w:ascii="仿宋_GB2312" w:eastAsia="仿宋_GB2312" w:hAnsi="仿宋_GB2312" w:cs="仿宋_GB2312" w:hint="eastAsia"/>
        </w:rPr>
        <w:t>〔</w:t>
      </w:r>
      <w:r>
        <w:rPr>
          <w:rFonts w:ascii="宋体" w:eastAsia="宋体" w:hAnsi="宋体" w:cs="宋体" w:hint="eastAsia"/>
          <w:color w:val="333333"/>
        </w:rPr>
        <w:t>2018</w:t>
      </w:r>
      <w:r>
        <w:rPr>
          <w:rFonts w:ascii="仿宋_GB2312" w:eastAsia="仿宋_GB2312" w:hAnsi="仿宋_GB2312" w:cs="仿宋_GB2312" w:hint="eastAsia"/>
        </w:rPr>
        <w:t>〕</w:t>
      </w:r>
      <w:r>
        <w:rPr>
          <w:rFonts w:ascii="宋体" w:eastAsia="宋体" w:hAnsi="宋体" w:cs="宋体" w:hint="eastAsia"/>
          <w:color w:val="333333"/>
        </w:rPr>
        <w:t>33号）、《浙江省人民政府办公厅关于印发浙江省工程建设项目审批制度改革试点工作实施方案的通知》（浙政办</w:t>
      </w:r>
      <w:r>
        <w:rPr>
          <w:rFonts w:ascii="仿宋_GB2312" w:eastAsia="仿宋_GB2312" w:hAnsi="仿宋_GB2312" w:cs="仿宋_GB2312" w:hint="eastAsia"/>
        </w:rPr>
        <w:t>〔</w:t>
      </w:r>
      <w:r>
        <w:rPr>
          <w:rFonts w:ascii="宋体" w:eastAsia="宋体" w:hAnsi="宋体" w:cs="宋体" w:hint="eastAsia"/>
          <w:color w:val="333333"/>
        </w:rPr>
        <w:t>2018</w:t>
      </w:r>
      <w:r>
        <w:rPr>
          <w:rFonts w:ascii="仿宋_GB2312" w:eastAsia="仿宋_GB2312" w:hAnsi="仿宋_GB2312" w:cs="仿宋_GB2312" w:hint="eastAsia"/>
        </w:rPr>
        <w:t>〕</w:t>
      </w:r>
      <w:r>
        <w:rPr>
          <w:rFonts w:ascii="宋体" w:eastAsia="宋体" w:hAnsi="宋体" w:cs="宋体" w:hint="eastAsia"/>
          <w:color w:val="333333"/>
        </w:rPr>
        <w:t>81号）、《杭州市工程建设项目审批制度改革试点实施方案》（杭政办函</w:t>
      </w:r>
      <w:r>
        <w:rPr>
          <w:rFonts w:ascii="仿宋_GB2312" w:eastAsia="仿宋_GB2312" w:hAnsi="仿宋_GB2312" w:cs="仿宋_GB2312" w:hint="eastAsia"/>
        </w:rPr>
        <w:t>〔</w:t>
      </w:r>
      <w:r>
        <w:rPr>
          <w:rFonts w:ascii="宋体" w:eastAsia="宋体" w:hAnsi="宋体" w:cs="宋体" w:hint="eastAsia"/>
          <w:color w:val="333333"/>
        </w:rPr>
        <w:t>2018</w:t>
      </w:r>
      <w:r>
        <w:rPr>
          <w:rFonts w:ascii="仿宋_GB2312" w:eastAsia="仿宋_GB2312" w:hAnsi="仿宋_GB2312" w:cs="仿宋_GB2312" w:hint="eastAsia"/>
        </w:rPr>
        <w:t>〕</w:t>
      </w:r>
      <w:r>
        <w:rPr>
          <w:rFonts w:ascii="宋体" w:eastAsia="宋体" w:hAnsi="宋体" w:cs="宋体" w:hint="eastAsia"/>
          <w:color w:val="333333"/>
        </w:rPr>
        <w:t>111号）、《关于进一步完善杭州市民用建筑节能审查工作的实施意见》（杭建审改办</w:t>
      </w:r>
      <w:r>
        <w:rPr>
          <w:rFonts w:ascii="仿宋_GB2312" w:eastAsia="仿宋_GB2312" w:hAnsi="仿宋_GB2312" w:cs="仿宋_GB2312" w:hint="eastAsia"/>
        </w:rPr>
        <w:t>〔</w:t>
      </w:r>
      <w:r>
        <w:rPr>
          <w:rFonts w:ascii="宋体" w:eastAsia="宋体" w:hAnsi="宋体" w:cs="宋体" w:hint="eastAsia"/>
          <w:color w:val="333333"/>
        </w:rPr>
        <w:t>2018</w:t>
      </w:r>
      <w:r>
        <w:rPr>
          <w:rFonts w:ascii="仿宋_GB2312" w:eastAsia="仿宋_GB2312" w:hAnsi="仿宋_GB2312" w:cs="仿宋_GB2312" w:hint="eastAsia"/>
        </w:rPr>
        <w:t>〕</w:t>
      </w:r>
      <w:r>
        <w:rPr>
          <w:rFonts w:ascii="宋体" w:eastAsia="宋体" w:hAnsi="宋体" w:cs="宋体" w:hint="eastAsia"/>
          <w:color w:val="333333"/>
        </w:rPr>
        <w:t>4号）等有关规定，受杭州市城乡建设委员会委托，浙江大学建筑设计研究院有限公司通过对国家及浙江省绿色建筑及节能评估相关政策和标准规范的研究分析，结合绿色建筑咨询与节能评估工作实践，对《绿色建筑评价标准》</w:t>
      </w:r>
      <w:r>
        <w:rPr>
          <w:rFonts w:ascii="宋体" w:hAnsi="宋体" w:cs="宋体" w:hint="eastAsia"/>
          <w:color w:val="333333"/>
        </w:rPr>
        <w:t>（</w:t>
      </w:r>
      <w:r>
        <w:rPr>
          <w:rFonts w:ascii="宋体" w:eastAsia="宋体" w:hAnsi="宋体" w:cs="宋体" w:hint="eastAsia"/>
          <w:color w:val="333333"/>
        </w:rPr>
        <w:t>GB/T50378-2019</w:t>
      </w:r>
      <w:r>
        <w:rPr>
          <w:rFonts w:ascii="宋体" w:hAnsi="宋体" w:cs="宋体" w:hint="eastAsia"/>
          <w:color w:val="333333"/>
        </w:rPr>
        <w:t>）</w:t>
      </w:r>
      <w:r>
        <w:rPr>
          <w:rFonts w:ascii="宋体" w:eastAsia="宋体" w:hAnsi="宋体" w:cs="宋体" w:hint="eastAsia"/>
          <w:color w:val="333333"/>
        </w:rPr>
        <w:t>、浙江省《绿色建筑设计标准》</w:t>
      </w:r>
      <w:r>
        <w:rPr>
          <w:rFonts w:ascii="宋体" w:hAnsi="宋体" w:cs="宋体" w:hint="eastAsia"/>
          <w:color w:val="333333"/>
        </w:rPr>
        <w:t>（</w:t>
      </w:r>
      <w:r>
        <w:rPr>
          <w:rFonts w:ascii="宋体" w:eastAsia="宋体" w:hAnsi="宋体" w:cs="宋体" w:hint="eastAsia"/>
          <w:color w:val="333333"/>
        </w:rPr>
        <w:t>DB33/1092-2021</w:t>
      </w:r>
      <w:r>
        <w:rPr>
          <w:rFonts w:ascii="宋体" w:hAnsi="宋体" w:cs="宋体" w:hint="eastAsia"/>
          <w:color w:val="333333"/>
        </w:rPr>
        <w:t>）</w:t>
      </w:r>
      <w:r>
        <w:rPr>
          <w:rFonts w:ascii="宋体" w:eastAsia="宋体" w:hAnsi="宋体" w:cs="宋体" w:hint="eastAsia"/>
          <w:color w:val="333333"/>
        </w:rPr>
        <w:t>中重点条文的技术要点进行对照梳理，对杭州市民用建筑建设工程设计</w:t>
      </w:r>
      <w:r w:rsidRPr="008E445F">
        <w:rPr>
          <w:rFonts w:ascii="宋体" w:eastAsia="宋体" w:hAnsi="宋体" w:cs="宋体" w:hint="eastAsia"/>
          <w:color w:val="FF0000"/>
        </w:rPr>
        <w:t>方案或初步设计联审</w:t>
      </w:r>
      <w:r>
        <w:rPr>
          <w:rFonts w:ascii="宋体" w:eastAsia="宋体" w:hAnsi="宋体" w:cs="宋体" w:hint="eastAsia"/>
          <w:color w:val="333333"/>
        </w:rPr>
        <w:t>阶段中设计内容及自审审查要点予以明确。</w:t>
      </w:r>
    </w:p>
    <w:p w:rsidR="003563E1" w:rsidRDefault="00FB5655" w:rsidP="008E445F">
      <w:pPr>
        <w:pStyle w:val="ae"/>
        <w:widowControl/>
        <w:snapToGrid w:val="0"/>
        <w:spacing w:before="0" w:beforeAutospacing="0" w:after="0" w:afterAutospacing="0" w:line="360" w:lineRule="auto"/>
        <w:ind w:firstLine="425"/>
        <w:rPr>
          <w:rFonts w:ascii="宋体" w:eastAsia="宋体" w:hAnsi="宋体" w:cs="宋体"/>
        </w:rPr>
      </w:pPr>
      <w:r>
        <w:rPr>
          <w:rFonts w:ascii="宋体" w:eastAsia="宋体" w:hAnsi="宋体" w:cs="宋体" w:hint="eastAsia"/>
          <w:color w:val="333333"/>
        </w:rPr>
        <w:t>《杭州市民用建筑工程设计方案“绿色建筑与节能设计”专篇设计内容与自审审查要点》</w:t>
      </w:r>
      <w:r>
        <w:rPr>
          <w:rFonts w:ascii="宋体" w:hAnsi="宋体" w:cs="宋体" w:hint="eastAsia"/>
          <w:color w:val="333333"/>
        </w:rPr>
        <w:t>（2022版）</w:t>
      </w:r>
      <w:r>
        <w:rPr>
          <w:rFonts w:ascii="宋体" w:eastAsia="宋体" w:hAnsi="宋体" w:cs="宋体" w:hint="eastAsia"/>
          <w:color w:val="333333"/>
        </w:rPr>
        <w:t>的内容包括：总则、设计内容与自审审查要点表。</w:t>
      </w:r>
    </w:p>
    <w:p w:rsidR="003563E1" w:rsidRDefault="00FB5655" w:rsidP="008E445F">
      <w:pPr>
        <w:pStyle w:val="ae"/>
        <w:widowControl/>
        <w:snapToGrid w:val="0"/>
        <w:spacing w:before="0" w:beforeAutospacing="0" w:after="0" w:afterAutospacing="0" w:line="360" w:lineRule="auto"/>
        <w:ind w:firstLineChars="200" w:firstLine="480"/>
        <w:rPr>
          <w:rFonts w:ascii="宋体" w:eastAsia="宋体" w:hAnsi="宋体" w:cs="宋体"/>
        </w:rPr>
      </w:pPr>
      <w:r>
        <w:rPr>
          <w:rFonts w:ascii="宋体" w:eastAsia="宋体" w:hAnsi="宋体" w:cs="宋体" w:hint="eastAsia"/>
          <w:color w:val="333333"/>
        </w:rPr>
        <w:t>设计内容与自审审查要点表按一般性内容与设计文件内容列出。设计文件内容包括建筑、结构、暖通空调用能设备系统、电气与智能化、给排水、可再生能源以及数值模拟。对于初步设计阶段额外需要的设计内容与自审审查要点，在表中的备注栏列出。</w:t>
      </w:r>
    </w:p>
    <w:p w:rsidR="003563E1" w:rsidRDefault="00FB5655" w:rsidP="008E445F">
      <w:pPr>
        <w:pStyle w:val="ae"/>
        <w:widowControl/>
        <w:snapToGrid w:val="0"/>
        <w:spacing w:before="0" w:beforeAutospacing="0" w:after="0" w:afterAutospacing="0" w:line="360" w:lineRule="auto"/>
        <w:ind w:firstLineChars="200" w:firstLine="480"/>
        <w:rPr>
          <w:rFonts w:ascii="宋体" w:eastAsia="宋体" w:hAnsi="宋体" w:cs="宋体"/>
        </w:rPr>
      </w:pPr>
      <w:r>
        <w:rPr>
          <w:rFonts w:ascii="宋体" w:eastAsia="宋体" w:hAnsi="宋体" w:cs="宋体" w:hint="eastAsia"/>
          <w:color w:val="333333"/>
        </w:rPr>
        <w:t>本要点由杭州市城乡建设委员会管理，浙江大学建筑设计研究院有限公司负责具体技术内容的解释。在本要点执行过程中如发现需修改和补充之处，请及时向浙江大学建筑设计研究院有限公司反馈，以供今后修订时参考。</w:t>
      </w:r>
    </w:p>
    <w:p w:rsidR="003563E1" w:rsidRDefault="003563E1">
      <w:pPr>
        <w:snapToGrid w:val="0"/>
        <w:spacing w:line="360" w:lineRule="auto"/>
        <w:jc w:val="center"/>
        <w:rPr>
          <w:rFonts w:ascii="黑体" w:eastAsia="黑体" w:hAnsi="宋体"/>
          <w:sz w:val="36"/>
          <w:szCs w:val="36"/>
        </w:rPr>
        <w:sectPr w:rsidR="003563E1">
          <w:footerReference w:type="default" r:id="rId9"/>
          <w:pgSz w:w="11906" w:h="16838"/>
          <w:pgMar w:top="1440" w:right="1800" w:bottom="1440" w:left="1800" w:header="851" w:footer="992" w:gutter="0"/>
          <w:pgNumType w:fmt="numberInDash"/>
          <w:cols w:space="425"/>
          <w:docGrid w:type="lines" w:linePitch="312"/>
        </w:sectPr>
      </w:pPr>
    </w:p>
    <w:p w:rsidR="003563E1" w:rsidRDefault="00FB5655">
      <w:pPr>
        <w:pStyle w:val="3"/>
        <w:keepNext w:val="0"/>
        <w:keepLines w:val="0"/>
        <w:widowControl/>
        <w:spacing w:before="600" w:after="300" w:line="330" w:lineRule="atLeast"/>
        <w:jc w:val="center"/>
        <w:rPr>
          <w:b w:val="0"/>
          <w:color w:val="333333"/>
          <w:sz w:val="33"/>
          <w:szCs w:val="33"/>
        </w:rPr>
      </w:pPr>
      <w:r>
        <w:rPr>
          <w:rFonts w:ascii="宋体" w:hAnsi="宋体" w:cs="宋体" w:hint="eastAsia"/>
          <w:b w:val="0"/>
          <w:color w:val="333333"/>
          <w:sz w:val="33"/>
          <w:szCs w:val="33"/>
        </w:rPr>
        <w:lastRenderedPageBreak/>
        <w:t>总</w:t>
      </w:r>
      <w:r w:rsidR="008E445F">
        <w:rPr>
          <w:rFonts w:ascii="宋体" w:hAnsi="宋体" w:cs="宋体" w:hint="eastAsia"/>
          <w:b w:val="0"/>
          <w:color w:val="333333"/>
          <w:sz w:val="33"/>
          <w:szCs w:val="33"/>
        </w:rPr>
        <w:t xml:space="preserve"> </w:t>
      </w:r>
      <w:r>
        <w:rPr>
          <w:rFonts w:ascii="宋体" w:hAnsi="宋体" w:cs="宋体" w:hint="eastAsia"/>
          <w:b w:val="0"/>
          <w:color w:val="333333"/>
          <w:sz w:val="33"/>
          <w:szCs w:val="33"/>
        </w:rPr>
        <w:t>则</w:t>
      </w:r>
    </w:p>
    <w:p w:rsidR="003563E1" w:rsidRDefault="00FB5655" w:rsidP="008E445F">
      <w:pPr>
        <w:pStyle w:val="ae"/>
        <w:widowControl/>
        <w:spacing w:before="0" w:beforeAutospacing="0" w:after="0" w:afterAutospacing="0" w:line="360" w:lineRule="auto"/>
        <w:rPr>
          <w:rFonts w:ascii="宋体" w:eastAsia="宋体" w:hAnsi="宋体" w:cs="宋体"/>
        </w:rPr>
      </w:pPr>
      <w:r>
        <w:rPr>
          <w:rFonts w:ascii="宋体" w:hAnsi="宋体" w:cs="宋体"/>
        </w:rPr>
        <w:t>1</w:t>
      </w:r>
      <w:r>
        <w:rPr>
          <w:rFonts w:ascii="宋体" w:eastAsia="宋体" w:hAnsi="宋体" w:cs="宋体" w:hint="eastAsia"/>
        </w:rPr>
        <w:t>.0.1</w:t>
      </w:r>
      <w:r>
        <w:rPr>
          <w:rFonts w:ascii="宋体" w:hAnsi="宋体" w:cs="宋体" w:hint="eastAsia"/>
        </w:rPr>
        <w:t xml:space="preserve"> </w:t>
      </w:r>
      <w:r>
        <w:rPr>
          <w:rFonts w:ascii="宋体" w:eastAsia="宋体" w:hAnsi="宋体" w:cs="宋体" w:hint="eastAsia"/>
        </w:rPr>
        <w:t>为贯彻落实国家、省、市碳达峰碳中和决策部署，促进杭州市绿色建筑高质量发展、规范绿色建筑与节能设计的管理和控制，指导工程设计单位开展杭州市民用建筑工程设计方案绿色建筑与节能内容的编制，根据《关于进一步完善杭州市民用建筑节能审查工作的实施意见》（杭建审改办</w:t>
      </w:r>
      <w:r>
        <w:rPr>
          <w:rFonts w:ascii="仿宋_GB2312" w:eastAsia="仿宋_GB2312" w:hAnsi="仿宋_GB2312" w:cs="仿宋_GB2312" w:hint="eastAsia"/>
        </w:rPr>
        <w:t>〔</w:t>
      </w:r>
      <w:r>
        <w:rPr>
          <w:rFonts w:ascii="宋体" w:eastAsia="宋体" w:hAnsi="宋体" w:cs="宋体" w:hint="eastAsia"/>
        </w:rPr>
        <w:t>2018</w:t>
      </w:r>
      <w:r>
        <w:rPr>
          <w:rFonts w:ascii="仿宋_GB2312" w:eastAsia="仿宋_GB2312" w:hAnsi="仿宋_GB2312" w:cs="仿宋_GB2312" w:hint="eastAsia"/>
        </w:rPr>
        <w:t>〕</w:t>
      </w:r>
      <w:r>
        <w:rPr>
          <w:rFonts w:ascii="宋体" w:eastAsia="宋体" w:hAnsi="宋体" w:cs="宋体" w:hint="eastAsia"/>
        </w:rPr>
        <w:t>4号）规定，制定本“绿色建筑与节能设计”专篇设计内容与自审审查要点。</w:t>
      </w:r>
    </w:p>
    <w:p w:rsidR="003563E1" w:rsidRDefault="00FB5655" w:rsidP="008E445F">
      <w:pPr>
        <w:pStyle w:val="ae"/>
        <w:widowControl/>
        <w:spacing w:before="0" w:beforeAutospacing="0" w:after="0" w:afterAutospacing="0" w:line="360" w:lineRule="auto"/>
        <w:rPr>
          <w:rFonts w:ascii="宋体" w:eastAsia="宋体" w:hAnsi="宋体" w:cs="宋体"/>
        </w:rPr>
      </w:pPr>
      <w:r>
        <w:rPr>
          <w:rFonts w:ascii="宋体" w:eastAsia="宋体" w:hAnsi="宋体" w:cs="宋体" w:hint="eastAsia"/>
        </w:rPr>
        <w:t>1.0.2</w:t>
      </w:r>
      <w:r>
        <w:rPr>
          <w:rFonts w:ascii="宋体" w:hAnsi="宋体" w:cs="宋体" w:hint="eastAsia"/>
        </w:rPr>
        <w:t xml:space="preserve"> </w:t>
      </w:r>
      <w:r>
        <w:rPr>
          <w:rFonts w:ascii="宋体" w:eastAsia="宋体" w:hAnsi="宋体" w:cs="宋体" w:hint="eastAsia"/>
        </w:rPr>
        <w:t>本要点适用于杭州市行政区域内的新建、改建、扩建除农民自建住宅外的民用建筑项目办理节能设计、节能审查、节能评估等相关的活动。</w:t>
      </w:r>
    </w:p>
    <w:p w:rsidR="003563E1" w:rsidRDefault="00FB5655" w:rsidP="008E445F">
      <w:pPr>
        <w:pStyle w:val="ae"/>
        <w:widowControl/>
        <w:spacing w:before="0" w:beforeAutospacing="0" w:after="0" w:afterAutospacing="0" w:line="360" w:lineRule="auto"/>
        <w:rPr>
          <w:rFonts w:ascii="宋体" w:eastAsia="宋体" w:hAnsi="宋体" w:cs="宋体"/>
        </w:rPr>
      </w:pPr>
      <w:r>
        <w:rPr>
          <w:rFonts w:ascii="宋体" w:eastAsia="宋体" w:hAnsi="宋体" w:cs="宋体" w:hint="eastAsia"/>
        </w:rPr>
        <w:t>1.0.3</w:t>
      </w:r>
      <w:r>
        <w:rPr>
          <w:rFonts w:ascii="宋体" w:hAnsi="宋体" w:cs="宋体" w:hint="eastAsia"/>
        </w:rPr>
        <w:t xml:space="preserve"> </w:t>
      </w:r>
      <w:r>
        <w:rPr>
          <w:rFonts w:ascii="宋体" w:eastAsia="宋体" w:hAnsi="宋体" w:cs="宋体" w:hint="eastAsia"/>
        </w:rPr>
        <w:t>本要点规定的设计内容与自审审查要点依据现行国家标准《绿色建筑评价标准》</w:t>
      </w:r>
      <w:r>
        <w:rPr>
          <w:rFonts w:ascii="宋体" w:hAnsi="宋体" w:cs="宋体" w:hint="eastAsia"/>
        </w:rPr>
        <w:t>（</w:t>
      </w:r>
      <w:r>
        <w:rPr>
          <w:rFonts w:ascii="宋体" w:eastAsia="宋体" w:hAnsi="宋体" w:cs="宋体" w:hint="eastAsia"/>
        </w:rPr>
        <w:t>GB/T50378</w:t>
      </w:r>
      <w:r>
        <w:rPr>
          <w:rFonts w:ascii="宋体" w:hAnsi="宋体" w:cs="宋体" w:hint="eastAsia"/>
        </w:rPr>
        <w:t>）</w:t>
      </w:r>
      <w:r>
        <w:rPr>
          <w:rFonts w:ascii="宋体" w:eastAsia="宋体" w:hAnsi="宋体" w:cs="宋体" w:hint="eastAsia"/>
        </w:rPr>
        <w:t>、现行浙江省《绿色建筑设计标准》</w:t>
      </w:r>
      <w:r>
        <w:rPr>
          <w:rFonts w:ascii="宋体" w:hAnsi="宋体" w:cs="宋体" w:hint="eastAsia"/>
        </w:rPr>
        <w:t>（</w:t>
      </w:r>
      <w:r>
        <w:rPr>
          <w:rFonts w:ascii="宋体" w:eastAsia="宋体" w:hAnsi="宋体" w:cs="宋体" w:hint="eastAsia"/>
        </w:rPr>
        <w:t>DB33/1092</w:t>
      </w:r>
      <w:r>
        <w:rPr>
          <w:rFonts w:ascii="宋体" w:hAnsi="宋体" w:cs="宋体" w:hint="eastAsia"/>
        </w:rPr>
        <w:t>）</w:t>
      </w:r>
      <w:r>
        <w:rPr>
          <w:rFonts w:ascii="宋体" w:eastAsia="宋体" w:hAnsi="宋体" w:cs="宋体" w:hint="eastAsia"/>
        </w:rPr>
        <w:t>、现行浙江省《民用建筑节能评估技术导则》编制。</w:t>
      </w:r>
    </w:p>
    <w:p w:rsidR="003563E1" w:rsidRDefault="00FB5655" w:rsidP="008E445F">
      <w:pPr>
        <w:pStyle w:val="ae"/>
        <w:widowControl/>
        <w:spacing w:before="0" w:beforeAutospacing="0" w:after="0" w:afterAutospacing="0" w:line="360" w:lineRule="auto"/>
        <w:rPr>
          <w:rFonts w:ascii="宋体" w:eastAsia="宋体" w:hAnsi="宋体" w:cs="宋体"/>
        </w:rPr>
      </w:pPr>
      <w:r>
        <w:rPr>
          <w:rFonts w:ascii="宋体" w:eastAsia="宋体" w:hAnsi="宋体" w:cs="宋体" w:hint="eastAsia"/>
        </w:rPr>
        <w:t>1.0.4</w:t>
      </w:r>
      <w:r>
        <w:rPr>
          <w:rFonts w:ascii="宋体" w:hAnsi="宋体" w:cs="宋体" w:hint="eastAsia"/>
        </w:rPr>
        <w:t xml:space="preserve"> </w:t>
      </w:r>
      <w:r>
        <w:rPr>
          <w:rFonts w:ascii="宋体" w:eastAsia="宋体" w:hAnsi="宋体" w:cs="宋体" w:hint="eastAsia"/>
        </w:rPr>
        <w:t>本要点中明列的设计文件内容要点，可采用设计专篇的方式，也可分散在设计说明、设计图纸、计算书、设计专篇中表达，除本要点中明确联审阶段可容缺审查外，不可缺项，且在施工许可阶段的节能评估文件（或节能登记表）中对以上内容根据浙江省《民用建筑节能评估技术导则》的要求逐一计算复核并落实。</w:t>
      </w:r>
    </w:p>
    <w:p w:rsidR="003563E1" w:rsidRDefault="00FB5655" w:rsidP="008E445F">
      <w:pPr>
        <w:pStyle w:val="ae"/>
        <w:widowControl/>
        <w:spacing w:before="0" w:beforeAutospacing="0" w:after="0" w:afterAutospacing="0" w:line="360" w:lineRule="auto"/>
        <w:rPr>
          <w:rFonts w:ascii="宋体" w:eastAsia="宋体" w:hAnsi="宋体" w:cs="宋体"/>
        </w:rPr>
      </w:pPr>
      <w:r>
        <w:rPr>
          <w:rFonts w:ascii="宋体" w:eastAsia="宋体" w:hAnsi="宋体" w:cs="宋体" w:hint="eastAsia"/>
        </w:rPr>
        <w:t>1.0.5</w:t>
      </w:r>
      <w:r>
        <w:rPr>
          <w:rFonts w:ascii="宋体" w:hAnsi="宋体" w:cs="宋体" w:hint="eastAsia"/>
        </w:rPr>
        <w:t xml:space="preserve"> </w:t>
      </w:r>
      <w:r>
        <w:rPr>
          <w:rFonts w:ascii="宋体" w:eastAsia="宋体" w:hAnsi="宋体" w:cs="宋体" w:hint="eastAsia"/>
        </w:rPr>
        <w:t>设计单位在工程设计方案或初步设计方案中应提供绿色建筑预评价自评表；绿色建筑预评价自评表的得分应满足市、区</w:t>
      </w:r>
      <w:r>
        <w:rPr>
          <w:rFonts w:ascii="宋体" w:hAnsi="宋体" w:cs="宋体" w:hint="eastAsia"/>
        </w:rPr>
        <w:t>县（市）</w:t>
      </w:r>
      <w:r>
        <w:rPr>
          <w:rFonts w:ascii="宋体" w:eastAsia="宋体" w:hAnsi="宋体" w:cs="宋体" w:hint="eastAsia"/>
        </w:rPr>
        <w:t>绿色建筑专项规划对本项目绿色建筑星级设计要求。市、区</w:t>
      </w:r>
      <w:r>
        <w:rPr>
          <w:rFonts w:ascii="宋体" w:hAnsi="宋体" w:cs="宋体" w:hint="eastAsia"/>
        </w:rPr>
        <w:t>县（市）</w:t>
      </w:r>
      <w:r>
        <w:rPr>
          <w:rFonts w:ascii="宋体" w:eastAsia="宋体" w:hAnsi="宋体" w:cs="宋体" w:hint="eastAsia"/>
        </w:rPr>
        <w:t>建设主管部门组织技术审查时应对绿色建筑预评价自评表得分进行审查，并审查各项控制项及得分项要点在设计文件中落实。</w:t>
      </w:r>
    </w:p>
    <w:p w:rsidR="003563E1" w:rsidRDefault="00FB5655" w:rsidP="008E445F">
      <w:pPr>
        <w:pStyle w:val="ae"/>
        <w:widowControl/>
        <w:spacing w:before="0" w:beforeAutospacing="0" w:after="0" w:afterAutospacing="0" w:line="360" w:lineRule="auto"/>
        <w:rPr>
          <w:rFonts w:ascii="宋体" w:eastAsia="宋体" w:hAnsi="宋体" w:cs="宋体"/>
        </w:rPr>
      </w:pPr>
      <w:r>
        <w:rPr>
          <w:rFonts w:ascii="宋体" w:eastAsia="宋体" w:hAnsi="宋体" w:cs="宋体" w:hint="eastAsia"/>
        </w:rPr>
        <w:t>1.0.6市、区</w:t>
      </w:r>
      <w:r>
        <w:rPr>
          <w:rFonts w:ascii="宋体" w:hAnsi="宋体" w:cs="宋体" w:hint="eastAsia"/>
        </w:rPr>
        <w:t>县（市）</w:t>
      </w:r>
      <w:r>
        <w:rPr>
          <w:rFonts w:ascii="宋体" w:eastAsia="宋体" w:hAnsi="宋体" w:cs="宋体" w:hint="eastAsia"/>
        </w:rPr>
        <w:t>建设主管部门组织技术审查时除应符合本要点外，尚应符合国家及地方标准对绿色建筑和建筑节能的相关规定。</w:t>
      </w:r>
    </w:p>
    <w:p w:rsidR="003563E1" w:rsidRDefault="003563E1">
      <w:pPr>
        <w:snapToGrid w:val="0"/>
        <w:spacing w:line="360" w:lineRule="auto"/>
        <w:rPr>
          <w:rFonts w:ascii="黑体" w:eastAsia="黑体" w:hAnsi="宋体"/>
          <w:sz w:val="36"/>
          <w:szCs w:val="36"/>
        </w:rPr>
        <w:sectPr w:rsidR="003563E1">
          <w:footerReference w:type="default" r:id="rId10"/>
          <w:pgSz w:w="11906" w:h="16838"/>
          <w:pgMar w:top="1440" w:right="1800" w:bottom="1440" w:left="1800" w:header="851" w:footer="992" w:gutter="0"/>
          <w:pgNumType w:fmt="numberInDash"/>
          <w:cols w:space="425"/>
          <w:docGrid w:type="lines" w:linePitch="312"/>
        </w:sectPr>
      </w:pPr>
    </w:p>
    <w:p w:rsidR="003563E1" w:rsidRDefault="00FB5655">
      <w:pPr>
        <w:pStyle w:val="3"/>
        <w:jc w:val="center"/>
      </w:pPr>
      <w:r>
        <w:rPr>
          <w:rFonts w:hint="eastAsia"/>
        </w:rPr>
        <w:lastRenderedPageBreak/>
        <w:t>杭州市民用建筑工程设计方案“绿色建筑与节能设计”专篇设计内容要点及自审审查要点表</w:t>
      </w:r>
    </w:p>
    <w:p w:rsidR="000A7734" w:rsidRDefault="000A7734"/>
    <w:tbl>
      <w:tblPr>
        <w:tblW w:w="21084"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945"/>
        <w:gridCol w:w="919"/>
        <w:gridCol w:w="3097"/>
        <w:gridCol w:w="4536"/>
        <w:gridCol w:w="4678"/>
        <w:gridCol w:w="4961"/>
        <w:gridCol w:w="1220"/>
      </w:tblGrid>
      <w:tr w:rsidR="003563E1" w:rsidTr="00363A77">
        <w:trPr>
          <w:trHeight w:val="20"/>
        </w:trPr>
        <w:tc>
          <w:tcPr>
            <w:tcW w:w="728" w:type="dxa"/>
            <w:vMerge w:val="restart"/>
            <w:vAlign w:val="center"/>
          </w:tcPr>
          <w:p w:rsidR="003563E1" w:rsidRDefault="00FB5655">
            <w:pPr>
              <w:widowControl/>
              <w:jc w:val="center"/>
              <w:rPr>
                <w:rFonts w:ascii="黑体" w:eastAsia="黑体" w:hAnsi="黑体" w:cs="宋体"/>
                <w:b/>
                <w:bCs/>
                <w:kern w:val="0"/>
                <w:sz w:val="20"/>
                <w:szCs w:val="20"/>
              </w:rPr>
            </w:pPr>
            <w:r>
              <w:rPr>
                <w:rFonts w:ascii="黑体" w:eastAsia="黑体" w:hAnsi="黑体" w:cs="宋体" w:hint="eastAsia"/>
                <w:b/>
                <w:bCs/>
                <w:kern w:val="0"/>
                <w:sz w:val="20"/>
                <w:szCs w:val="20"/>
              </w:rPr>
              <w:t>类别</w:t>
            </w:r>
          </w:p>
        </w:tc>
        <w:tc>
          <w:tcPr>
            <w:tcW w:w="945" w:type="dxa"/>
            <w:vMerge w:val="restart"/>
            <w:shd w:val="clear" w:color="auto" w:fill="auto"/>
            <w:vAlign w:val="center"/>
          </w:tcPr>
          <w:p w:rsidR="003563E1" w:rsidRDefault="00FB5655">
            <w:pPr>
              <w:widowControl/>
              <w:jc w:val="center"/>
              <w:rPr>
                <w:rFonts w:ascii="黑体" w:eastAsia="黑体" w:hAnsi="黑体" w:cs="宋体"/>
                <w:b/>
                <w:bCs/>
                <w:kern w:val="0"/>
                <w:sz w:val="20"/>
                <w:szCs w:val="20"/>
              </w:rPr>
            </w:pPr>
            <w:r>
              <w:rPr>
                <w:rFonts w:ascii="黑体" w:eastAsia="黑体" w:hAnsi="黑体" w:cs="宋体" w:hint="eastAsia"/>
                <w:b/>
                <w:bCs/>
                <w:kern w:val="0"/>
                <w:sz w:val="20"/>
                <w:szCs w:val="20"/>
              </w:rPr>
              <w:t>专业</w:t>
            </w:r>
          </w:p>
        </w:tc>
        <w:tc>
          <w:tcPr>
            <w:tcW w:w="4016" w:type="dxa"/>
            <w:gridSpan w:val="2"/>
            <w:vMerge w:val="restart"/>
            <w:shd w:val="clear" w:color="auto" w:fill="auto"/>
            <w:vAlign w:val="center"/>
          </w:tcPr>
          <w:p w:rsidR="003563E1" w:rsidRDefault="00FB5655">
            <w:pPr>
              <w:widowControl/>
              <w:jc w:val="center"/>
              <w:rPr>
                <w:rFonts w:ascii="黑体" w:eastAsia="黑体" w:hAnsi="黑体" w:cs="宋体"/>
                <w:b/>
                <w:bCs/>
                <w:kern w:val="0"/>
                <w:sz w:val="20"/>
                <w:szCs w:val="20"/>
              </w:rPr>
            </w:pPr>
            <w:r>
              <w:rPr>
                <w:rFonts w:ascii="黑体" w:eastAsia="黑体" w:hAnsi="黑体" w:cs="宋体" w:hint="eastAsia"/>
                <w:b/>
                <w:bCs/>
                <w:kern w:val="0"/>
                <w:sz w:val="20"/>
                <w:szCs w:val="20"/>
              </w:rPr>
              <w:t>设计文件内容</w:t>
            </w:r>
          </w:p>
        </w:tc>
        <w:tc>
          <w:tcPr>
            <w:tcW w:w="14175" w:type="dxa"/>
            <w:gridSpan w:val="3"/>
            <w:shd w:val="clear" w:color="auto" w:fill="auto"/>
            <w:vAlign w:val="center"/>
          </w:tcPr>
          <w:p w:rsidR="003563E1" w:rsidRPr="00017E81" w:rsidRDefault="00FB5655">
            <w:pPr>
              <w:widowControl/>
              <w:jc w:val="center"/>
              <w:rPr>
                <w:rFonts w:ascii="黑体" w:eastAsia="黑体" w:hAnsi="黑体" w:cs="宋体"/>
                <w:b/>
                <w:bCs/>
                <w:kern w:val="0"/>
                <w:sz w:val="28"/>
                <w:szCs w:val="28"/>
              </w:rPr>
            </w:pPr>
            <w:r w:rsidRPr="00017E81">
              <w:rPr>
                <w:rFonts w:ascii="黑体" w:eastAsia="黑体" w:hAnsi="黑体" w:cs="宋体" w:hint="eastAsia"/>
                <w:b/>
                <w:bCs/>
                <w:kern w:val="0"/>
                <w:sz w:val="28"/>
                <w:szCs w:val="28"/>
              </w:rPr>
              <w:t>要</w:t>
            </w:r>
            <w:r w:rsidR="00017E81">
              <w:rPr>
                <w:rFonts w:ascii="黑体" w:eastAsia="黑体" w:hAnsi="黑体" w:cs="宋体" w:hint="eastAsia"/>
                <w:b/>
                <w:bCs/>
                <w:kern w:val="0"/>
                <w:sz w:val="28"/>
                <w:szCs w:val="28"/>
              </w:rPr>
              <w:t xml:space="preserve"> </w:t>
            </w:r>
            <w:r w:rsidR="00017E81" w:rsidRPr="00017E81">
              <w:rPr>
                <w:rFonts w:ascii="黑体" w:eastAsia="黑体" w:hAnsi="黑体" w:cs="宋体" w:hint="eastAsia"/>
                <w:b/>
                <w:bCs/>
                <w:kern w:val="0"/>
                <w:sz w:val="28"/>
                <w:szCs w:val="28"/>
              </w:rPr>
              <w:t xml:space="preserve"> </w:t>
            </w:r>
            <w:r w:rsidRPr="00017E81">
              <w:rPr>
                <w:rFonts w:ascii="黑体" w:eastAsia="黑体" w:hAnsi="黑体" w:cs="宋体" w:hint="eastAsia"/>
                <w:b/>
                <w:bCs/>
                <w:kern w:val="0"/>
                <w:sz w:val="28"/>
                <w:szCs w:val="28"/>
              </w:rPr>
              <w:t>点</w:t>
            </w:r>
          </w:p>
        </w:tc>
        <w:tc>
          <w:tcPr>
            <w:tcW w:w="1220" w:type="dxa"/>
            <w:vMerge w:val="restart"/>
            <w:shd w:val="clear" w:color="auto" w:fill="auto"/>
            <w:vAlign w:val="center"/>
          </w:tcPr>
          <w:p w:rsidR="003563E1" w:rsidRDefault="00FB5655">
            <w:pPr>
              <w:widowControl/>
              <w:jc w:val="center"/>
              <w:rPr>
                <w:rFonts w:ascii="黑体" w:eastAsia="黑体" w:hAnsi="黑体" w:cs="宋体"/>
                <w:b/>
                <w:bCs/>
                <w:kern w:val="0"/>
                <w:sz w:val="20"/>
                <w:szCs w:val="20"/>
              </w:rPr>
            </w:pPr>
            <w:r>
              <w:rPr>
                <w:rFonts w:ascii="黑体" w:eastAsia="黑体" w:hAnsi="黑体" w:cs="宋体" w:hint="eastAsia"/>
                <w:b/>
                <w:bCs/>
                <w:kern w:val="0"/>
                <w:sz w:val="20"/>
                <w:szCs w:val="20"/>
              </w:rPr>
              <w:t>备注</w:t>
            </w:r>
          </w:p>
        </w:tc>
      </w:tr>
      <w:tr w:rsidR="003563E1" w:rsidTr="00522BB2">
        <w:trPr>
          <w:trHeight w:val="20"/>
        </w:trPr>
        <w:tc>
          <w:tcPr>
            <w:tcW w:w="728" w:type="dxa"/>
            <w:vMerge/>
          </w:tcPr>
          <w:p w:rsidR="003563E1" w:rsidRDefault="003563E1">
            <w:pPr>
              <w:widowControl/>
              <w:jc w:val="left"/>
              <w:rPr>
                <w:rFonts w:ascii="黑体" w:eastAsia="黑体" w:hAnsi="黑体" w:cs="宋体"/>
                <w:b/>
                <w:bCs/>
                <w:kern w:val="0"/>
                <w:sz w:val="20"/>
                <w:szCs w:val="20"/>
              </w:rPr>
            </w:pPr>
          </w:p>
        </w:tc>
        <w:tc>
          <w:tcPr>
            <w:tcW w:w="945" w:type="dxa"/>
            <w:vMerge/>
            <w:vAlign w:val="center"/>
          </w:tcPr>
          <w:p w:rsidR="003563E1" w:rsidRDefault="003563E1">
            <w:pPr>
              <w:widowControl/>
              <w:jc w:val="left"/>
              <w:rPr>
                <w:rFonts w:ascii="黑体" w:eastAsia="黑体" w:hAnsi="黑体" w:cs="宋体"/>
                <w:b/>
                <w:bCs/>
                <w:kern w:val="0"/>
                <w:sz w:val="20"/>
                <w:szCs w:val="20"/>
              </w:rPr>
            </w:pPr>
          </w:p>
        </w:tc>
        <w:tc>
          <w:tcPr>
            <w:tcW w:w="4016" w:type="dxa"/>
            <w:gridSpan w:val="2"/>
            <w:vMerge/>
            <w:vAlign w:val="center"/>
          </w:tcPr>
          <w:p w:rsidR="003563E1" w:rsidRDefault="003563E1">
            <w:pPr>
              <w:widowControl/>
              <w:jc w:val="left"/>
              <w:rPr>
                <w:rFonts w:ascii="黑体" w:eastAsia="黑体" w:hAnsi="黑体" w:cs="宋体"/>
                <w:b/>
                <w:bCs/>
                <w:kern w:val="0"/>
                <w:sz w:val="20"/>
                <w:szCs w:val="20"/>
              </w:rPr>
            </w:pPr>
          </w:p>
        </w:tc>
        <w:tc>
          <w:tcPr>
            <w:tcW w:w="4536" w:type="dxa"/>
            <w:shd w:val="clear" w:color="auto" w:fill="auto"/>
            <w:vAlign w:val="center"/>
          </w:tcPr>
          <w:p w:rsidR="003563E1" w:rsidRDefault="00FB5655">
            <w:pPr>
              <w:widowControl/>
              <w:jc w:val="center"/>
              <w:rPr>
                <w:rFonts w:ascii="黑体" w:eastAsia="黑体" w:hAnsi="黑体" w:cs="宋体"/>
                <w:b/>
                <w:bCs/>
                <w:kern w:val="0"/>
                <w:sz w:val="20"/>
                <w:szCs w:val="20"/>
              </w:rPr>
            </w:pPr>
            <w:r>
              <w:rPr>
                <w:rFonts w:ascii="黑体" w:eastAsia="黑体" w:hAnsi="黑体" w:cs="宋体" w:hint="eastAsia"/>
                <w:b/>
                <w:bCs/>
                <w:kern w:val="0"/>
                <w:sz w:val="20"/>
                <w:szCs w:val="20"/>
              </w:rPr>
              <w:t>一星级</w:t>
            </w:r>
          </w:p>
        </w:tc>
        <w:tc>
          <w:tcPr>
            <w:tcW w:w="4678" w:type="dxa"/>
            <w:shd w:val="clear" w:color="auto" w:fill="auto"/>
            <w:vAlign w:val="center"/>
          </w:tcPr>
          <w:p w:rsidR="003563E1" w:rsidRDefault="00FB5655">
            <w:pPr>
              <w:widowControl/>
              <w:jc w:val="center"/>
              <w:rPr>
                <w:rFonts w:ascii="黑体" w:eastAsia="黑体" w:hAnsi="黑体" w:cs="宋体"/>
                <w:b/>
                <w:bCs/>
                <w:kern w:val="0"/>
                <w:sz w:val="20"/>
                <w:szCs w:val="20"/>
              </w:rPr>
            </w:pPr>
            <w:r>
              <w:rPr>
                <w:rFonts w:ascii="黑体" w:eastAsia="黑体" w:hAnsi="黑体" w:cs="宋体" w:hint="eastAsia"/>
                <w:b/>
                <w:bCs/>
                <w:kern w:val="0"/>
                <w:sz w:val="20"/>
                <w:szCs w:val="20"/>
              </w:rPr>
              <w:t>二星级</w:t>
            </w:r>
          </w:p>
        </w:tc>
        <w:tc>
          <w:tcPr>
            <w:tcW w:w="4961" w:type="dxa"/>
            <w:shd w:val="clear" w:color="auto" w:fill="auto"/>
            <w:vAlign w:val="center"/>
          </w:tcPr>
          <w:p w:rsidR="003563E1" w:rsidRDefault="00FB5655">
            <w:pPr>
              <w:widowControl/>
              <w:jc w:val="center"/>
              <w:rPr>
                <w:rFonts w:ascii="黑体" w:eastAsia="黑体" w:hAnsi="黑体" w:cs="宋体"/>
                <w:b/>
                <w:bCs/>
                <w:kern w:val="0"/>
                <w:sz w:val="20"/>
                <w:szCs w:val="20"/>
              </w:rPr>
            </w:pPr>
            <w:r>
              <w:rPr>
                <w:rFonts w:ascii="黑体" w:eastAsia="黑体" w:hAnsi="黑体" w:cs="宋体" w:hint="eastAsia"/>
                <w:b/>
                <w:bCs/>
                <w:kern w:val="0"/>
                <w:sz w:val="20"/>
                <w:szCs w:val="20"/>
              </w:rPr>
              <w:t>三星级</w:t>
            </w:r>
          </w:p>
        </w:tc>
        <w:tc>
          <w:tcPr>
            <w:tcW w:w="1220" w:type="dxa"/>
            <w:vMerge/>
            <w:shd w:val="clear" w:color="auto" w:fill="auto"/>
            <w:vAlign w:val="center"/>
          </w:tcPr>
          <w:p w:rsidR="003563E1" w:rsidRDefault="003563E1">
            <w:pPr>
              <w:widowControl/>
              <w:jc w:val="center"/>
              <w:rPr>
                <w:rFonts w:ascii="黑体" w:eastAsia="黑体" w:hAnsi="黑体" w:cs="宋体"/>
                <w:b/>
                <w:bCs/>
                <w:kern w:val="0"/>
                <w:sz w:val="20"/>
                <w:szCs w:val="20"/>
              </w:rPr>
            </w:pPr>
          </w:p>
        </w:tc>
      </w:tr>
      <w:tr w:rsidR="00C75349" w:rsidTr="00363A77">
        <w:trPr>
          <w:trHeight w:val="113"/>
        </w:trPr>
        <w:tc>
          <w:tcPr>
            <w:tcW w:w="728" w:type="dxa"/>
            <w:vMerge w:val="restart"/>
            <w:vAlign w:val="center"/>
          </w:tcPr>
          <w:p w:rsidR="00C75349" w:rsidRDefault="00C75349" w:rsidP="00C240B1">
            <w:pPr>
              <w:jc w:val="center"/>
              <w:rPr>
                <w:rFonts w:ascii="宋体" w:eastAsia="宋体" w:hAnsi="宋体" w:cs="宋体"/>
                <w:b/>
                <w:bCs/>
                <w:kern w:val="0"/>
                <w:sz w:val="20"/>
                <w:szCs w:val="20"/>
              </w:rPr>
            </w:pPr>
            <w:r>
              <w:rPr>
                <w:rFonts w:ascii="宋体" w:eastAsia="宋体" w:hAnsi="宋体" w:cs="宋体" w:hint="eastAsia"/>
                <w:b/>
                <w:bCs/>
                <w:kern w:val="0"/>
                <w:sz w:val="20"/>
                <w:szCs w:val="20"/>
              </w:rPr>
              <w:t>设计文件</w:t>
            </w:r>
          </w:p>
        </w:tc>
        <w:tc>
          <w:tcPr>
            <w:tcW w:w="945" w:type="dxa"/>
            <w:vMerge w:val="restart"/>
            <w:shd w:val="clear" w:color="auto" w:fill="auto"/>
            <w:vAlign w:val="center"/>
          </w:tcPr>
          <w:p w:rsidR="00C75349" w:rsidRDefault="00C75349" w:rsidP="00A84455">
            <w:pPr>
              <w:jc w:val="center"/>
              <w:rPr>
                <w:rFonts w:ascii="宋体" w:eastAsia="宋体" w:hAnsi="宋体" w:cs="宋体"/>
                <w:b/>
                <w:bCs/>
                <w:kern w:val="0"/>
                <w:sz w:val="20"/>
                <w:szCs w:val="20"/>
              </w:rPr>
            </w:pPr>
            <w:r>
              <w:rPr>
                <w:rFonts w:ascii="宋体" w:eastAsia="宋体" w:hAnsi="宋体" w:cs="宋体" w:hint="eastAsia"/>
                <w:b/>
                <w:bCs/>
                <w:kern w:val="0"/>
                <w:sz w:val="20"/>
                <w:szCs w:val="20"/>
              </w:rPr>
              <w:t>电气与智能化</w:t>
            </w:r>
          </w:p>
        </w:tc>
        <w:tc>
          <w:tcPr>
            <w:tcW w:w="919" w:type="dxa"/>
            <w:vMerge w:val="restart"/>
            <w:shd w:val="clear" w:color="auto" w:fill="auto"/>
            <w:vAlign w:val="center"/>
          </w:tcPr>
          <w:p w:rsidR="00C75349" w:rsidRDefault="00C75349">
            <w:pPr>
              <w:widowControl/>
              <w:jc w:val="center"/>
              <w:rPr>
                <w:rFonts w:ascii="宋体" w:eastAsia="宋体" w:hAnsi="宋体" w:cs="宋体"/>
                <w:kern w:val="0"/>
                <w:sz w:val="20"/>
                <w:szCs w:val="20"/>
              </w:rPr>
            </w:pPr>
            <w:r>
              <w:rPr>
                <w:rFonts w:ascii="宋体" w:eastAsia="宋体" w:hAnsi="宋体" w:cs="宋体" w:hint="eastAsia"/>
                <w:kern w:val="0"/>
                <w:sz w:val="20"/>
                <w:szCs w:val="20"/>
              </w:rPr>
              <w:t>变、配、发电系统</w:t>
            </w:r>
          </w:p>
        </w:tc>
        <w:tc>
          <w:tcPr>
            <w:tcW w:w="3097" w:type="dxa"/>
            <w:shd w:val="clear" w:color="auto" w:fill="auto"/>
            <w:vAlign w:val="center"/>
          </w:tcPr>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t>负荷等级、容量、供电电压等级；</w:t>
            </w:r>
          </w:p>
        </w:tc>
        <w:tc>
          <w:tcPr>
            <w:tcW w:w="14175" w:type="dxa"/>
            <w:gridSpan w:val="3"/>
            <w:shd w:val="clear" w:color="auto" w:fill="auto"/>
            <w:vAlign w:val="center"/>
          </w:tcPr>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t>□负荷等级的确定符合规范要求</w:t>
            </w:r>
            <w:r>
              <w:rPr>
                <w:rFonts w:ascii="宋体" w:eastAsia="宋体" w:hAnsi="宋体" w:cs="宋体"/>
                <w:kern w:val="0"/>
                <w:sz w:val="20"/>
                <w:szCs w:val="20"/>
              </w:rPr>
              <w:br/>
            </w:r>
            <w:r>
              <w:rPr>
                <w:rFonts w:ascii="宋体" w:eastAsia="宋体" w:hAnsi="宋体" w:cs="宋体" w:hint="eastAsia"/>
                <w:kern w:val="0"/>
                <w:sz w:val="20"/>
                <w:szCs w:val="20"/>
              </w:rPr>
              <w:t>□负荷容量的计算方法满足要求、取值合理</w:t>
            </w:r>
            <w:bookmarkStart w:id="0" w:name="_GoBack"/>
            <w:bookmarkEnd w:id="0"/>
          </w:p>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t>□供电电压等级合理</w:t>
            </w:r>
          </w:p>
        </w:tc>
        <w:tc>
          <w:tcPr>
            <w:tcW w:w="1220" w:type="dxa"/>
            <w:vMerge w:val="restart"/>
            <w:shd w:val="clear" w:color="auto" w:fill="auto"/>
            <w:vAlign w:val="center"/>
          </w:tcPr>
          <w:p w:rsidR="00C75349" w:rsidRDefault="00C75349">
            <w:pPr>
              <w:jc w:val="left"/>
              <w:rPr>
                <w:rFonts w:ascii="宋体" w:eastAsia="宋体" w:hAnsi="宋体" w:cs="宋体"/>
                <w:b/>
                <w:bCs/>
                <w:kern w:val="0"/>
                <w:sz w:val="20"/>
                <w:szCs w:val="20"/>
              </w:rPr>
            </w:pPr>
          </w:p>
        </w:tc>
      </w:tr>
      <w:tr w:rsidR="00C75349" w:rsidTr="00363A77">
        <w:trPr>
          <w:trHeight w:val="113"/>
        </w:trPr>
        <w:tc>
          <w:tcPr>
            <w:tcW w:w="728" w:type="dxa"/>
            <w:vMerge/>
          </w:tcPr>
          <w:p w:rsidR="00C75349" w:rsidRDefault="00C75349" w:rsidP="00C240B1">
            <w:pPr>
              <w:jc w:val="center"/>
              <w:rPr>
                <w:rFonts w:ascii="宋体" w:eastAsia="宋体" w:hAnsi="宋体" w:cs="宋体"/>
                <w:b/>
                <w:bCs/>
                <w:kern w:val="0"/>
                <w:sz w:val="20"/>
                <w:szCs w:val="20"/>
              </w:rPr>
            </w:pPr>
          </w:p>
        </w:tc>
        <w:tc>
          <w:tcPr>
            <w:tcW w:w="945" w:type="dxa"/>
            <w:vMerge/>
            <w:vAlign w:val="center"/>
          </w:tcPr>
          <w:p w:rsidR="00C75349" w:rsidRDefault="00C75349" w:rsidP="00A84455">
            <w:pPr>
              <w:jc w:val="center"/>
              <w:rPr>
                <w:rFonts w:ascii="宋体" w:eastAsia="宋体" w:hAnsi="宋体" w:cs="宋体"/>
                <w:b/>
                <w:bCs/>
                <w:kern w:val="0"/>
                <w:sz w:val="20"/>
                <w:szCs w:val="20"/>
              </w:rPr>
            </w:pPr>
          </w:p>
        </w:tc>
        <w:tc>
          <w:tcPr>
            <w:tcW w:w="919" w:type="dxa"/>
            <w:vMerge/>
            <w:vAlign w:val="center"/>
          </w:tcPr>
          <w:p w:rsidR="00C75349" w:rsidRDefault="00C75349">
            <w:pPr>
              <w:widowControl/>
              <w:jc w:val="left"/>
              <w:rPr>
                <w:rFonts w:ascii="宋体" w:eastAsia="宋体" w:hAnsi="宋体" w:cs="宋体"/>
                <w:kern w:val="0"/>
                <w:sz w:val="20"/>
                <w:szCs w:val="20"/>
              </w:rPr>
            </w:pPr>
          </w:p>
        </w:tc>
        <w:tc>
          <w:tcPr>
            <w:tcW w:w="3097" w:type="dxa"/>
            <w:shd w:val="clear" w:color="auto" w:fill="auto"/>
            <w:vAlign w:val="center"/>
          </w:tcPr>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t>变、配、发电站的位置、数量、容量；</w:t>
            </w:r>
          </w:p>
        </w:tc>
        <w:tc>
          <w:tcPr>
            <w:tcW w:w="14175" w:type="dxa"/>
            <w:gridSpan w:val="3"/>
            <w:shd w:val="clear" w:color="auto" w:fill="auto"/>
            <w:vAlign w:val="center"/>
          </w:tcPr>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t>□变压器、自备电源的数量、容量、负载率合理</w:t>
            </w:r>
            <w:r>
              <w:rPr>
                <w:rFonts w:ascii="宋体" w:eastAsia="宋体" w:hAnsi="宋体" w:cs="宋体"/>
                <w:kern w:val="0"/>
                <w:sz w:val="20"/>
                <w:szCs w:val="20"/>
              </w:rPr>
              <w:br/>
            </w:r>
            <w:r>
              <w:rPr>
                <w:rFonts w:ascii="宋体" w:eastAsia="宋体" w:hAnsi="宋体" w:cs="宋体" w:hint="eastAsia"/>
                <w:kern w:val="0"/>
                <w:sz w:val="20"/>
                <w:szCs w:val="20"/>
              </w:rPr>
              <w:t>□变、配、发电站位置靠近负荷中心、供电范围合理</w:t>
            </w:r>
          </w:p>
        </w:tc>
        <w:tc>
          <w:tcPr>
            <w:tcW w:w="1220" w:type="dxa"/>
            <w:vMerge/>
            <w:shd w:val="clear" w:color="auto" w:fill="auto"/>
            <w:vAlign w:val="center"/>
          </w:tcPr>
          <w:p w:rsidR="00C75349" w:rsidRDefault="00C75349">
            <w:pPr>
              <w:jc w:val="left"/>
              <w:rPr>
                <w:rFonts w:ascii="宋体" w:eastAsia="宋体" w:hAnsi="宋体" w:cs="宋体"/>
                <w:b/>
                <w:bCs/>
                <w:kern w:val="0"/>
                <w:sz w:val="20"/>
                <w:szCs w:val="20"/>
              </w:rPr>
            </w:pPr>
          </w:p>
        </w:tc>
      </w:tr>
      <w:tr w:rsidR="00C75349" w:rsidTr="00522BB2">
        <w:trPr>
          <w:trHeight w:val="113"/>
        </w:trPr>
        <w:tc>
          <w:tcPr>
            <w:tcW w:w="728" w:type="dxa"/>
            <w:vMerge/>
          </w:tcPr>
          <w:p w:rsidR="00C75349" w:rsidRDefault="00C75349" w:rsidP="00C240B1">
            <w:pPr>
              <w:jc w:val="center"/>
              <w:rPr>
                <w:rFonts w:ascii="宋体" w:eastAsia="宋体" w:hAnsi="宋体" w:cs="宋体"/>
                <w:b/>
                <w:bCs/>
                <w:kern w:val="0"/>
                <w:sz w:val="20"/>
                <w:szCs w:val="20"/>
              </w:rPr>
            </w:pPr>
          </w:p>
        </w:tc>
        <w:tc>
          <w:tcPr>
            <w:tcW w:w="945" w:type="dxa"/>
            <w:vMerge/>
            <w:vAlign w:val="center"/>
          </w:tcPr>
          <w:p w:rsidR="00C75349" w:rsidRDefault="00C75349" w:rsidP="00A84455">
            <w:pPr>
              <w:jc w:val="center"/>
              <w:rPr>
                <w:rFonts w:ascii="宋体" w:eastAsia="宋体" w:hAnsi="宋体" w:cs="宋体"/>
                <w:b/>
                <w:bCs/>
                <w:kern w:val="0"/>
                <w:sz w:val="20"/>
                <w:szCs w:val="20"/>
              </w:rPr>
            </w:pPr>
          </w:p>
        </w:tc>
        <w:tc>
          <w:tcPr>
            <w:tcW w:w="919" w:type="dxa"/>
            <w:vMerge/>
            <w:vAlign w:val="center"/>
          </w:tcPr>
          <w:p w:rsidR="00C75349" w:rsidRDefault="00C75349">
            <w:pPr>
              <w:widowControl/>
              <w:jc w:val="left"/>
              <w:rPr>
                <w:rFonts w:ascii="宋体" w:eastAsia="宋体" w:hAnsi="宋体" w:cs="宋体"/>
                <w:kern w:val="0"/>
                <w:sz w:val="20"/>
                <w:szCs w:val="20"/>
              </w:rPr>
            </w:pPr>
          </w:p>
        </w:tc>
        <w:tc>
          <w:tcPr>
            <w:tcW w:w="3097" w:type="dxa"/>
            <w:shd w:val="clear" w:color="auto" w:fill="auto"/>
            <w:vAlign w:val="center"/>
          </w:tcPr>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t>合理控制低压供电半径；</w:t>
            </w:r>
          </w:p>
        </w:tc>
        <w:tc>
          <w:tcPr>
            <w:tcW w:w="4536" w:type="dxa"/>
            <w:shd w:val="clear" w:color="auto" w:fill="auto"/>
            <w:vAlign w:val="center"/>
          </w:tcPr>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t>□不大于</w:t>
            </w:r>
            <w:r>
              <w:rPr>
                <w:rFonts w:ascii="宋体" w:eastAsia="宋体" w:hAnsi="宋体" w:cs="宋体"/>
                <w:kern w:val="0"/>
                <w:sz w:val="20"/>
                <w:szCs w:val="20"/>
              </w:rPr>
              <w:t>250米</w:t>
            </w:r>
          </w:p>
        </w:tc>
        <w:tc>
          <w:tcPr>
            <w:tcW w:w="4678" w:type="dxa"/>
            <w:shd w:val="clear" w:color="auto" w:fill="auto"/>
            <w:vAlign w:val="center"/>
          </w:tcPr>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t>□不大于</w:t>
            </w:r>
            <w:r>
              <w:rPr>
                <w:rFonts w:ascii="宋体" w:eastAsia="宋体" w:hAnsi="宋体" w:cs="宋体"/>
                <w:kern w:val="0"/>
                <w:sz w:val="20"/>
                <w:szCs w:val="20"/>
              </w:rPr>
              <w:t>250米</w:t>
            </w:r>
          </w:p>
        </w:tc>
        <w:tc>
          <w:tcPr>
            <w:tcW w:w="4961" w:type="dxa"/>
            <w:shd w:val="clear" w:color="auto" w:fill="auto"/>
            <w:vAlign w:val="center"/>
          </w:tcPr>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t>□不大于</w:t>
            </w:r>
            <w:r>
              <w:rPr>
                <w:rFonts w:ascii="宋体" w:eastAsia="宋体" w:hAnsi="宋体" w:cs="宋体"/>
                <w:kern w:val="0"/>
                <w:sz w:val="20"/>
                <w:szCs w:val="20"/>
              </w:rPr>
              <w:t>150米</w:t>
            </w:r>
          </w:p>
        </w:tc>
        <w:tc>
          <w:tcPr>
            <w:tcW w:w="1220" w:type="dxa"/>
            <w:vMerge/>
            <w:shd w:val="clear" w:color="auto" w:fill="auto"/>
            <w:vAlign w:val="center"/>
          </w:tcPr>
          <w:p w:rsidR="00C75349" w:rsidRDefault="00C75349">
            <w:pPr>
              <w:widowControl/>
              <w:jc w:val="left"/>
              <w:rPr>
                <w:rFonts w:ascii="宋体" w:eastAsia="宋体" w:hAnsi="宋体" w:cs="宋体"/>
                <w:b/>
                <w:bCs/>
                <w:kern w:val="0"/>
                <w:sz w:val="20"/>
                <w:szCs w:val="20"/>
              </w:rPr>
            </w:pPr>
          </w:p>
        </w:tc>
      </w:tr>
      <w:tr w:rsidR="00C75349" w:rsidTr="00363A77">
        <w:trPr>
          <w:trHeight w:val="113"/>
        </w:trPr>
        <w:tc>
          <w:tcPr>
            <w:tcW w:w="728" w:type="dxa"/>
            <w:vMerge/>
          </w:tcPr>
          <w:p w:rsidR="00C75349" w:rsidRDefault="00C75349" w:rsidP="00C240B1">
            <w:pPr>
              <w:jc w:val="center"/>
              <w:rPr>
                <w:rFonts w:ascii="宋体" w:eastAsia="宋体" w:hAnsi="宋体" w:cs="宋体"/>
                <w:b/>
                <w:bCs/>
                <w:kern w:val="0"/>
                <w:sz w:val="20"/>
                <w:szCs w:val="20"/>
              </w:rPr>
            </w:pPr>
          </w:p>
        </w:tc>
        <w:tc>
          <w:tcPr>
            <w:tcW w:w="945" w:type="dxa"/>
            <w:vMerge/>
            <w:vAlign w:val="center"/>
          </w:tcPr>
          <w:p w:rsidR="00C75349" w:rsidRDefault="00C75349" w:rsidP="00A84455">
            <w:pPr>
              <w:jc w:val="center"/>
              <w:rPr>
                <w:rFonts w:ascii="宋体" w:eastAsia="宋体" w:hAnsi="宋体" w:cs="宋体"/>
                <w:b/>
                <w:bCs/>
                <w:kern w:val="0"/>
                <w:sz w:val="20"/>
                <w:szCs w:val="20"/>
              </w:rPr>
            </w:pPr>
          </w:p>
        </w:tc>
        <w:tc>
          <w:tcPr>
            <w:tcW w:w="919" w:type="dxa"/>
            <w:vMerge/>
            <w:vAlign w:val="center"/>
          </w:tcPr>
          <w:p w:rsidR="00C75349" w:rsidRDefault="00C75349">
            <w:pPr>
              <w:widowControl/>
              <w:jc w:val="left"/>
              <w:rPr>
                <w:rFonts w:ascii="宋体" w:eastAsia="宋体" w:hAnsi="宋体" w:cs="宋体"/>
                <w:kern w:val="0"/>
                <w:sz w:val="20"/>
                <w:szCs w:val="20"/>
              </w:rPr>
            </w:pPr>
          </w:p>
        </w:tc>
        <w:tc>
          <w:tcPr>
            <w:tcW w:w="3097" w:type="dxa"/>
            <w:shd w:val="clear" w:color="auto" w:fill="auto"/>
            <w:vAlign w:val="center"/>
          </w:tcPr>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t>变压器选型、运行方案；</w:t>
            </w:r>
          </w:p>
        </w:tc>
        <w:tc>
          <w:tcPr>
            <w:tcW w:w="14175" w:type="dxa"/>
            <w:gridSpan w:val="3"/>
            <w:shd w:val="clear" w:color="auto" w:fill="auto"/>
            <w:vAlign w:val="center"/>
          </w:tcPr>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t>□接线组别选择合理</w:t>
            </w:r>
          </w:p>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t>□变压器等的运行方案明确、利于节能；</w:t>
            </w:r>
          </w:p>
        </w:tc>
        <w:tc>
          <w:tcPr>
            <w:tcW w:w="1220" w:type="dxa"/>
            <w:vMerge w:val="restart"/>
            <w:shd w:val="clear" w:color="auto" w:fill="auto"/>
            <w:vAlign w:val="center"/>
          </w:tcPr>
          <w:p w:rsidR="00C75349" w:rsidRDefault="00C75349">
            <w:pPr>
              <w:jc w:val="left"/>
              <w:rPr>
                <w:rFonts w:ascii="宋体" w:eastAsia="宋体" w:hAnsi="宋体" w:cs="宋体"/>
                <w:b/>
                <w:bCs/>
                <w:kern w:val="0"/>
                <w:sz w:val="20"/>
                <w:szCs w:val="20"/>
              </w:rPr>
            </w:pPr>
            <w:r>
              <w:rPr>
                <w:rFonts w:ascii="宋体" w:eastAsia="宋体" w:hAnsi="宋体" w:cs="宋体" w:hint="eastAsia"/>
                <w:b/>
                <w:bCs/>
                <w:kern w:val="0"/>
                <w:sz w:val="20"/>
                <w:szCs w:val="20"/>
              </w:rPr>
              <w:t>仅初步设计阶段需要</w:t>
            </w:r>
          </w:p>
        </w:tc>
      </w:tr>
      <w:tr w:rsidR="00C75349" w:rsidTr="00522BB2">
        <w:trPr>
          <w:trHeight w:val="113"/>
        </w:trPr>
        <w:tc>
          <w:tcPr>
            <w:tcW w:w="728" w:type="dxa"/>
            <w:vMerge/>
          </w:tcPr>
          <w:p w:rsidR="00C75349" w:rsidRDefault="00C75349" w:rsidP="00C240B1">
            <w:pPr>
              <w:jc w:val="center"/>
              <w:rPr>
                <w:rFonts w:ascii="宋体" w:eastAsia="宋体" w:hAnsi="宋体" w:cs="宋体"/>
                <w:b/>
                <w:bCs/>
                <w:kern w:val="0"/>
                <w:sz w:val="20"/>
                <w:szCs w:val="20"/>
              </w:rPr>
            </w:pPr>
          </w:p>
        </w:tc>
        <w:tc>
          <w:tcPr>
            <w:tcW w:w="945" w:type="dxa"/>
            <w:vMerge/>
            <w:vAlign w:val="center"/>
          </w:tcPr>
          <w:p w:rsidR="00C75349" w:rsidRDefault="00C75349" w:rsidP="00A84455">
            <w:pPr>
              <w:jc w:val="center"/>
              <w:rPr>
                <w:rFonts w:ascii="宋体" w:eastAsia="宋体" w:hAnsi="宋体" w:cs="宋体"/>
                <w:b/>
                <w:bCs/>
                <w:kern w:val="0"/>
                <w:sz w:val="20"/>
                <w:szCs w:val="20"/>
              </w:rPr>
            </w:pPr>
          </w:p>
        </w:tc>
        <w:tc>
          <w:tcPr>
            <w:tcW w:w="919" w:type="dxa"/>
            <w:vMerge/>
            <w:vAlign w:val="center"/>
          </w:tcPr>
          <w:p w:rsidR="00C75349" w:rsidRDefault="00C75349">
            <w:pPr>
              <w:widowControl/>
              <w:jc w:val="left"/>
              <w:rPr>
                <w:rFonts w:ascii="宋体" w:eastAsia="宋体" w:hAnsi="宋体" w:cs="宋体"/>
                <w:kern w:val="0"/>
                <w:sz w:val="20"/>
                <w:szCs w:val="20"/>
              </w:rPr>
            </w:pPr>
          </w:p>
        </w:tc>
        <w:tc>
          <w:tcPr>
            <w:tcW w:w="3097" w:type="dxa"/>
            <w:shd w:val="clear" w:color="auto" w:fill="auto"/>
            <w:vAlign w:val="center"/>
          </w:tcPr>
          <w:p w:rsidR="00C75349" w:rsidRDefault="00C75349">
            <w:pPr>
              <w:jc w:val="left"/>
              <w:rPr>
                <w:rFonts w:ascii="宋体" w:eastAsia="宋体" w:hAnsi="宋体" w:cs="宋体"/>
                <w:kern w:val="0"/>
                <w:sz w:val="20"/>
                <w:szCs w:val="20"/>
              </w:rPr>
            </w:pPr>
            <w:r>
              <w:rPr>
                <w:rFonts w:ascii="宋体" w:eastAsia="宋体" w:hAnsi="宋体" w:cs="宋体" w:hint="eastAsia"/>
                <w:kern w:val="0"/>
                <w:sz w:val="20"/>
                <w:szCs w:val="20"/>
              </w:rPr>
              <w:t>变压器能效等级</w:t>
            </w:r>
          </w:p>
        </w:tc>
        <w:tc>
          <w:tcPr>
            <w:tcW w:w="4536" w:type="dxa"/>
            <w:shd w:val="clear" w:color="auto" w:fill="auto"/>
            <w:vAlign w:val="center"/>
          </w:tcPr>
          <w:p w:rsidR="00C75349" w:rsidRDefault="00C75349">
            <w:pPr>
              <w:jc w:val="left"/>
              <w:rPr>
                <w:rFonts w:ascii="宋体" w:eastAsia="宋体" w:hAnsi="宋体" w:cs="宋体"/>
                <w:kern w:val="0"/>
                <w:sz w:val="20"/>
                <w:szCs w:val="20"/>
              </w:rPr>
            </w:pPr>
            <w:r>
              <w:rPr>
                <w:rFonts w:ascii="宋体" w:eastAsia="宋体" w:hAnsi="宋体" w:cs="宋体" w:hint="eastAsia"/>
                <w:kern w:val="0"/>
                <w:sz w:val="20"/>
                <w:szCs w:val="20"/>
              </w:rPr>
              <w:t>□</w:t>
            </w:r>
            <w:r>
              <w:rPr>
                <w:rFonts w:ascii="宋体" w:eastAsia="宋体" w:hAnsi="宋体" w:cs="宋体"/>
                <w:kern w:val="0"/>
                <w:sz w:val="20"/>
                <w:szCs w:val="20"/>
              </w:rPr>
              <w:t xml:space="preserve"> 3级</w:t>
            </w:r>
          </w:p>
        </w:tc>
        <w:tc>
          <w:tcPr>
            <w:tcW w:w="4678" w:type="dxa"/>
            <w:shd w:val="clear" w:color="auto" w:fill="auto"/>
            <w:vAlign w:val="center"/>
          </w:tcPr>
          <w:p w:rsidR="00C75349" w:rsidRDefault="00C75349">
            <w:pPr>
              <w:jc w:val="left"/>
              <w:rPr>
                <w:rFonts w:ascii="宋体" w:eastAsia="宋体" w:hAnsi="宋体" w:cs="宋体"/>
                <w:kern w:val="0"/>
                <w:sz w:val="20"/>
                <w:szCs w:val="20"/>
              </w:rPr>
            </w:pPr>
            <w:r>
              <w:rPr>
                <w:rFonts w:ascii="宋体" w:eastAsia="宋体" w:hAnsi="宋体" w:cs="宋体" w:hint="eastAsia"/>
                <w:kern w:val="0"/>
                <w:sz w:val="20"/>
                <w:szCs w:val="20"/>
              </w:rPr>
              <w:t>□</w:t>
            </w:r>
            <w:r>
              <w:rPr>
                <w:rFonts w:ascii="宋体" w:eastAsia="宋体" w:hAnsi="宋体" w:cs="宋体"/>
                <w:kern w:val="0"/>
                <w:sz w:val="20"/>
                <w:szCs w:val="20"/>
              </w:rPr>
              <w:t xml:space="preserve"> 2级</w:t>
            </w:r>
          </w:p>
        </w:tc>
        <w:tc>
          <w:tcPr>
            <w:tcW w:w="4961" w:type="dxa"/>
            <w:shd w:val="clear" w:color="auto" w:fill="auto"/>
            <w:vAlign w:val="center"/>
          </w:tcPr>
          <w:p w:rsidR="00C75349" w:rsidRDefault="00C75349">
            <w:pPr>
              <w:jc w:val="left"/>
              <w:rPr>
                <w:rFonts w:ascii="宋体" w:eastAsia="宋体" w:hAnsi="宋体" w:cs="宋体"/>
                <w:kern w:val="0"/>
                <w:sz w:val="20"/>
                <w:szCs w:val="20"/>
              </w:rPr>
            </w:pPr>
            <w:r>
              <w:rPr>
                <w:rFonts w:ascii="宋体" w:eastAsia="宋体" w:hAnsi="宋体" w:cs="宋体" w:hint="eastAsia"/>
                <w:kern w:val="0"/>
                <w:sz w:val="20"/>
                <w:szCs w:val="20"/>
              </w:rPr>
              <w:t>□</w:t>
            </w:r>
            <w:r>
              <w:rPr>
                <w:rFonts w:ascii="宋体" w:eastAsia="宋体" w:hAnsi="宋体" w:cs="宋体"/>
                <w:kern w:val="0"/>
                <w:sz w:val="20"/>
                <w:szCs w:val="20"/>
              </w:rPr>
              <w:t xml:space="preserve"> 1级</w:t>
            </w:r>
          </w:p>
        </w:tc>
        <w:tc>
          <w:tcPr>
            <w:tcW w:w="1220" w:type="dxa"/>
            <w:vMerge/>
            <w:shd w:val="clear" w:color="auto" w:fill="auto"/>
            <w:vAlign w:val="center"/>
          </w:tcPr>
          <w:p w:rsidR="00C75349" w:rsidRDefault="00C75349">
            <w:pPr>
              <w:jc w:val="left"/>
              <w:rPr>
                <w:rFonts w:ascii="宋体" w:eastAsia="宋体" w:hAnsi="宋体" w:cs="宋体"/>
                <w:b/>
                <w:bCs/>
                <w:kern w:val="0"/>
                <w:sz w:val="20"/>
                <w:szCs w:val="20"/>
              </w:rPr>
            </w:pPr>
          </w:p>
        </w:tc>
      </w:tr>
      <w:tr w:rsidR="00C75349" w:rsidTr="00363A77">
        <w:trPr>
          <w:trHeight w:val="113"/>
        </w:trPr>
        <w:tc>
          <w:tcPr>
            <w:tcW w:w="728" w:type="dxa"/>
            <w:vMerge/>
          </w:tcPr>
          <w:p w:rsidR="00C75349" w:rsidRDefault="00C75349" w:rsidP="00C240B1">
            <w:pPr>
              <w:jc w:val="center"/>
              <w:rPr>
                <w:rFonts w:ascii="宋体" w:eastAsia="宋体" w:hAnsi="宋体" w:cs="宋体"/>
                <w:b/>
                <w:bCs/>
                <w:kern w:val="0"/>
                <w:sz w:val="20"/>
                <w:szCs w:val="20"/>
              </w:rPr>
            </w:pPr>
          </w:p>
        </w:tc>
        <w:tc>
          <w:tcPr>
            <w:tcW w:w="945" w:type="dxa"/>
            <w:vMerge/>
            <w:vAlign w:val="center"/>
          </w:tcPr>
          <w:p w:rsidR="00C75349" w:rsidRDefault="00C75349" w:rsidP="00A84455">
            <w:pPr>
              <w:jc w:val="center"/>
              <w:rPr>
                <w:rFonts w:ascii="宋体" w:eastAsia="宋体" w:hAnsi="宋体" w:cs="宋体"/>
                <w:b/>
                <w:bCs/>
                <w:kern w:val="0"/>
                <w:sz w:val="20"/>
                <w:szCs w:val="20"/>
              </w:rPr>
            </w:pPr>
          </w:p>
        </w:tc>
        <w:tc>
          <w:tcPr>
            <w:tcW w:w="919" w:type="dxa"/>
            <w:vMerge/>
            <w:vAlign w:val="center"/>
          </w:tcPr>
          <w:p w:rsidR="00C75349" w:rsidRDefault="00C75349">
            <w:pPr>
              <w:widowControl/>
              <w:jc w:val="left"/>
              <w:rPr>
                <w:rFonts w:ascii="宋体" w:eastAsia="宋体" w:hAnsi="宋体" w:cs="宋体"/>
                <w:kern w:val="0"/>
                <w:sz w:val="20"/>
                <w:szCs w:val="20"/>
              </w:rPr>
            </w:pPr>
          </w:p>
        </w:tc>
        <w:tc>
          <w:tcPr>
            <w:tcW w:w="3097" w:type="dxa"/>
            <w:shd w:val="clear" w:color="auto" w:fill="auto"/>
            <w:vAlign w:val="center"/>
          </w:tcPr>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t>三相平衡</w:t>
            </w:r>
          </w:p>
        </w:tc>
        <w:tc>
          <w:tcPr>
            <w:tcW w:w="14175" w:type="dxa"/>
            <w:gridSpan w:val="3"/>
            <w:shd w:val="clear" w:color="auto" w:fill="auto"/>
            <w:vAlign w:val="center"/>
          </w:tcPr>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t>□单相负荷合理选择相位，使三相尽量平衡。最大相负荷不超过三相负荷平均值的</w:t>
            </w:r>
            <w:r>
              <w:rPr>
                <w:rFonts w:ascii="宋体" w:eastAsia="宋体" w:hAnsi="宋体" w:cs="宋体"/>
                <w:kern w:val="0"/>
                <w:sz w:val="20"/>
                <w:szCs w:val="20"/>
              </w:rPr>
              <w:t>115％，最小相负荷不小于三相负荷平均值的85％</w:t>
            </w:r>
          </w:p>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t>□三相供电的用户，照明、插座等同一类型的单相负荷不集中于同一相上</w:t>
            </w:r>
          </w:p>
        </w:tc>
        <w:tc>
          <w:tcPr>
            <w:tcW w:w="1220" w:type="dxa"/>
            <w:shd w:val="clear" w:color="auto" w:fill="auto"/>
            <w:vAlign w:val="center"/>
          </w:tcPr>
          <w:p w:rsidR="00C75349" w:rsidRDefault="00C75349">
            <w:pPr>
              <w:widowControl/>
              <w:jc w:val="left"/>
              <w:rPr>
                <w:rFonts w:ascii="宋体" w:eastAsia="宋体" w:hAnsi="宋体" w:cs="宋体"/>
                <w:b/>
                <w:bCs/>
                <w:kern w:val="0"/>
                <w:sz w:val="20"/>
                <w:szCs w:val="20"/>
              </w:rPr>
            </w:pPr>
            <w:r>
              <w:rPr>
                <w:rFonts w:ascii="宋体" w:eastAsia="宋体" w:hAnsi="宋体" w:cs="宋体" w:hint="eastAsia"/>
                <w:b/>
                <w:bCs/>
                <w:kern w:val="0"/>
                <w:sz w:val="20"/>
                <w:szCs w:val="20"/>
              </w:rPr>
              <w:t>仅初步设计阶段需要</w:t>
            </w:r>
          </w:p>
        </w:tc>
      </w:tr>
      <w:tr w:rsidR="00C75349" w:rsidTr="00363A77">
        <w:trPr>
          <w:trHeight w:val="113"/>
        </w:trPr>
        <w:tc>
          <w:tcPr>
            <w:tcW w:w="728" w:type="dxa"/>
            <w:vMerge/>
          </w:tcPr>
          <w:p w:rsidR="00C75349" w:rsidRDefault="00C75349" w:rsidP="00C240B1">
            <w:pPr>
              <w:jc w:val="center"/>
              <w:rPr>
                <w:rFonts w:ascii="宋体" w:eastAsia="宋体" w:hAnsi="宋体" w:cs="宋体"/>
                <w:b/>
                <w:bCs/>
                <w:kern w:val="0"/>
                <w:sz w:val="20"/>
                <w:szCs w:val="20"/>
              </w:rPr>
            </w:pPr>
          </w:p>
        </w:tc>
        <w:tc>
          <w:tcPr>
            <w:tcW w:w="945" w:type="dxa"/>
            <w:vMerge/>
            <w:vAlign w:val="center"/>
          </w:tcPr>
          <w:p w:rsidR="00C75349" w:rsidRDefault="00C75349" w:rsidP="00A84455">
            <w:pPr>
              <w:jc w:val="center"/>
              <w:rPr>
                <w:rFonts w:ascii="宋体" w:eastAsia="宋体" w:hAnsi="宋体" w:cs="宋体"/>
                <w:b/>
                <w:bCs/>
                <w:kern w:val="0"/>
                <w:sz w:val="20"/>
                <w:szCs w:val="20"/>
              </w:rPr>
            </w:pPr>
          </w:p>
        </w:tc>
        <w:tc>
          <w:tcPr>
            <w:tcW w:w="919" w:type="dxa"/>
            <w:vMerge/>
            <w:vAlign w:val="center"/>
          </w:tcPr>
          <w:p w:rsidR="00C75349" w:rsidRDefault="00C75349">
            <w:pPr>
              <w:widowControl/>
              <w:jc w:val="left"/>
              <w:rPr>
                <w:rFonts w:ascii="宋体" w:eastAsia="宋体" w:hAnsi="宋体" w:cs="宋体"/>
                <w:kern w:val="0"/>
                <w:sz w:val="20"/>
                <w:szCs w:val="20"/>
              </w:rPr>
            </w:pPr>
          </w:p>
        </w:tc>
        <w:tc>
          <w:tcPr>
            <w:tcW w:w="3097" w:type="dxa"/>
            <w:shd w:val="clear" w:color="auto" w:fill="auto"/>
            <w:vAlign w:val="center"/>
          </w:tcPr>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t>无功补偿</w:t>
            </w:r>
          </w:p>
        </w:tc>
        <w:tc>
          <w:tcPr>
            <w:tcW w:w="14175" w:type="dxa"/>
            <w:gridSpan w:val="3"/>
            <w:shd w:val="clear" w:color="auto" w:fill="auto"/>
            <w:vAlign w:val="center"/>
          </w:tcPr>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t>□设置集中无功补偿装置；适当的分相补偿</w:t>
            </w:r>
          </w:p>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t>□单相负荷较多时设置适当的分相补偿</w:t>
            </w:r>
          </w:p>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t>□距变电所较远、无功功率大的设备（组）设置就地无功补偿</w:t>
            </w:r>
          </w:p>
        </w:tc>
        <w:tc>
          <w:tcPr>
            <w:tcW w:w="1220" w:type="dxa"/>
            <w:shd w:val="clear" w:color="auto" w:fill="auto"/>
            <w:vAlign w:val="center"/>
          </w:tcPr>
          <w:p w:rsidR="00C75349" w:rsidRDefault="00C75349">
            <w:pPr>
              <w:widowControl/>
              <w:jc w:val="left"/>
              <w:rPr>
                <w:rFonts w:ascii="宋体" w:eastAsia="宋体" w:hAnsi="宋体" w:cs="宋体"/>
                <w:b/>
                <w:bCs/>
                <w:kern w:val="0"/>
                <w:sz w:val="20"/>
                <w:szCs w:val="20"/>
              </w:rPr>
            </w:pPr>
            <w:r>
              <w:rPr>
                <w:rFonts w:ascii="宋体" w:eastAsia="宋体" w:hAnsi="宋体" w:cs="宋体" w:hint="eastAsia"/>
                <w:b/>
                <w:bCs/>
                <w:kern w:val="0"/>
                <w:sz w:val="20"/>
                <w:szCs w:val="20"/>
              </w:rPr>
              <w:t>仅初步设计阶段需要</w:t>
            </w:r>
          </w:p>
        </w:tc>
      </w:tr>
      <w:tr w:rsidR="00C75349" w:rsidTr="00522BB2">
        <w:trPr>
          <w:trHeight w:val="113"/>
        </w:trPr>
        <w:tc>
          <w:tcPr>
            <w:tcW w:w="728" w:type="dxa"/>
            <w:vMerge/>
          </w:tcPr>
          <w:p w:rsidR="00C75349" w:rsidRDefault="00C75349" w:rsidP="00C240B1">
            <w:pPr>
              <w:jc w:val="center"/>
              <w:rPr>
                <w:rFonts w:ascii="宋体" w:eastAsia="宋体" w:hAnsi="宋体" w:cs="宋体"/>
                <w:b/>
                <w:bCs/>
                <w:kern w:val="0"/>
                <w:sz w:val="20"/>
                <w:szCs w:val="20"/>
              </w:rPr>
            </w:pPr>
          </w:p>
        </w:tc>
        <w:tc>
          <w:tcPr>
            <w:tcW w:w="945" w:type="dxa"/>
            <w:vMerge/>
            <w:vAlign w:val="center"/>
          </w:tcPr>
          <w:p w:rsidR="00C75349" w:rsidRDefault="00C75349" w:rsidP="00A84455">
            <w:pPr>
              <w:jc w:val="center"/>
              <w:rPr>
                <w:rFonts w:ascii="宋体" w:eastAsia="宋体" w:hAnsi="宋体" w:cs="宋体"/>
                <w:b/>
                <w:bCs/>
                <w:kern w:val="0"/>
                <w:sz w:val="20"/>
                <w:szCs w:val="20"/>
              </w:rPr>
            </w:pPr>
          </w:p>
        </w:tc>
        <w:tc>
          <w:tcPr>
            <w:tcW w:w="919" w:type="dxa"/>
            <w:vMerge/>
            <w:vAlign w:val="center"/>
          </w:tcPr>
          <w:p w:rsidR="00C75349" w:rsidRDefault="00C75349">
            <w:pPr>
              <w:widowControl/>
              <w:jc w:val="left"/>
              <w:rPr>
                <w:rFonts w:ascii="宋体" w:eastAsia="宋体" w:hAnsi="宋体" w:cs="宋体"/>
                <w:kern w:val="0"/>
                <w:sz w:val="20"/>
                <w:szCs w:val="20"/>
              </w:rPr>
            </w:pPr>
          </w:p>
        </w:tc>
        <w:tc>
          <w:tcPr>
            <w:tcW w:w="3097" w:type="dxa"/>
            <w:shd w:val="clear" w:color="auto" w:fill="auto"/>
            <w:vAlign w:val="center"/>
          </w:tcPr>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t>谐波防治措施</w:t>
            </w:r>
          </w:p>
        </w:tc>
        <w:tc>
          <w:tcPr>
            <w:tcW w:w="4536" w:type="dxa"/>
            <w:shd w:val="clear" w:color="auto" w:fill="auto"/>
            <w:vAlign w:val="center"/>
          </w:tcPr>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t>□选用用电设备的谐波电流限值满足国家标准《电磁兼容</w:t>
            </w:r>
            <w:r>
              <w:rPr>
                <w:rFonts w:ascii="宋体" w:eastAsia="宋体" w:hAnsi="宋体" w:cs="宋体"/>
                <w:kern w:val="0"/>
                <w:sz w:val="20"/>
                <w:szCs w:val="20"/>
              </w:rPr>
              <w:t xml:space="preserve"> </w:t>
            </w:r>
            <w:r>
              <w:rPr>
                <w:rFonts w:ascii="宋体" w:eastAsia="宋体" w:hAnsi="宋体" w:cs="宋体" w:hint="eastAsia"/>
                <w:kern w:val="0"/>
                <w:sz w:val="20"/>
                <w:szCs w:val="20"/>
              </w:rPr>
              <w:t>限值</w:t>
            </w:r>
            <w:r>
              <w:rPr>
                <w:rFonts w:ascii="宋体" w:eastAsia="宋体" w:hAnsi="宋体" w:cs="宋体"/>
                <w:kern w:val="0"/>
                <w:sz w:val="20"/>
                <w:szCs w:val="20"/>
              </w:rPr>
              <w:t xml:space="preserve"> </w:t>
            </w:r>
            <w:r>
              <w:rPr>
                <w:rFonts w:ascii="宋体" w:eastAsia="宋体" w:hAnsi="宋体" w:cs="宋体" w:hint="eastAsia"/>
                <w:kern w:val="0"/>
                <w:sz w:val="20"/>
                <w:szCs w:val="20"/>
              </w:rPr>
              <w:t>谐波电流发射限值》</w:t>
            </w:r>
            <w:r>
              <w:rPr>
                <w:rFonts w:ascii="宋体" w:eastAsia="宋体" w:hAnsi="宋体" w:cs="宋体"/>
                <w:kern w:val="0"/>
                <w:sz w:val="20"/>
                <w:szCs w:val="20"/>
              </w:rPr>
              <w:t>GB17625.1的要求</w:t>
            </w:r>
          </w:p>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t>□在变电所对供电系统进行谐波监测</w:t>
            </w:r>
            <w:r>
              <w:rPr>
                <w:rFonts w:ascii="宋体" w:eastAsia="宋体" w:hAnsi="宋体" w:cs="宋体"/>
                <w:kern w:val="0"/>
                <w:sz w:val="20"/>
                <w:szCs w:val="20"/>
              </w:rPr>
              <w:br/>
            </w:r>
            <w:r>
              <w:rPr>
                <w:rFonts w:ascii="宋体" w:eastAsia="宋体" w:hAnsi="宋体" w:cs="宋体" w:hint="eastAsia"/>
                <w:kern w:val="0"/>
                <w:sz w:val="20"/>
                <w:szCs w:val="20"/>
              </w:rPr>
              <w:t>□无功补偿电容串接电抗器，防止谐波放大</w:t>
            </w:r>
          </w:p>
        </w:tc>
        <w:tc>
          <w:tcPr>
            <w:tcW w:w="4678" w:type="dxa"/>
            <w:shd w:val="clear" w:color="auto" w:fill="auto"/>
            <w:vAlign w:val="center"/>
          </w:tcPr>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t>□选用用电设备的谐波电流限值满足国家标准《电磁兼容</w:t>
            </w:r>
            <w:r>
              <w:rPr>
                <w:rFonts w:ascii="宋体" w:eastAsia="宋体" w:hAnsi="宋体" w:cs="宋体"/>
                <w:kern w:val="0"/>
                <w:sz w:val="20"/>
                <w:szCs w:val="20"/>
              </w:rPr>
              <w:t xml:space="preserve"> </w:t>
            </w:r>
            <w:r>
              <w:rPr>
                <w:rFonts w:ascii="宋体" w:eastAsia="宋体" w:hAnsi="宋体" w:cs="宋体" w:hint="eastAsia"/>
                <w:kern w:val="0"/>
                <w:sz w:val="20"/>
                <w:szCs w:val="20"/>
              </w:rPr>
              <w:t>限值</w:t>
            </w:r>
            <w:r>
              <w:rPr>
                <w:rFonts w:ascii="宋体" w:eastAsia="宋体" w:hAnsi="宋体" w:cs="宋体"/>
                <w:kern w:val="0"/>
                <w:sz w:val="20"/>
                <w:szCs w:val="20"/>
              </w:rPr>
              <w:t xml:space="preserve"> </w:t>
            </w:r>
            <w:r>
              <w:rPr>
                <w:rFonts w:ascii="宋体" w:eastAsia="宋体" w:hAnsi="宋体" w:cs="宋体" w:hint="eastAsia"/>
                <w:kern w:val="0"/>
                <w:sz w:val="20"/>
                <w:szCs w:val="20"/>
              </w:rPr>
              <w:t>谐波电流发射限值》</w:t>
            </w:r>
            <w:r>
              <w:rPr>
                <w:rFonts w:ascii="宋体" w:eastAsia="宋体" w:hAnsi="宋体" w:cs="宋体"/>
                <w:kern w:val="0"/>
                <w:sz w:val="20"/>
                <w:szCs w:val="20"/>
              </w:rPr>
              <w:t>GB17625.1的要求</w:t>
            </w:r>
          </w:p>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t>□在变电所对供电系统进行谐波监测</w:t>
            </w:r>
            <w:r>
              <w:rPr>
                <w:rFonts w:ascii="宋体" w:eastAsia="宋体" w:hAnsi="宋体" w:cs="宋体"/>
                <w:kern w:val="0"/>
                <w:sz w:val="20"/>
                <w:szCs w:val="20"/>
              </w:rPr>
              <w:br/>
            </w:r>
            <w:r>
              <w:rPr>
                <w:rFonts w:ascii="宋体" w:eastAsia="宋体" w:hAnsi="宋体" w:cs="宋体" w:hint="eastAsia"/>
                <w:kern w:val="0"/>
                <w:sz w:val="20"/>
                <w:szCs w:val="20"/>
              </w:rPr>
              <w:t>□无功补偿电容串接电抗器，防止谐波放大</w:t>
            </w:r>
          </w:p>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t>□功率较大、谐波严重的设备，由变电所专线供电；</w:t>
            </w:r>
          </w:p>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t>□在变电所设置滤波器或预留滤波器的柜位。</w:t>
            </w:r>
          </w:p>
        </w:tc>
        <w:tc>
          <w:tcPr>
            <w:tcW w:w="4961" w:type="dxa"/>
            <w:shd w:val="clear" w:color="auto" w:fill="auto"/>
            <w:vAlign w:val="center"/>
          </w:tcPr>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t>□选用用电设备的谐波电流限值满足国家标准：《电磁兼容</w:t>
            </w:r>
            <w:r>
              <w:rPr>
                <w:rFonts w:ascii="宋体" w:eastAsia="宋体" w:hAnsi="宋体" w:cs="宋体"/>
                <w:kern w:val="0"/>
                <w:sz w:val="20"/>
                <w:szCs w:val="20"/>
              </w:rPr>
              <w:t xml:space="preserve"> </w:t>
            </w:r>
            <w:r>
              <w:rPr>
                <w:rFonts w:ascii="宋体" w:eastAsia="宋体" w:hAnsi="宋体" w:cs="宋体" w:hint="eastAsia"/>
                <w:kern w:val="0"/>
                <w:sz w:val="20"/>
                <w:szCs w:val="20"/>
              </w:rPr>
              <w:t>限值</w:t>
            </w:r>
            <w:r>
              <w:rPr>
                <w:rFonts w:ascii="宋体" w:eastAsia="宋体" w:hAnsi="宋体" w:cs="宋体"/>
                <w:kern w:val="0"/>
                <w:sz w:val="20"/>
                <w:szCs w:val="20"/>
              </w:rPr>
              <w:t xml:space="preserve"> </w:t>
            </w:r>
            <w:r>
              <w:rPr>
                <w:rFonts w:ascii="宋体" w:eastAsia="宋体" w:hAnsi="宋体" w:cs="宋体" w:hint="eastAsia"/>
                <w:kern w:val="0"/>
                <w:sz w:val="20"/>
                <w:szCs w:val="20"/>
              </w:rPr>
              <w:t>谐波电流发射限值》</w:t>
            </w:r>
            <w:r>
              <w:rPr>
                <w:rFonts w:ascii="宋体" w:eastAsia="宋体" w:hAnsi="宋体" w:cs="宋体"/>
                <w:kern w:val="0"/>
                <w:sz w:val="20"/>
                <w:szCs w:val="20"/>
              </w:rPr>
              <w:t xml:space="preserve">GB17625.1、《电磁兼容 </w:t>
            </w:r>
            <w:r>
              <w:rPr>
                <w:rFonts w:ascii="宋体" w:eastAsia="宋体" w:hAnsi="宋体" w:cs="宋体" w:hint="eastAsia"/>
                <w:kern w:val="0"/>
                <w:sz w:val="20"/>
                <w:szCs w:val="20"/>
              </w:rPr>
              <w:t>限值</w:t>
            </w:r>
            <w:r>
              <w:rPr>
                <w:rFonts w:ascii="宋体" w:eastAsia="宋体" w:hAnsi="宋体" w:cs="宋体"/>
                <w:kern w:val="0"/>
                <w:sz w:val="20"/>
                <w:szCs w:val="20"/>
              </w:rPr>
              <w:t xml:space="preserve"> </w:t>
            </w:r>
            <w:r>
              <w:rPr>
                <w:rFonts w:ascii="宋体" w:eastAsia="宋体" w:hAnsi="宋体" w:cs="宋体" w:hint="eastAsia"/>
                <w:kern w:val="0"/>
                <w:sz w:val="20"/>
                <w:szCs w:val="20"/>
              </w:rPr>
              <w:t>对额定电流大于</w:t>
            </w:r>
            <w:r>
              <w:rPr>
                <w:rFonts w:ascii="宋体" w:eastAsia="宋体" w:hAnsi="宋体" w:cs="宋体"/>
                <w:kern w:val="0"/>
                <w:sz w:val="20"/>
                <w:szCs w:val="20"/>
              </w:rPr>
              <w:t>16A的设备在低压供电系统中产生的谐波电流的限制》GB/Z17625.6的要求</w:t>
            </w:r>
          </w:p>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t>□在变电所对供电系统进行谐波监测</w:t>
            </w:r>
            <w:r>
              <w:rPr>
                <w:rFonts w:ascii="宋体" w:eastAsia="宋体" w:hAnsi="宋体" w:cs="宋体"/>
                <w:kern w:val="0"/>
                <w:sz w:val="20"/>
                <w:szCs w:val="20"/>
              </w:rPr>
              <w:br/>
            </w:r>
            <w:r>
              <w:rPr>
                <w:rFonts w:ascii="宋体" w:eastAsia="宋体" w:hAnsi="宋体" w:cs="宋体" w:hint="eastAsia"/>
                <w:kern w:val="0"/>
                <w:sz w:val="20"/>
                <w:szCs w:val="20"/>
              </w:rPr>
              <w:t>□无功补偿电容串接电抗器，防止谐波放大</w:t>
            </w:r>
            <w:r>
              <w:rPr>
                <w:rFonts w:ascii="宋体" w:eastAsia="宋体" w:hAnsi="宋体" w:cs="宋体"/>
                <w:kern w:val="0"/>
                <w:sz w:val="20"/>
                <w:szCs w:val="20"/>
              </w:rPr>
              <w:br/>
            </w:r>
            <w:r>
              <w:rPr>
                <w:rFonts w:ascii="宋体" w:eastAsia="宋体" w:hAnsi="宋体" w:cs="宋体" w:hint="eastAsia"/>
                <w:kern w:val="0"/>
                <w:sz w:val="20"/>
                <w:szCs w:val="20"/>
              </w:rPr>
              <w:t>□功率较大、谐波严重的设备，由变电所专线供电；</w:t>
            </w:r>
          </w:p>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t>□在变电所设置滤波器或预留滤波器的柜位。</w:t>
            </w:r>
          </w:p>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t>□谐波源较大的机房或设备就地设置谐波抑制装置</w:t>
            </w:r>
          </w:p>
        </w:tc>
        <w:tc>
          <w:tcPr>
            <w:tcW w:w="1220" w:type="dxa"/>
            <w:shd w:val="clear" w:color="auto" w:fill="auto"/>
            <w:vAlign w:val="center"/>
          </w:tcPr>
          <w:p w:rsidR="00C75349" w:rsidRDefault="00C75349">
            <w:pPr>
              <w:widowControl/>
              <w:jc w:val="left"/>
              <w:rPr>
                <w:rFonts w:ascii="宋体" w:eastAsia="宋体" w:hAnsi="宋体" w:cs="宋体"/>
                <w:b/>
                <w:bCs/>
                <w:kern w:val="0"/>
                <w:sz w:val="20"/>
                <w:szCs w:val="20"/>
              </w:rPr>
            </w:pPr>
            <w:r>
              <w:rPr>
                <w:rFonts w:ascii="宋体" w:eastAsia="宋体" w:hAnsi="宋体" w:cs="宋体" w:hint="eastAsia"/>
                <w:b/>
                <w:bCs/>
                <w:kern w:val="0"/>
                <w:sz w:val="20"/>
                <w:szCs w:val="20"/>
              </w:rPr>
              <w:t>仅初步设计阶段需要</w:t>
            </w:r>
          </w:p>
        </w:tc>
      </w:tr>
      <w:tr w:rsidR="00C75349" w:rsidTr="00522BB2">
        <w:trPr>
          <w:trHeight w:val="113"/>
        </w:trPr>
        <w:tc>
          <w:tcPr>
            <w:tcW w:w="728" w:type="dxa"/>
            <w:vMerge/>
          </w:tcPr>
          <w:p w:rsidR="00C75349" w:rsidRDefault="00C75349" w:rsidP="00C240B1">
            <w:pPr>
              <w:jc w:val="center"/>
              <w:rPr>
                <w:rFonts w:ascii="宋体" w:eastAsia="宋体" w:hAnsi="宋体" w:cs="宋体"/>
                <w:b/>
                <w:bCs/>
                <w:kern w:val="0"/>
                <w:sz w:val="20"/>
                <w:szCs w:val="20"/>
              </w:rPr>
            </w:pPr>
          </w:p>
        </w:tc>
        <w:tc>
          <w:tcPr>
            <w:tcW w:w="945" w:type="dxa"/>
            <w:vMerge/>
            <w:vAlign w:val="center"/>
          </w:tcPr>
          <w:p w:rsidR="00C75349" w:rsidRDefault="00C75349" w:rsidP="00A84455">
            <w:pPr>
              <w:jc w:val="center"/>
              <w:rPr>
                <w:rFonts w:ascii="宋体" w:eastAsia="宋体" w:hAnsi="宋体" w:cs="宋体"/>
                <w:b/>
                <w:bCs/>
                <w:kern w:val="0"/>
                <w:sz w:val="20"/>
                <w:szCs w:val="20"/>
              </w:rPr>
            </w:pPr>
          </w:p>
        </w:tc>
        <w:tc>
          <w:tcPr>
            <w:tcW w:w="919" w:type="dxa"/>
            <w:vMerge/>
            <w:vAlign w:val="center"/>
          </w:tcPr>
          <w:p w:rsidR="00C75349" w:rsidRDefault="00C75349">
            <w:pPr>
              <w:widowControl/>
              <w:jc w:val="left"/>
              <w:rPr>
                <w:rFonts w:ascii="宋体" w:eastAsia="宋体" w:hAnsi="宋体" w:cs="宋体"/>
                <w:kern w:val="0"/>
                <w:sz w:val="20"/>
                <w:szCs w:val="20"/>
              </w:rPr>
            </w:pPr>
          </w:p>
        </w:tc>
        <w:tc>
          <w:tcPr>
            <w:tcW w:w="3097" w:type="dxa"/>
            <w:shd w:val="clear" w:color="auto" w:fill="auto"/>
            <w:vAlign w:val="center"/>
          </w:tcPr>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t>供电线路</w:t>
            </w:r>
          </w:p>
        </w:tc>
        <w:tc>
          <w:tcPr>
            <w:tcW w:w="4536" w:type="dxa"/>
            <w:shd w:val="clear" w:color="auto" w:fill="auto"/>
            <w:vAlign w:val="center"/>
          </w:tcPr>
          <w:p w:rsidR="00C75349" w:rsidRDefault="00C75349">
            <w:pPr>
              <w:widowControl/>
              <w:jc w:val="left"/>
              <w:rPr>
                <w:rFonts w:ascii="宋体" w:eastAsia="宋体" w:hAnsi="宋体" w:cs="宋体"/>
                <w:kern w:val="0"/>
                <w:sz w:val="20"/>
                <w:szCs w:val="20"/>
              </w:rPr>
            </w:pPr>
          </w:p>
        </w:tc>
        <w:tc>
          <w:tcPr>
            <w:tcW w:w="4678" w:type="dxa"/>
            <w:shd w:val="clear" w:color="auto" w:fill="auto"/>
            <w:vAlign w:val="center"/>
          </w:tcPr>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t>□采用铜导体，并采用低烟或无烟、低毒或无毒的阻燃或不燃型线缆。</w:t>
            </w:r>
          </w:p>
        </w:tc>
        <w:tc>
          <w:tcPr>
            <w:tcW w:w="4961" w:type="dxa"/>
            <w:shd w:val="clear" w:color="auto" w:fill="auto"/>
            <w:vAlign w:val="center"/>
          </w:tcPr>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t>□采用铜导体，并采用低烟或无烟、低毒或无毒的阻燃或不燃型线缆。</w:t>
            </w:r>
          </w:p>
        </w:tc>
        <w:tc>
          <w:tcPr>
            <w:tcW w:w="1220" w:type="dxa"/>
            <w:shd w:val="clear" w:color="auto" w:fill="auto"/>
            <w:vAlign w:val="center"/>
          </w:tcPr>
          <w:p w:rsidR="00C75349" w:rsidRDefault="00C75349">
            <w:pPr>
              <w:widowControl/>
              <w:jc w:val="left"/>
              <w:rPr>
                <w:rFonts w:ascii="宋体" w:eastAsia="宋体" w:hAnsi="宋体" w:cs="宋体"/>
                <w:b/>
                <w:bCs/>
                <w:kern w:val="0"/>
                <w:sz w:val="20"/>
                <w:szCs w:val="20"/>
              </w:rPr>
            </w:pPr>
          </w:p>
        </w:tc>
      </w:tr>
      <w:tr w:rsidR="00C75349" w:rsidTr="00522BB2">
        <w:trPr>
          <w:trHeight w:val="20"/>
        </w:trPr>
        <w:tc>
          <w:tcPr>
            <w:tcW w:w="728" w:type="dxa"/>
            <w:vMerge/>
            <w:vAlign w:val="center"/>
          </w:tcPr>
          <w:p w:rsidR="00C75349" w:rsidRDefault="00C75349">
            <w:pPr>
              <w:widowControl/>
              <w:jc w:val="center"/>
              <w:rPr>
                <w:rFonts w:ascii="宋体" w:eastAsia="宋体" w:hAnsi="宋体" w:cs="宋体"/>
                <w:b/>
                <w:bCs/>
                <w:kern w:val="0"/>
                <w:sz w:val="20"/>
                <w:szCs w:val="20"/>
              </w:rPr>
            </w:pPr>
          </w:p>
        </w:tc>
        <w:tc>
          <w:tcPr>
            <w:tcW w:w="945" w:type="dxa"/>
            <w:vMerge/>
            <w:vAlign w:val="center"/>
          </w:tcPr>
          <w:p w:rsidR="00C75349" w:rsidRDefault="00C75349">
            <w:pPr>
              <w:widowControl/>
              <w:jc w:val="center"/>
              <w:rPr>
                <w:rFonts w:ascii="宋体" w:eastAsia="宋体" w:hAnsi="宋体" w:cs="宋体"/>
                <w:b/>
                <w:bCs/>
                <w:kern w:val="0"/>
                <w:sz w:val="20"/>
                <w:szCs w:val="20"/>
              </w:rPr>
            </w:pPr>
          </w:p>
        </w:tc>
        <w:tc>
          <w:tcPr>
            <w:tcW w:w="919" w:type="dxa"/>
            <w:vMerge w:val="restart"/>
            <w:shd w:val="clear" w:color="auto" w:fill="auto"/>
            <w:vAlign w:val="center"/>
          </w:tcPr>
          <w:p w:rsidR="00C75349" w:rsidRDefault="00C75349" w:rsidP="000A7734">
            <w:pPr>
              <w:widowControl/>
              <w:jc w:val="center"/>
              <w:rPr>
                <w:rFonts w:ascii="宋体" w:eastAsia="宋体" w:hAnsi="宋体" w:cs="宋体"/>
                <w:kern w:val="0"/>
                <w:sz w:val="20"/>
                <w:szCs w:val="20"/>
              </w:rPr>
            </w:pPr>
            <w:r>
              <w:rPr>
                <w:rFonts w:ascii="宋体" w:eastAsia="宋体" w:hAnsi="宋体" w:cs="宋体" w:hint="eastAsia"/>
                <w:kern w:val="0"/>
                <w:sz w:val="20"/>
                <w:szCs w:val="20"/>
              </w:rPr>
              <w:t>照明系统</w:t>
            </w:r>
          </w:p>
        </w:tc>
        <w:tc>
          <w:tcPr>
            <w:tcW w:w="3097" w:type="dxa"/>
            <w:shd w:val="clear" w:color="auto" w:fill="auto"/>
            <w:vAlign w:val="center"/>
          </w:tcPr>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t>照明质量、照度标准﹑照明功率密度值；</w:t>
            </w:r>
          </w:p>
        </w:tc>
        <w:tc>
          <w:tcPr>
            <w:tcW w:w="4536" w:type="dxa"/>
            <w:shd w:val="clear" w:color="auto" w:fill="auto"/>
            <w:vAlign w:val="center"/>
          </w:tcPr>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t>□室内照明按照现行国家标准《建筑照明设计标准》</w:t>
            </w:r>
            <w:r>
              <w:rPr>
                <w:rFonts w:ascii="宋体" w:eastAsia="宋体" w:hAnsi="宋体" w:cs="宋体"/>
                <w:kern w:val="0"/>
                <w:sz w:val="20"/>
                <w:szCs w:val="20"/>
              </w:rPr>
              <w:t>GB50034规定的照度标准设计；眩光限制、照度均匀度及光源的显色指数等均满足该标准的规定。</w:t>
            </w:r>
            <w:r>
              <w:rPr>
                <w:rFonts w:ascii="宋体" w:eastAsia="宋体" w:hAnsi="宋体" w:cs="宋体"/>
                <w:kern w:val="0"/>
                <w:sz w:val="20"/>
                <w:szCs w:val="20"/>
              </w:rPr>
              <w:br/>
            </w:r>
            <w:r>
              <w:rPr>
                <w:rFonts w:ascii="宋体" w:eastAsia="宋体" w:hAnsi="宋体" w:cs="宋体" w:hint="eastAsia"/>
                <w:kern w:val="0"/>
                <w:sz w:val="20"/>
                <w:szCs w:val="20"/>
              </w:rPr>
              <w:t>□室内主要场所的</w:t>
            </w:r>
            <w:r>
              <w:rPr>
                <w:rFonts w:ascii="宋体" w:eastAsia="宋体" w:hAnsi="宋体" w:cs="宋体"/>
                <w:kern w:val="0"/>
                <w:sz w:val="20"/>
                <w:szCs w:val="20"/>
              </w:rPr>
              <w:t>LPD按目标值执行</w:t>
            </w:r>
            <w:r>
              <w:rPr>
                <w:rFonts w:ascii="宋体" w:eastAsia="宋体" w:hAnsi="宋体" w:cs="宋体"/>
                <w:kern w:val="0"/>
                <w:sz w:val="20"/>
                <w:szCs w:val="20"/>
              </w:rPr>
              <w:br/>
            </w:r>
            <w:r>
              <w:rPr>
                <w:rFonts w:ascii="宋体" w:eastAsia="宋体" w:hAnsi="宋体" w:cs="宋体" w:hint="eastAsia"/>
                <w:kern w:val="0"/>
                <w:sz w:val="20"/>
                <w:szCs w:val="20"/>
              </w:rPr>
              <w:t>□各种室外照明产生的光污染、室外灯光对室内的影响满足现行行业标准《城市夜景照明设计规范》</w:t>
            </w:r>
            <w:r>
              <w:rPr>
                <w:rFonts w:ascii="宋体" w:eastAsia="宋体" w:hAnsi="宋体" w:cs="宋体"/>
                <w:kern w:val="0"/>
                <w:sz w:val="20"/>
                <w:szCs w:val="20"/>
              </w:rPr>
              <w:t xml:space="preserve"> JGJ/T163</w:t>
            </w:r>
            <w:r>
              <w:rPr>
                <w:rFonts w:ascii="宋体" w:eastAsia="宋体" w:hAnsi="宋体" w:cs="宋体" w:hint="eastAsia"/>
                <w:sz w:val="20"/>
                <w:szCs w:val="20"/>
              </w:rPr>
              <w:t>、浙江省标准《</w:t>
            </w:r>
            <w:r>
              <w:rPr>
                <w:rFonts w:ascii="宋体" w:eastAsia="宋体" w:hAnsi="宋体" w:cs="宋体"/>
                <w:sz w:val="20"/>
                <w:szCs w:val="20"/>
              </w:rPr>
              <w:t>环境照明工程设计规范</w:t>
            </w:r>
            <w:r>
              <w:rPr>
                <w:rFonts w:ascii="宋体" w:eastAsia="宋体" w:hAnsi="宋体" w:cs="宋体" w:hint="eastAsia"/>
                <w:sz w:val="20"/>
                <w:szCs w:val="20"/>
              </w:rPr>
              <w:t>》</w:t>
            </w:r>
            <w:r>
              <w:rPr>
                <w:rFonts w:ascii="宋体" w:eastAsia="宋体" w:hAnsi="宋体" w:cs="宋体"/>
                <w:sz w:val="20"/>
                <w:szCs w:val="20"/>
              </w:rPr>
              <w:t xml:space="preserve"> DB33/T 1055-2018</w:t>
            </w:r>
            <w:r>
              <w:rPr>
                <w:rFonts w:ascii="宋体" w:eastAsia="宋体" w:hAnsi="宋体" w:cs="宋体" w:hint="eastAsia"/>
                <w:kern w:val="0"/>
                <w:sz w:val="20"/>
                <w:szCs w:val="20"/>
              </w:rPr>
              <w:t>的要求</w:t>
            </w:r>
          </w:p>
        </w:tc>
        <w:tc>
          <w:tcPr>
            <w:tcW w:w="4678" w:type="dxa"/>
            <w:shd w:val="clear" w:color="auto" w:fill="auto"/>
            <w:vAlign w:val="center"/>
          </w:tcPr>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t>□室内照明按照现行国家标准《建筑照明设计标准》</w:t>
            </w:r>
            <w:r>
              <w:rPr>
                <w:rFonts w:ascii="宋体" w:eastAsia="宋体" w:hAnsi="宋体" w:cs="宋体"/>
                <w:kern w:val="0"/>
                <w:sz w:val="20"/>
                <w:szCs w:val="20"/>
              </w:rPr>
              <w:t>GB50034规定的照度标准设计；眩光限制、照度均匀度及光源的显色指数等均满足该标准的规定。</w:t>
            </w:r>
            <w:r>
              <w:rPr>
                <w:rFonts w:ascii="宋体" w:eastAsia="宋体" w:hAnsi="宋体" w:cs="宋体"/>
                <w:kern w:val="0"/>
                <w:sz w:val="20"/>
                <w:szCs w:val="20"/>
              </w:rPr>
              <w:br/>
            </w:r>
            <w:r>
              <w:rPr>
                <w:rFonts w:ascii="宋体" w:eastAsia="宋体" w:hAnsi="宋体" w:cs="宋体" w:hint="eastAsia"/>
                <w:kern w:val="0"/>
                <w:sz w:val="20"/>
                <w:szCs w:val="20"/>
              </w:rPr>
              <w:t>□室内主要场所的</w:t>
            </w:r>
            <w:r>
              <w:rPr>
                <w:rFonts w:ascii="宋体" w:eastAsia="宋体" w:hAnsi="宋体" w:cs="宋体"/>
                <w:kern w:val="0"/>
                <w:sz w:val="20"/>
                <w:szCs w:val="20"/>
              </w:rPr>
              <w:t>LPD按目标值执行</w:t>
            </w:r>
            <w:r>
              <w:rPr>
                <w:rFonts w:ascii="宋体" w:eastAsia="宋体" w:hAnsi="宋体" w:cs="宋体"/>
                <w:kern w:val="0"/>
                <w:sz w:val="20"/>
                <w:szCs w:val="20"/>
              </w:rPr>
              <w:br/>
            </w:r>
            <w:r>
              <w:rPr>
                <w:rFonts w:ascii="宋体" w:eastAsia="宋体" w:hAnsi="宋体" w:cs="宋体" w:hint="eastAsia"/>
                <w:kern w:val="0"/>
                <w:sz w:val="20"/>
                <w:szCs w:val="20"/>
              </w:rPr>
              <w:t>□各种室外照明产生的光污染、室外灯光对室内的影响满足现行行业标准《城市夜景照明设计规范》</w:t>
            </w:r>
            <w:r>
              <w:rPr>
                <w:rFonts w:ascii="宋体" w:eastAsia="宋体" w:hAnsi="宋体" w:cs="宋体"/>
                <w:kern w:val="0"/>
                <w:sz w:val="20"/>
                <w:szCs w:val="20"/>
              </w:rPr>
              <w:t xml:space="preserve"> JGJ/T163、浙江省标准</w:t>
            </w:r>
            <w:r>
              <w:rPr>
                <w:rFonts w:ascii="宋体" w:eastAsia="宋体" w:hAnsi="宋体" w:cs="宋体" w:hint="eastAsia"/>
                <w:sz w:val="20"/>
                <w:szCs w:val="20"/>
              </w:rPr>
              <w:t>《</w:t>
            </w:r>
            <w:r>
              <w:rPr>
                <w:rFonts w:ascii="宋体" w:eastAsia="宋体" w:hAnsi="宋体" w:cs="宋体"/>
                <w:sz w:val="20"/>
                <w:szCs w:val="20"/>
              </w:rPr>
              <w:t>环境照明工程设计规范</w:t>
            </w:r>
            <w:r>
              <w:rPr>
                <w:rFonts w:ascii="宋体" w:eastAsia="宋体" w:hAnsi="宋体" w:cs="宋体" w:hint="eastAsia"/>
                <w:sz w:val="20"/>
                <w:szCs w:val="20"/>
              </w:rPr>
              <w:t>》</w:t>
            </w:r>
            <w:r>
              <w:rPr>
                <w:rFonts w:ascii="宋体" w:eastAsia="宋体" w:hAnsi="宋体" w:cs="宋体"/>
                <w:sz w:val="20"/>
                <w:szCs w:val="20"/>
              </w:rPr>
              <w:t xml:space="preserve"> DB33/T 1055-2018</w:t>
            </w:r>
            <w:r>
              <w:rPr>
                <w:rFonts w:ascii="宋体" w:eastAsia="宋体" w:hAnsi="宋体" w:cs="宋体" w:hint="eastAsia"/>
                <w:kern w:val="0"/>
                <w:sz w:val="20"/>
                <w:szCs w:val="20"/>
              </w:rPr>
              <w:t>的要求</w:t>
            </w:r>
            <w:r>
              <w:rPr>
                <w:rFonts w:ascii="宋体" w:eastAsia="宋体" w:hAnsi="宋体" w:cs="宋体"/>
                <w:kern w:val="0"/>
                <w:sz w:val="20"/>
                <w:szCs w:val="20"/>
              </w:rPr>
              <w:br/>
            </w:r>
            <w:r>
              <w:rPr>
                <w:rFonts w:ascii="宋体" w:eastAsia="宋体" w:hAnsi="宋体" w:cs="宋体" w:hint="eastAsia"/>
                <w:kern w:val="0"/>
                <w:sz w:val="20"/>
                <w:szCs w:val="20"/>
              </w:rPr>
              <w:t>□</w:t>
            </w:r>
            <w:r>
              <w:rPr>
                <w:rFonts w:ascii="宋体" w:eastAsia="宋体" w:hAnsi="宋体" w:cs="宋体" w:hint="eastAsia"/>
                <w:sz w:val="20"/>
                <w:szCs w:val="20"/>
              </w:rPr>
              <w:t>步行道和非机动车道的照度标准值不低于现行行</w:t>
            </w:r>
            <w:r>
              <w:rPr>
                <w:rFonts w:ascii="宋体" w:eastAsia="宋体" w:hAnsi="宋体" w:cs="宋体" w:hint="eastAsia"/>
                <w:sz w:val="20"/>
                <w:szCs w:val="20"/>
              </w:rPr>
              <w:lastRenderedPageBreak/>
              <w:t>业标准《城市道路照明设计标准》</w:t>
            </w:r>
            <w:r>
              <w:rPr>
                <w:rFonts w:ascii="宋体" w:eastAsia="宋体" w:hAnsi="宋体" w:cs="宋体"/>
                <w:sz w:val="20"/>
                <w:szCs w:val="20"/>
              </w:rPr>
              <w:t>CJJ 45</w:t>
            </w:r>
            <w:r>
              <w:rPr>
                <w:rFonts w:ascii="宋体" w:eastAsia="宋体" w:hAnsi="宋体" w:cs="宋体" w:hint="eastAsia"/>
                <w:sz w:val="20"/>
                <w:szCs w:val="20"/>
              </w:rPr>
              <w:t>的相关要求。</w:t>
            </w:r>
          </w:p>
        </w:tc>
        <w:tc>
          <w:tcPr>
            <w:tcW w:w="4961" w:type="dxa"/>
            <w:shd w:val="clear" w:color="auto" w:fill="auto"/>
            <w:vAlign w:val="center"/>
          </w:tcPr>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lastRenderedPageBreak/>
              <w:t>□室内照明按照现行国家标准《建筑照明设计标准》</w:t>
            </w:r>
            <w:r>
              <w:rPr>
                <w:rFonts w:ascii="宋体" w:eastAsia="宋体" w:hAnsi="宋体" w:cs="宋体"/>
                <w:kern w:val="0"/>
                <w:sz w:val="20"/>
                <w:szCs w:val="20"/>
              </w:rPr>
              <w:t>GB50034规定的照度标准设计；眩光限制、照度均匀度及光源的显色指数等均满足该标准的规定</w:t>
            </w:r>
            <w:r>
              <w:rPr>
                <w:rFonts w:ascii="宋体" w:eastAsia="宋体" w:hAnsi="宋体" w:cs="宋体"/>
                <w:kern w:val="0"/>
                <w:sz w:val="20"/>
                <w:szCs w:val="20"/>
              </w:rPr>
              <w:br/>
            </w:r>
            <w:r>
              <w:rPr>
                <w:rFonts w:ascii="宋体" w:eastAsia="宋体" w:hAnsi="宋体" w:cs="宋体" w:hint="eastAsia"/>
                <w:kern w:val="0"/>
                <w:sz w:val="20"/>
                <w:szCs w:val="20"/>
              </w:rPr>
              <w:t>□室内所有场所的</w:t>
            </w:r>
            <w:r>
              <w:rPr>
                <w:rFonts w:ascii="宋体" w:eastAsia="宋体" w:hAnsi="宋体" w:cs="宋体"/>
                <w:kern w:val="0"/>
                <w:sz w:val="20"/>
                <w:szCs w:val="20"/>
              </w:rPr>
              <w:t>LPD按目标值执行</w:t>
            </w:r>
            <w:r>
              <w:rPr>
                <w:rFonts w:ascii="宋体" w:eastAsia="宋体" w:hAnsi="宋体" w:cs="宋体"/>
                <w:kern w:val="0"/>
                <w:sz w:val="20"/>
                <w:szCs w:val="20"/>
              </w:rPr>
              <w:br/>
            </w:r>
            <w:r>
              <w:rPr>
                <w:rFonts w:ascii="宋体" w:eastAsia="宋体" w:hAnsi="宋体" w:cs="宋体" w:hint="eastAsia"/>
                <w:kern w:val="0"/>
                <w:sz w:val="20"/>
                <w:szCs w:val="20"/>
              </w:rPr>
              <w:t>□各种室外照明产生的光污染、室外灯光对室内的影响满足现行行业标准《城市夜景照明设计规范》</w:t>
            </w:r>
            <w:r>
              <w:rPr>
                <w:rFonts w:ascii="宋体" w:eastAsia="宋体" w:hAnsi="宋体" w:cs="宋体"/>
                <w:kern w:val="0"/>
                <w:sz w:val="20"/>
                <w:szCs w:val="20"/>
              </w:rPr>
              <w:t xml:space="preserve"> JGJ/T163、浙江省标准</w:t>
            </w:r>
            <w:r>
              <w:rPr>
                <w:rFonts w:ascii="宋体" w:eastAsia="宋体" w:hAnsi="宋体" w:cs="宋体" w:hint="eastAsia"/>
                <w:sz w:val="20"/>
                <w:szCs w:val="20"/>
              </w:rPr>
              <w:t>《</w:t>
            </w:r>
            <w:r>
              <w:rPr>
                <w:rFonts w:ascii="宋体" w:eastAsia="宋体" w:hAnsi="宋体" w:cs="宋体"/>
                <w:sz w:val="20"/>
                <w:szCs w:val="20"/>
              </w:rPr>
              <w:t>环境照明工程设计规范</w:t>
            </w:r>
            <w:r>
              <w:rPr>
                <w:rFonts w:ascii="宋体" w:eastAsia="宋体" w:hAnsi="宋体" w:cs="宋体" w:hint="eastAsia"/>
                <w:sz w:val="20"/>
                <w:szCs w:val="20"/>
              </w:rPr>
              <w:t>》</w:t>
            </w:r>
            <w:r>
              <w:rPr>
                <w:rFonts w:ascii="宋体" w:eastAsia="宋体" w:hAnsi="宋体" w:cs="宋体"/>
                <w:sz w:val="20"/>
                <w:szCs w:val="20"/>
              </w:rPr>
              <w:t xml:space="preserve"> DB33/T 1055-2018</w:t>
            </w:r>
            <w:r>
              <w:rPr>
                <w:rFonts w:ascii="宋体" w:eastAsia="宋体" w:hAnsi="宋体" w:cs="宋体" w:hint="eastAsia"/>
                <w:kern w:val="0"/>
                <w:sz w:val="20"/>
                <w:szCs w:val="20"/>
              </w:rPr>
              <w:t>的要求</w:t>
            </w:r>
          </w:p>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t>□</w:t>
            </w:r>
            <w:r>
              <w:rPr>
                <w:rFonts w:ascii="宋体" w:eastAsia="宋体" w:hAnsi="宋体" w:cs="宋体" w:hint="eastAsia"/>
                <w:sz w:val="20"/>
                <w:szCs w:val="20"/>
              </w:rPr>
              <w:t>步行道和非机动车道的照度标准值不低于现行行业</w:t>
            </w:r>
            <w:r>
              <w:rPr>
                <w:rFonts w:ascii="宋体" w:eastAsia="宋体" w:hAnsi="宋体" w:cs="宋体" w:hint="eastAsia"/>
                <w:sz w:val="20"/>
                <w:szCs w:val="20"/>
              </w:rPr>
              <w:lastRenderedPageBreak/>
              <w:t>标准《城市道路照明设计标准》</w:t>
            </w:r>
            <w:r>
              <w:rPr>
                <w:rFonts w:ascii="宋体" w:eastAsia="宋体" w:hAnsi="宋体" w:cs="宋体"/>
                <w:sz w:val="20"/>
                <w:szCs w:val="20"/>
              </w:rPr>
              <w:t>CJJ 45</w:t>
            </w:r>
            <w:r>
              <w:rPr>
                <w:rFonts w:ascii="宋体" w:eastAsia="宋体" w:hAnsi="宋体" w:cs="宋体" w:hint="eastAsia"/>
                <w:sz w:val="20"/>
                <w:szCs w:val="20"/>
              </w:rPr>
              <w:t>的相关要求。</w:t>
            </w:r>
          </w:p>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t>□</w:t>
            </w:r>
            <w:r>
              <w:rPr>
                <w:rFonts w:ascii="宋体" w:eastAsia="宋体" w:hAnsi="宋体" w:cs="宋体" w:hint="eastAsia"/>
                <w:sz w:val="20"/>
                <w:szCs w:val="20"/>
              </w:rPr>
              <w:t>室外照明的照度明标准值、照明功率密度值满足现行行业标准《城市夜景照明设计规范》</w:t>
            </w:r>
            <w:r>
              <w:rPr>
                <w:rFonts w:ascii="宋体" w:eastAsia="宋体" w:hAnsi="宋体" w:cs="宋体"/>
                <w:sz w:val="20"/>
                <w:szCs w:val="20"/>
              </w:rPr>
              <w:t>JGJ/T 163</w:t>
            </w:r>
            <w:r>
              <w:rPr>
                <w:rFonts w:ascii="宋体" w:eastAsia="宋体" w:hAnsi="宋体" w:cs="宋体" w:hint="eastAsia"/>
                <w:sz w:val="20"/>
                <w:szCs w:val="20"/>
              </w:rPr>
              <w:t>、现行地方标准《环境照明工程设计规范》</w:t>
            </w:r>
            <w:r>
              <w:rPr>
                <w:rFonts w:ascii="宋体" w:eastAsia="宋体" w:hAnsi="宋体" w:cs="宋体"/>
                <w:sz w:val="20"/>
                <w:szCs w:val="20"/>
              </w:rPr>
              <w:t>DB33/T 1055</w:t>
            </w:r>
            <w:r>
              <w:rPr>
                <w:rFonts w:ascii="宋体" w:eastAsia="宋体" w:hAnsi="宋体" w:cs="宋体" w:hint="eastAsia"/>
                <w:sz w:val="20"/>
                <w:szCs w:val="20"/>
              </w:rPr>
              <w:t>的要求。</w:t>
            </w:r>
          </w:p>
        </w:tc>
        <w:tc>
          <w:tcPr>
            <w:tcW w:w="1220" w:type="dxa"/>
            <w:shd w:val="clear" w:color="auto" w:fill="auto"/>
            <w:vAlign w:val="center"/>
          </w:tcPr>
          <w:p w:rsidR="00C75349" w:rsidRDefault="00C75349">
            <w:pPr>
              <w:widowControl/>
              <w:jc w:val="left"/>
              <w:rPr>
                <w:rFonts w:ascii="宋体" w:eastAsia="宋体" w:hAnsi="宋体" w:cs="宋体"/>
                <w:b/>
                <w:bCs/>
                <w:kern w:val="0"/>
                <w:sz w:val="20"/>
                <w:szCs w:val="20"/>
              </w:rPr>
            </w:pPr>
            <w:r>
              <w:rPr>
                <w:rFonts w:ascii="宋体" w:eastAsia="宋体" w:hAnsi="宋体" w:cs="宋体" w:hint="eastAsia"/>
                <w:b/>
                <w:bCs/>
                <w:kern w:val="0"/>
                <w:sz w:val="20"/>
                <w:szCs w:val="20"/>
              </w:rPr>
              <w:lastRenderedPageBreak/>
              <w:t xml:space="preserve">　</w:t>
            </w:r>
          </w:p>
        </w:tc>
      </w:tr>
      <w:tr w:rsidR="00C75349" w:rsidTr="00522BB2">
        <w:trPr>
          <w:trHeight w:val="20"/>
        </w:trPr>
        <w:tc>
          <w:tcPr>
            <w:tcW w:w="728" w:type="dxa"/>
            <w:vMerge/>
          </w:tcPr>
          <w:p w:rsidR="00C75349" w:rsidRDefault="00C75349">
            <w:pPr>
              <w:widowControl/>
              <w:jc w:val="left"/>
              <w:rPr>
                <w:rFonts w:ascii="宋体" w:eastAsia="宋体" w:hAnsi="宋体" w:cs="宋体"/>
                <w:b/>
                <w:bCs/>
                <w:kern w:val="0"/>
                <w:sz w:val="20"/>
                <w:szCs w:val="20"/>
              </w:rPr>
            </w:pPr>
          </w:p>
        </w:tc>
        <w:tc>
          <w:tcPr>
            <w:tcW w:w="945" w:type="dxa"/>
            <w:vMerge/>
            <w:vAlign w:val="center"/>
          </w:tcPr>
          <w:p w:rsidR="00C75349" w:rsidRDefault="00C75349">
            <w:pPr>
              <w:widowControl/>
              <w:jc w:val="left"/>
              <w:rPr>
                <w:rFonts w:ascii="宋体" w:eastAsia="宋体" w:hAnsi="宋体" w:cs="宋体"/>
                <w:b/>
                <w:bCs/>
                <w:kern w:val="0"/>
                <w:sz w:val="20"/>
                <w:szCs w:val="20"/>
              </w:rPr>
            </w:pPr>
          </w:p>
        </w:tc>
        <w:tc>
          <w:tcPr>
            <w:tcW w:w="919" w:type="dxa"/>
            <w:vMerge/>
            <w:vAlign w:val="center"/>
          </w:tcPr>
          <w:p w:rsidR="00C75349" w:rsidRDefault="00C75349" w:rsidP="000A7734">
            <w:pPr>
              <w:widowControl/>
              <w:jc w:val="center"/>
              <w:rPr>
                <w:rFonts w:ascii="宋体" w:eastAsia="宋体" w:hAnsi="宋体" w:cs="宋体"/>
                <w:kern w:val="0"/>
                <w:sz w:val="20"/>
                <w:szCs w:val="20"/>
              </w:rPr>
            </w:pPr>
          </w:p>
        </w:tc>
        <w:tc>
          <w:tcPr>
            <w:tcW w:w="3097" w:type="dxa"/>
            <w:shd w:val="clear" w:color="auto" w:fill="auto"/>
            <w:vAlign w:val="center"/>
          </w:tcPr>
          <w:p w:rsidR="00C75349" w:rsidRDefault="00C75349">
            <w:pPr>
              <w:jc w:val="left"/>
              <w:rPr>
                <w:rFonts w:ascii="宋体" w:eastAsia="宋体" w:hAnsi="宋体" w:cs="宋体"/>
                <w:kern w:val="0"/>
                <w:sz w:val="20"/>
                <w:szCs w:val="20"/>
              </w:rPr>
            </w:pPr>
            <w:r>
              <w:rPr>
                <w:rFonts w:ascii="宋体" w:eastAsia="宋体" w:hAnsi="宋体" w:cs="宋体" w:hint="eastAsia"/>
                <w:kern w:val="0"/>
                <w:sz w:val="20"/>
                <w:szCs w:val="20"/>
              </w:rPr>
              <w:t>照明控制方式</w:t>
            </w:r>
          </w:p>
        </w:tc>
        <w:tc>
          <w:tcPr>
            <w:tcW w:w="4536" w:type="dxa"/>
            <w:shd w:val="clear" w:color="auto" w:fill="auto"/>
            <w:vAlign w:val="center"/>
          </w:tcPr>
          <w:p w:rsidR="00C75349" w:rsidRDefault="00C75349">
            <w:pPr>
              <w:jc w:val="left"/>
              <w:rPr>
                <w:rFonts w:ascii="宋体" w:eastAsia="宋体" w:hAnsi="宋体" w:cs="宋体"/>
                <w:kern w:val="0"/>
                <w:sz w:val="20"/>
                <w:szCs w:val="20"/>
              </w:rPr>
            </w:pPr>
            <w:r>
              <w:rPr>
                <w:rFonts w:ascii="宋体" w:eastAsia="宋体" w:hAnsi="宋体" w:cs="宋体" w:hint="eastAsia"/>
                <w:kern w:val="0"/>
                <w:sz w:val="20"/>
                <w:szCs w:val="20"/>
              </w:rPr>
              <w:t>□公共区域的照明系统采取节能控制措施；</w:t>
            </w:r>
          </w:p>
          <w:p w:rsidR="00C75349" w:rsidRDefault="00C75349">
            <w:pPr>
              <w:jc w:val="left"/>
              <w:rPr>
                <w:rFonts w:ascii="宋体" w:eastAsia="宋体" w:hAnsi="宋体" w:cs="宋体"/>
                <w:kern w:val="0"/>
                <w:sz w:val="20"/>
                <w:szCs w:val="20"/>
              </w:rPr>
            </w:pPr>
            <w:r>
              <w:rPr>
                <w:rFonts w:ascii="宋体" w:eastAsia="宋体" w:hAnsi="宋体" w:cs="宋体" w:hint="eastAsia"/>
                <w:kern w:val="0"/>
                <w:sz w:val="20"/>
                <w:szCs w:val="20"/>
              </w:rPr>
              <w:t>□自然采光区域的照明控制独立于其他区域的照明控制；</w:t>
            </w:r>
          </w:p>
        </w:tc>
        <w:tc>
          <w:tcPr>
            <w:tcW w:w="4678" w:type="dxa"/>
            <w:shd w:val="clear" w:color="auto" w:fill="auto"/>
            <w:vAlign w:val="center"/>
          </w:tcPr>
          <w:p w:rsidR="00C75349" w:rsidRDefault="00C75349">
            <w:pPr>
              <w:jc w:val="left"/>
              <w:rPr>
                <w:rFonts w:ascii="宋体" w:eastAsia="宋体" w:hAnsi="宋体" w:cs="宋体"/>
                <w:kern w:val="0"/>
                <w:sz w:val="20"/>
                <w:szCs w:val="20"/>
              </w:rPr>
            </w:pPr>
            <w:r>
              <w:rPr>
                <w:rFonts w:ascii="宋体" w:eastAsia="宋体" w:hAnsi="宋体" w:cs="宋体" w:hint="eastAsia"/>
                <w:kern w:val="0"/>
                <w:sz w:val="20"/>
                <w:szCs w:val="20"/>
              </w:rPr>
              <w:t>□公共区域的照明系统采取节能控制措施；</w:t>
            </w:r>
          </w:p>
          <w:p w:rsidR="00C75349" w:rsidRDefault="00C75349">
            <w:pPr>
              <w:jc w:val="left"/>
              <w:rPr>
                <w:rFonts w:ascii="宋体" w:eastAsia="宋体" w:hAnsi="宋体" w:cs="宋体"/>
                <w:kern w:val="0"/>
                <w:sz w:val="20"/>
                <w:szCs w:val="20"/>
              </w:rPr>
            </w:pPr>
            <w:r>
              <w:rPr>
                <w:rFonts w:ascii="宋体" w:eastAsia="宋体" w:hAnsi="宋体" w:cs="宋体" w:hint="eastAsia"/>
                <w:kern w:val="0"/>
                <w:sz w:val="20"/>
                <w:szCs w:val="20"/>
              </w:rPr>
              <w:t>□自然采光区域的照明控制独立于其他区域的照明控制；</w:t>
            </w:r>
          </w:p>
          <w:p w:rsidR="00C75349" w:rsidRDefault="00C75349">
            <w:pPr>
              <w:jc w:val="left"/>
              <w:rPr>
                <w:rFonts w:ascii="宋体" w:eastAsia="宋体" w:hAnsi="宋体" w:cs="宋体"/>
                <w:kern w:val="0"/>
                <w:sz w:val="20"/>
                <w:szCs w:val="20"/>
              </w:rPr>
            </w:pPr>
            <w:r>
              <w:rPr>
                <w:rFonts w:ascii="宋体" w:eastAsia="宋体" w:hAnsi="宋体" w:cs="宋体" w:hint="eastAsia"/>
                <w:kern w:val="0"/>
                <w:sz w:val="20"/>
                <w:szCs w:val="20"/>
              </w:rPr>
              <w:t>□具有自然采光的区域，结合自然光采用合理的人工照明布置及控制措施；当自然光达到照度要求时，避免开启人工照明。</w:t>
            </w:r>
          </w:p>
        </w:tc>
        <w:tc>
          <w:tcPr>
            <w:tcW w:w="4961" w:type="dxa"/>
            <w:shd w:val="clear" w:color="auto" w:fill="auto"/>
            <w:vAlign w:val="center"/>
          </w:tcPr>
          <w:p w:rsidR="00C75349" w:rsidRDefault="00C75349">
            <w:pPr>
              <w:jc w:val="left"/>
              <w:rPr>
                <w:rFonts w:ascii="宋体" w:eastAsia="宋体" w:hAnsi="宋体" w:cs="宋体"/>
                <w:kern w:val="0"/>
                <w:sz w:val="20"/>
                <w:szCs w:val="20"/>
              </w:rPr>
            </w:pPr>
            <w:r>
              <w:rPr>
                <w:rFonts w:ascii="宋体" w:eastAsia="宋体" w:hAnsi="宋体" w:cs="宋体" w:hint="eastAsia"/>
                <w:kern w:val="0"/>
                <w:sz w:val="20"/>
                <w:szCs w:val="20"/>
              </w:rPr>
              <w:t>□公共区域的照明系统采取节能控制措施；</w:t>
            </w:r>
          </w:p>
          <w:p w:rsidR="00C75349" w:rsidRDefault="00C75349">
            <w:pPr>
              <w:jc w:val="left"/>
              <w:rPr>
                <w:rFonts w:ascii="宋体" w:eastAsia="宋体" w:hAnsi="宋体" w:cs="宋体"/>
                <w:kern w:val="0"/>
                <w:sz w:val="20"/>
                <w:szCs w:val="20"/>
              </w:rPr>
            </w:pPr>
            <w:r>
              <w:rPr>
                <w:rFonts w:ascii="宋体" w:eastAsia="宋体" w:hAnsi="宋体" w:cs="宋体" w:hint="eastAsia"/>
                <w:kern w:val="0"/>
                <w:sz w:val="20"/>
                <w:szCs w:val="20"/>
              </w:rPr>
              <w:t>□自然采光区域的照明控制独立于其他区域的照明控制；</w:t>
            </w:r>
          </w:p>
          <w:p w:rsidR="00C75349" w:rsidRDefault="00C75349">
            <w:pPr>
              <w:jc w:val="left"/>
              <w:rPr>
                <w:rFonts w:ascii="宋体" w:eastAsia="宋体" w:hAnsi="宋体" w:cs="宋体"/>
                <w:kern w:val="0"/>
                <w:sz w:val="20"/>
                <w:szCs w:val="20"/>
              </w:rPr>
            </w:pPr>
            <w:r>
              <w:rPr>
                <w:rFonts w:ascii="宋体" w:eastAsia="宋体" w:hAnsi="宋体" w:cs="宋体" w:hint="eastAsia"/>
                <w:kern w:val="0"/>
                <w:sz w:val="20"/>
                <w:szCs w:val="20"/>
              </w:rPr>
              <w:t>□具有自然采光的区域，结合自然光采用合理的人工照明布置及控制措施；当自然光达到照度要求时，避免开启人工照明。</w:t>
            </w:r>
          </w:p>
        </w:tc>
        <w:tc>
          <w:tcPr>
            <w:tcW w:w="1220" w:type="dxa"/>
            <w:shd w:val="clear" w:color="auto" w:fill="auto"/>
            <w:vAlign w:val="center"/>
          </w:tcPr>
          <w:p w:rsidR="00C75349" w:rsidRDefault="00C75349">
            <w:pPr>
              <w:widowControl/>
              <w:jc w:val="left"/>
              <w:rPr>
                <w:rFonts w:ascii="宋体" w:eastAsia="宋体" w:hAnsi="宋体" w:cs="宋体"/>
                <w:b/>
                <w:bCs/>
                <w:kern w:val="0"/>
                <w:sz w:val="20"/>
                <w:szCs w:val="20"/>
              </w:rPr>
            </w:pPr>
          </w:p>
        </w:tc>
      </w:tr>
      <w:tr w:rsidR="00C75349" w:rsidTr="00522BB2">
        <w:trPr>
          <w:trHeight w:val="20"/>
        </w:trPr>
        <w:tc>
          <w:tcPr>
            <w:tcW w:w="728" w:type="dxa"/>
            <w:vMerge/>
          </w:tcPr>
          <w:p w:rsidR="00C75349" w:rsidRDefault="00C75349">
            <w:pPr>
              <w:widowControl/>
              <w:jc w:val="left"/>
              <w:rPr>
                <w:rFonts w:ascii="宋体" w:eastAsia="宋体" w:hAnsi="宋体" w:cs="宋体"/>
                <w:b/>
                <w:bCs/>
                <w:kern w:val="0"/>
                <w:sz w:val="20"/>
                <w:szCs w:val="20"/>
              </w:rPr>
            </w:pPr>
          </w:p>
        </w:tc>
        <w:tc>
          <w:tcPr>
            <w:tcW w:w="945" w:type="dxa"/>
            <w:vMerge/>
            <w:vAlign w:val="center"/>
          </w:tcPr>
          <w:p w:rsidR="00C75349" w:rsidRDefault="00C75349">
            <w:pPr>
              <w:widowControl/>
              <w:jc w:val="left"/>
              <w:rPr>
                <w:rFonts w:ascii="宋体" w:eastAsia="宋体" w:hAnsi="宋体" w:cs="宋体"/>
                <w:b/>
                <w:bCs/>
                <w:kern w:val="0"/>
                <w:sz w:val="20"/>
                <w:szCs w:val="20"/>
              </w:rPr>
            </w:pPr>
          </w:p>
        </w:tc>
        <w:tc>
          <w:tcPr>
            <w:tcW w:w="919" w:type="dxa"/>
            <w:vMerge/>
            <w:vAlign w:val="center"/>
          </w:tcPr>
          <w:p w:rsidR="00C75349" w:rsidRDefault="00C75349" w:rsidP="000A7734">
            <w:pPr>
              <w:widowControl/>
              <w:jc w:val="center"/>
              <w:rPr>
                <w:rFonts w:ascii="宋体" w:eastAsia="宋体" w:hAnsi="宋体" w:cs="宋体"/>
                <w:kern w:val="0"/>
                <w:sz w:val="20"/>
                <w:szCs w:val="20"/>
              </w:rPr>
            </w:pPr>
          </w:p>
        </w:tc>
        <w:tc>
          <w:tcPr>
            <w:tcW w:w="3097" w:type="dxa"/>
            <w:shd w:val="clear" w:color="auto" w:fill="auto"/>
            <w:vAlign w:val="center"/>
          </w:tcPr>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t>照明产品的光生物安全性、能效等级</w:t>
            </w:r>
          </w:p>
        </w:tc>
        <w:tc>
          <w:tcPr>
            <w:tcW w:w="4536" w:type="dxa"/>
            <w:shd w:val="clear" w:color="auto" w:fill="auto"/>
            <w:vAlign w:val="center"/>
          </w:tcPr>
          <w:p w:rsidR="00C75349" w:rsidRDefault="00C75349">
            <w:pPr>
              <w:jc w:val="left"/>
              <w:rPr>
                <w:rFonts w:ascii="宋体" w:eastAsia="宋体" w:hAnsi="宋体" w:cs="宋体"/>
                <w:kern w:val="0"/>
                <w:sz w:val="20"/>
                <w:szCs w:val="20"/>
              </w:rPr>
            </w:pPr>
            <w:r>
              <w:rPr>
                <w:rFonts w:ascii="宋体" w:eastAsia="宋体" w:hAnsi="宋体" w:cs="宋体" w:hint="eastAsia"/>
                <w:kern w:val="0"/>
                <w:sz w:val="20"/>
                <w:szCs w:val="20"/>
              </w:rPr>
              <w:t>□人员长期停留的场所采用无危险类照明产品；</w:t>
            </w:r>
          </w:p>
          <w:p w:rsidR="00C75349" w:rsidRDefault="00C75349">
            <w:pPr>
              <w:jc w:val="left"/>
              <w:rPr>
                <w:rFonts w:ascii="宋体" w:eastAsia="宋体" w:hAnsi="宋体" w:cs="宋体"/>
                <w:kern w:val="0"/>
                <w:sz w:val="20"/>
                <w:szCs w:val="20"/>
              </w:rPr>
            </w:pPr>
            <w:r>
              <w:rPr>
                <w:rFonts w:ascii="宋体" w:eastAsia="宋体" w:hAnsi="宋体" w:cs="宋体" w:hint="eastAsia"/>
                <w:kern w:val="0"/>
                <w:sz w:val="20"/>
                <w:szCs w:val="20"/>
              </w:rPr>
              <w:t>□照明产品的频闪满足国家标准</w:t>
            </w:r>
            <w:r>
              <w:rPr>
                <w:rFonts w:ascii="宋体" w:eastAsia="宋体" w:hAnsi="宋体" w:cs="宋体"/>
                <w:kern w:val="0"/>
                <w:sz w:val="20"/>
                <w:szCs w:val="20"/>
              </w:rPr>
              <w:t>《建筑环境通用规范》GB 55016、</w:t>
            </w:r>
            <w:r>
              <w:rPr>
                <w:rFonts w:ascii="宋体" w:eastAsia="宋体" w:hAnsi="宋体" w:cs="宋体" w:hint="eastAsia"/>
                <w:kern w:val="0"/>
                <w:sz w:val="20"/>
                <w:szCs w:val="20"/>
              </w:rPr>
              <w:t>《绿色建筑评价标准》</w:t>
            </w:r>
            <w:r>
              <w:rPr>
                <w:rFonts w:ascii="宋体" w:eastAsia="宋体" w:hAnsi="宋体" w:cs="宋体"/>
                <w:kern w:val="0"/>
                <w:sz w:val="20"/>
                <w:szCs w:val="20"/>
              </w:rPr>
              <w:t>GB/T 50378、《建筑照明设计标准》GB 50034</w:t>
            </w:r>
            <w:r>
              <w:rPr>
                <w:rFonts w:ascii="宋体" w:eastAsia="宋体" w:hAnsi="宋体" w:cs="宋体" w:hint="eastAsia"/>
                <w:kern w:val="0"/>
                <w:sz w:val="20"/>
                <w:szCs w:val="20"/>
              </w:rPr>
              <w:t>的相关要求。</w:t>
            </w:r>
          </w:p>
          <w:p w:rsidR="00C75349" w:rsidRDefault="00C75349">
            <w:pPr>
              <w:jc w:val="left"/>
              <w:rPr>
                <w:rFonts w:ascii="宋体" w:eastAsia="宋体" w:hAnsi="宋体" w:cs="宋体"/>
                <w:kern w:val="0"/>
                <w:sz w:val="20"/>
                <w:szCs w:val="20"/>
              </w:rPr>
            </w:pPr>
            <w:r>
              <w:rPr>
                <w:rFonts w:ascii="宋体" w:eastAsia="宋体" w:hAnsi="宋体" w:cs="宋体" w:hint="eastAsia"/>
                <w:kern w:val="0"/>
                <w:sz w:val="20"/>
                <w:szCs w:val="20"/>
              </w:rPr>
              <w:t>□光源、镇流器的能效等级不低于能效限定值；</w:t>
            </w:r>
          </w:p>
          <w:p w:rsidR="00C75349" w:rsidRDefault="00C75349">
            <w:pPr>
              <w:jc w:val="left"/>
              <w:rPr>
                <w:rFonts w:ascii="宋体" w:eastAsia="宋体" w:hAnsi="宋体" w:cs="宋体"/>
                <w:kern w:val="0"/>
                <w:sz w:val="20"/>
                <w:szCs w:val="20"/>
              </w:rPr>
            </w:pPr>
            <w:r>
              <w:rPr>
                <w:rFonts w:ascii="宋体" w:eastAsia="宋体" w:hAnsi="宋体" w:cs="宋体" w:hint="eastAsia"/>
                <w:kern w:val="0"/>
                <w:sz w:val="20"/>
                <w:szCs w:val="20"/>
              </w:rPr>
              <w:t>□灯具效率满足《建筑照明设计标准》</w:t>
            </w:r>
            <w:r>
              <w:rPr>
                <w:rFonts w:ascii="宋体" w:eastAsia="宋体" w:hAnsi="宋体" w:cs="宋体"/>
                <w:kern w:val="0"/>
                <w:sz w:val="20"/>
                <w:szCs w:val="20"/>
              </w:rPr>
              <w:t xml:space="preserve">GB50034-2013 </w:t>
            </w:r>
            <w:r>
              <w:rPr>
                <w:rFonts w:ascii="宋体" w:eastAsia="宋体" w:hAnsi="宋体" w:cs="宋体" w:hint="eastAsia"/>
                <w:kern w:val="0"/>
                <w:sz w:val="20"/>
                <w:szCs w:val="20"/>
              </w:rPr>
              <w:t>的要求。</w:t>
            </w:r>
          </w:p>
        </w:tc>
        <w:tc>
          <w:tcPr>
            <w:tcW w:w="4678" w:type="dxa"/>
            <w:shd w:val="clear" w:color="auto" w:fill="auto"/>
            <w:vAlign w:val="center"/>
          </w:tcPr>
          <w:p w:rsidR="00C75349" w:rsidRDefault="00C75349">
            <w:pPr>
              <w:jc w:val="left"/>
              <w:rPr>
                <w:rFonts w:ascii="宋体" w:eastAsia="宋体" w:hAnsi="宋体" w:cs="宋体"/>
                <w:kern w:val="0"/>
                <w:sz w:val="20"/>
                <w:szCs w:val="20"/>
              </w:rPr>
            </w:pPr>
            <w:r>
              <w:rPr>
                <w:rFonts w:ascii="宋体" w:eastAsia="宋体" w:hAnsi="宋体" w:cs="宋体" w:hint="eastAsia"/>
                <w:kern w:val="0"/>
                <w:sz w:val="20"/>
                <w:szCs w:val="20"/>
              </w:rPr>
              <w:t>□人员长期停留的场所采用无危险类照明产品；</w:t>
            </w:r>
          </w:p>
          <w:p w:rsidR="00C75349" w:rsidRDefault="00C75349">
            <w:pPr>
              <w:jc w:val="left"/>
              <w:rPr>
                <w:rFonts w:ascii="宋体" w:eastAsia="宋体" w:hAnsi="宋体" w:cs="宋体"/>
                <w:kern w:val="0"/>
                <w:sz w:val="20"/>
                <w:szCs w:val="20"/>
              </w:rPr>
            </w:pPr>
            <w:r>
              <w:rPr>
                <w:rFonts w:ascii="宋体" w:eastAsia="宋体" w:hAnsi="宋体" w:cs="宋体" w:hint="eastAsia"/>
                <w:kern w:val="0"/>
                <w:sz w:val="20"/>
                <w:szCs w:val="20"/>
              </w:rPr>
              <w:t>□照明产品的频闪满足国家标准</w:t>
            </w:r>
            <w:r>
              <w:rPr>
                <w:rFonts w:ascii="宋体" w:eastAsia="宋体" w:hAnsi="宋体" w:cs="宋体"/>
                <w:kern w:val="0"/>
                <w:sz w:val="20"/>
                <w:szCs w:val="20"/>
              </w:rPr>
              <w:t>《建筑环境通用规范》GB 55016、</w:t>
            </w:r>
            <w:r>
              <w:rPr>
                <w:rFonts w:ascii="宋体" w:eastAsia="宋体" w:hAnsi="宋体" w:cs="宋体" w:hint="eastAsia"/>
                <w:kern w:val="0"/>
                <w:sz w:val="20"/>
                <w:szCs w:val="20"/>
              </w:rPr>
              <w:t>《绿色建筑评价标准》</w:t>
            </w:r>
            <w:r>
              <w:rPr>
                <w:rFonts w:ascii="宋体" w:eastAsia="宋体" w:hAnsi="宋体" w:cs="宋体"/>
                <w:kern w:val="0"/>
                <w:sz w:val="20"/>
                <w:szCs w:val="20"/>
              </w:rPr>
              <w:t>GB/T 50378、《建筑照明设计标准》GB 50034</w:t>
            </w:r>
            <w:r>
              <w:rPr>
                <w:rFonts w:ascii="宋体" w:eastAsia="宋体" w:hAnsi="宋体" w:cs="宋体" w:hint="eastAsia"/>
                <w:kern w:val="0"/>
                <w:sz w:val="20"/>
                <w:szCs w:val="20"/>
              </w:rPr>
              <w:t>的相关要求。</w:t>
            </w:r>
          </w:p>
          <w:p w:rsidR="00C75349" w:rsidRDefault="00C75349">
            <w:pPr>
              <w:jc w:val="left"/>
              <w:rPr>
                <w:rFonts w:ascii="宋体" w:eastAsia="宋体" w:hAnsi="宋体" w:cs="宋体"/>
                <w:kern w:val="0"/>
                <w:sz w:val="20"/>
                <w:szCs w:val="20"/>
              </w:rPr>
            </w:pPr>
            <w:r>
              <w:rPr>
                <w:rFonts w:ascii="宋体" w:eastAsia="宋体" w:hAnsi="宋体" w:cs="宋体" w:hint="eastAsia"/>
                <w:kern w:val="0"/>
                <w:sz w:val="20"/>
                <w:szCs w:val="20"/>
              </w:rPr>
              <w:t>□光源、镇流器的能效等级不低于</w:t>
            </w:r>
            <w:r>
              <w:rPr>
                <w:rFonts w:ascii="宋体" w:eastAsia="宋体" w:hAnsi="宋体" w:cs="宋体"/>
                <w:kern w:val="0"/>
                <w:sz w:val="20"/>
                <w:szCs w:val="20"/>
              </w:rPr>
              <w:t>2级；</w:t>
            </w:r>
          </w:p>
          <w:p w:rsidR="00C75349" w:rsidRDefault="00C75349">
            <w:pPr>
              <w:jc w:val="left"/>
              <w:rPr>
                <w:rFonts w:ascii="宋体" w:eastAsia="宋体" w:hAnsi="宋体" w:cs="宋体"/>
                <w:kern w:val="0"/>
                <w:sz w:val="20"/>
                <w:szCs w:val="20"/>
              </w:rPr>
            </w:pPr>
            <w:r>
              <w:rPr>
                <w:rFonts w:ascii="宋体" w:eastAsia="宋体" w:hAnsi="宋体" w:cs="宋体" w:hint="eastAsia"/>
                <w:kern w:val="0"/>
                <w:sz w:val="20"/>
                <w:szCs w:val="20"/>
              </w:rPr>
              <w:t>□灯具效率满足《建筑照明设计标准》</w:t>
            </w:r>
            <w:r>
              <w:rPr>
                <w:rFonts w:ascii="宋体" w:eastAsia="宋体" w:hAnsi="宋体" w:cs="宋体"/>
                <w:kern w:val="0"/>
                <w:sz w:val="20"/>
                <w:szCs w:val="20"/>
              </w:rPr>
              <w:t xml:space="preserve">GB50034-2013 </w:t>
            </w:r>
            <w:r>
              <w:rPr>
                <w:rFonts w:ascii="宋体" w:eastAsia="宋体" w:hAnsi="宋体" w:cs="宋体" w:hint="eastAsia"/>
                <w:kern w:val="0"/>
                <w:sz w:val="20"/>
                <w:szCs w:val="20"/>
              </w:rPr>
              <w:t>的要求。</w:t>
            </w:r>
          </w:p>
        </w:tc>
        <w:tc>
          <w:tcPr>
            <w:tcW w:w="4961" w:type="dxa"/>
            <w:shd w:val="clear" w:color="auto" w:fill="auto"/>
            <w:vAlign w:val="center"/>
          </w:tcPr>
          <w:p w:rsidR="00C75349" w:rsidRDefault="00C75349">
            <w:pPr>
              <w:jc w:val="left"/>
              <w:rPr>
                <w:rFonts w:ascii="宋体" w:eastAsia="宋体" w:hAnsi="宋体" w:cs="宋体"/>
                <w:kern w:val="0"/>
                <w:sz w:val="20"/>
                <w:szCs w:val="20"/>
              </w:rPr>
            </w:pPr>
            <w:r>
              <w:rPr>
                <w:rFonts w:ascii="宋体" w:eastAsia="宋体" w:hAnsi="宋体" w:cs="宋体" w:hint="eastAsia"/>
                <w:kern w:val="0"/>
                <w:sz w:val="20"/>
                <w:szCs w:val="20"/>
              </w:rPr>
              <w:t>□人员长期停留的场所采用无危险类照明产品；</w:t>
            </w:r>
          </w:p>
          <w:p w:rsidR="00C75349" w:rsidRDefault="00C75349">
            <w:pPr>
              <w:jc w:val="left"/>
              <w:rPr>
                <w:rFonts w:ascii="宋体" w:eastAsia="宋体" w:hAnsi="宋体" w:cs="宋体"/>
                <w:kern w:val="0"/>
                <w:sz w:val="20"/>
                <w:szCs w:val="20"/>
              </w:rPr>
            </w:pPr>
            <w:r>
              <w:rPr>
                <w:rFonts w:ascii="宋体" w:eastAsia="宋体" w:hAnsi="宋体" w:cs="宋体" w:hint="eastAsia"/>
                <w:kern w:val="0"/>
                <w:sz w:val="20"/>
                <w:szCs w:val="20"/>
              </w:rPr>
              <w:t>□照明产品的频闪满足国家标准</w:t>
            </w:r>
            <w:r>
              <w:rPr>
                <w:rFonts w:ascii="宋体" w:eastAsia="宋体" w:hAnsi="宋体" w:cs="宋体"/>
                <w:kern w:val="0"/>
                <w:sz w:val="20"/>
                <w:szCs w:val="20"/>
              </w:rPr>
              <w:t>《建筑环境通用规范》GB 55016、</w:t>
            </w:r>
            <w:r>
              <w:rPr>
                <w:rFonts w:ascii="宋体" w:eastAsia="宋体" w:hAnsi="宋体" w:cs="宋体" w:hint="eastAsia"/>
                <w:kern w:val="0"/>
                <w:sz w:val="20"/>
                <w:szCs w:val="20"/>
              </w:rPr>
              <w:t>《绿色建筑评价标准》</w:t>
            </w:r>
            <w:r>
              <w:rPr>
                <w:rFonts w:ascii="宋体" w:eastAsia="宋体" w:hAnsi="宋体" w:cs="宋体"/>
                <w:kern w:val="0"/>
                <w:sz w:val="20"/>
                <w:szCs w:val="20"/>
              </w:rPr>
              <w:t>GB/T 50378、《建筑照明设计标准》GB 50034</w:t>
            </w:r>
            <w:r>
              <w:rPr>
                <w:rFonts w:ascii="宋体" w:eastAsia="宋体" w:hAnsi="宋体" w:cs="宋体" w:hint="eastAsia"/>
                <w:kern w:val="0"/>
                <w:sz w:val="20"/>
                <w:szCs w:val="20"/>
              </w:rPr>
              <w:t>的相关要求。</w:t>
            </w:r>
          </w:p>
          <w:p w:rsidR="00C75349" w:rsidRDefault="00C75349">
            <w:pPr>
              <w:jc w:val="left"/>
              <w:rPr>
                <w:rFonts w:ascii="宋体" w:eastAsia="宋体" w:hAnsi="宋体" w:cs="宋体"/>
                <w:kern w:val="0"/>
                <w:sz w:val="20"/>
                <w:szCs w:val="20"/>
              </w:rPr>
            </w:pPr>
            <w:r>
              <w:rPr>
                <w:rFonts w:ascii="宋体" w:eastAsia="宋体" w:hAnsi="宋体" w:cs="宋体" w:hint="eastAsia"/>
                <w:kern w:val="0"/>
                <w:sz w:val="20"/>
                <w:szCs w:val="20"/>
              </w:rPr>
              <w:t>□光源、镇流器的能效等级不低于</w:t>
            </w:r>
            <w:r>
              <w:rPr>
                <w:rFonts w:ascii="宋体" w:eastAsia="宋体" w:hAnsi="宋体" w:cs="宋体"/>
                <w:kern w:val="0"/>
                <w:sz w:val="20"/>
                <w:szCs w:val="20"/>
              </w:rPr>
              <w:t>2级；</w:t>
            </w:r>
          </w:p>
          <w:p w:rsidR="00C75349" w:rsidRDefault="00C75349">
            <w:pPr>
              <w:jc w:val="left"/>
              <w:rPr>
                <w:rFonts w:ascii="宋体" w:eastAsia="宋体" w:hAnsi="宋体" w:cs="宋体"/>
                <w:kern w:val="0"/>
                <w:sz w:val="20"/>
                <w:szCs w:val="20"/>
              </w:rPr>
            </w:pPr>
            <w:r>
              <w:rPr>
                <w:rFonts w:ascii="宋体" w:eastAsia="宋体" w:hAnsi="宋体" w:cs="宋体" w:hint="eastAsia"/>
                <w:kern w:val="0"/>
                <w:sz w:val="20"/>
                <w:szCs w:val="20"/>
              </w:rPr>
              <w:t>□灯具效率满足《建筑照明设计标准》</w:t>
            </w:r>
            <w:r>
              <w:rPr>
                <w:rFonts w:ascii="宋体" w:eastAsia="宋体" w:hAnsi="宋体" w:cs="宋体"/>
                <w:kern w:val="0"/>
                <w:sz w:val="20"/>
                <w:szCs w:val="20"/>
              </w:rPr>
              <w:t xml:space="preserve">GB50034-2013 </w:t>
            </w:r>
            <w:r>
              <w:rPr>
                <w:rFonts w:ascii="宋体" w:eastAsia="宋体" w:hAnsi="宋体" w:cs="宋体" w:hint="eastAsia"/>
                <w:kern w:val="0"/>
                <w:sz w:val="20"/>
                <w:szCs w:val="20"/>
              </w:rPr>
              <w:t>的要求。</w:t>
            </w:r>
          </w:p>
        </w:tc>
        <w:tc>
          <w:tcPr>
            <w:tcW w:w="1220" w:type="dxa"/>
            <w:shd w:val="clear" w:color="auto" w:fill="auto"/>
            <w:vAlign w:val="center"/>
          </w:tcPr>
          <w:p w:rsidR="00C75349" w:rsidRDefault="00C75349">
            <w:pPr>
              <w:widowControl/>
              <w:jc w:val="left"/>
              <w:rPr>
                <w:rFonts w:ascii="宋体" w:eastAsia="宋体" w:hAnsi="宋体" w:cs="宋体"/>
                <w:b/>
                <w:bCs/>
                <w:kern w:val="0"/>
                <w:sz w:val="20"/>
                <w:szCs w:val="20"/>
              </w:rPr>
            </w:pPr>
            <w:r>
              <w:rPr>
                <w:rFonts w:ascii="宋体" w:eastAsia="宋体" w:hAnsi="宋体" w:cs="宋体" w:hint="eastAsia"/>
                <w:b/>
                <w:bCs/>
                <w:kern w:val="0"/>
                <w:sz w:val="20"/>
                <w:szCs w:val="20"/>
              </w:rPr>
              <w:t>仅初步设计阶段需要</w:t>
            </w:r>
          </w:p>
        </w:tc>
      </w:tr>
      <w:tr w:rsidR="00C75349" w:rsidTr="00522BB2">
        <w:trPr>
          <w:trHeight w:val="20"/>
        </w:trPr>
        <w:tc>
          <w:tcPr>
            <w:tcW w:w="728" w:type="dxa"/>
            <w:vMerge/>
          </w:tcPr>
          <w:p w:rsidR="00C75349" w:rsidRDefault="00C75349">
            <w:pPr>
              <w:widowControl/>
              <w:jc w:val="left"/>
              <w:rPr>
                <w:rFonts w:ascii="宋体" w:eastAsia="宋体" w:hAnsi="宋体" w:cs="宋体"/>
                <w:b/>
                <w:bCs/>
                <w:kern w:val="0"/>
                <w:sz w:val="20"/>
                <w:szCs w:val="20"/>
              </w:rPr>
            </w:pPr>
          </w:p>
        </w:tc>
        <w:tc>
          <w:tcPr>
            <w:tcW w:w="945" w:type="dxa"/>
            <w:vMerge/>
            <w:vAlign w:val="center"/>
          </w:tcPr>
          <w:p w:rsidR="00C75349" w:rsidRDefault="00C75349">
            <w:pPr>
              <w:widowControl/>
              <w:jc w:val="left"/>
              <w:rPr>
                <w:rFonts w:ascii="宋体" w:eastAsia="宋体" w:hAnsi="宋体" w:cs="宋体"/>
                <w:b/>
                <w:bCs/>
                <w:kern w:val="0"/>
                <w:sz w:val="20"/>
                <w:szCs w:val="20"/>
              </w:rPr>
            </w:pPr>
          </w:p>
        </w:tc>
        <w:tc>
          <w:tcPr>
            <w:tcW w:w="919" w:type="dxa"/>
            <w:vMerge/>
            <w:vAlign w:val="center"/>
          </w:tcPr>
          <w:p w:rsidR="00C75349" w:rsidRDefault="00C75349" w:rsidP="000A7734">
            <w:pPr>
              <w:widowControl/>
              <w:jc w:val="center"/>
              <w:rPr>
                <w:rFonts w:ascii="宋体" w:eastAsia="宋体" w:hAnsi="宋体" w:cs="宋体"/>
                <w:kern w:val="0"/>
                <w:sz w:val="20"/>
                <w:szCs w:val="20"/>
              </w:rPr>
            </w:pPr>
          </w:p>
        </w:tc>
        <w:tc>
          <w:tcPr>
            <w:tcW w:w="3097" w:type="dxa"/>
            <w:shd w:val="clear" w:color="auto" w:fill="auto"/>
            <w:vAlign w:val="center"/>
          </w:tcPr>
          <w:p w:rsidR="00C75349" w:rsidRDefault="00C75349">
            <w:pPr>
              <w:jc w:val="left"/>
              <w:rPr>
                <w:rFonts w:ascii="宋体" w:eastAsia="宋体" w:hAnsi="宋体" w:cs="宋体"/>
                <w:kern w:val="0"/>
                <w:sz w:val="20"/>
                <w:szCs w:val="20"/>
              </w:rPr>
            </w:pPr>
            <w:r>
              <w:rPr>
                <w:rFonts w:ascii="宋体" w:eastAsia="宋体" w:hAnsi="宋体" w:cs="宋体" w:hint="eastAsia"/>
                <w:kern w:val="0"/>
                <w:sz w:val="20"/>
                <w:szCs w:val="20"/>
              </w:rPr>
              <w:t>照明方式</w:t>
            </w:r>
          </w:p>
        </w:tc>
        <w:tc>
          <w:tcPr>
            <w:tcW w:w="4536" w:type="dxa"/>
            <w:shd w:val="clear" w:color="auto" w:fill="auto"/>
            <w:vAlign w:val="center"/>
          </w:tcPr>
          <w:p w:rsidR="00C75349" w:rsidRDefault="00C75349">
            <w:pPr>
              <w:jc w:val="left"/>
              <w:rPr>
                <w:rFonts w:ascii="宋体" w:eastAsia="宋体" w:hAnsi="宋体" w:cs="宋体"/>
                <w:kern w:val="0"/>
                <w:sz w:val="20"/>
                <w:szCs w:val="20"/>
              </w:rPr>
            </w:pPr>
          </w:p>
        </w:tc>
        <w:tc>
          <w:tcPr>
            <w:tcW w:w="4678" w:type="dxa"/>
            <w:shd w:val="clear" w:color="auto" w:fill="auto"/>
            <w:vAlign w:val="center"/>
          </w:tcPr>
          <w:p w:rsidR="00C75349" w:rsidRDefault="00C75349">
            <w:pPr>
              <w:jc w:val="left"/>
              <w:rPr>
                <w:rFonts w:ascii="宋体" w:eastAsia="宋体" w:hAnsi="宋体" w:cs="宋体"/>
                <w:kern w:val="0"/>
                <w:sz w:val="20"/>
                <w:szCs w:val="20"/>
              </w:rPr>
            </w:pPr>
            <w:r>
              <w:rPr>
                <w:rFonts w:ascii="宋体" w:eastAsia="宋体" w:hAnsi="宋体" w:cs="宋体" w:hint="eastAsia"/>
                <w:kern w:val="0"/>
                <w:sz w:val="20"/>
                <w:szCs w:val="20"/>
              </w:rPr>
              <w:t>□照明方式：以直接照明为主；功能明确的场所按需要采用一般照明、分区一般照明和局部照明</w:t>
            </w:r>
          </w:p>
        </w:tc>
        <w:tc>
          <w:tcPr>
            <w:tcW w:w="4961" w:type="dxa"/>
            <w:shd w:val="clear" w:color="auto" w:fill="auto"/>
            <w:vAlign w:val="center"/>
          </w:tcPr>
          <w:p w:rsidR="00C75349" w:rsidRDefault="00C75349">
            <w:pPr>
              <w:jc w:val="left"/>
              <w:rPr>
                <w:rFonts w:ascii="宋体" w:eastAsia="宋体" w:hAnsi="宋体" w:cs="宋体"/>
                <w:kern w:val="0"/>
                <w:sz w:val="20"/>
                <w:szCs w:val="20"/>
              </w:rPr>
            </w:pPr>
            <w:r>
              <w:rPr>
                <w:rFonts w:ascii="宋体" w:eastAsia="宋体" w:hAnsi="宋体" w:cs="宋体" w:hint="eastAsia"/>
                <w:kern w:val="0"/>
                <w:sz w:val="20"/>
                <w:szCs w:val="20"/>
              </w:rPr>
              <w:t>□照明方式：以直接照明为主；功能明确的场所按需要采用一般照明、分区一般照明和局部照明</w:t>
            </w:r>
          </w:p>
        </w:tc>
        <w:tc>
          <w:tcPr>
            <w:tcW w:w="1220" w:type="dxa"/>
            <w:shd w:val="clear" w:color="auto" w:fill="auto"/>
            <w:vAlign w:val="center"/>
          </w:tcPr>
          <w:p w:rsidR="00C75349" w:rsidRDefault="00C75349">
            <w:pPr>
              <w:jc w:val="left"/>
              <w:rPr>
                <w:rFonts w:ascii="宋体" w:eastAsia="宋体" w:hAnsi="宋体" w:cs="宋体"/>
                <w:b/>
                <w:bCs/>
                <w:kern w:val="0"/>
                <w:sz w:val="20"/>
                <w:szCs w:val="20"/>
              </w:rPr>
            </w:pPr>
            <w:r>
              <w:rPr>
                <w:rFonts w:ascii="宋体" w:eastAsia="宋体" w:hAnsi="宋体" w:cs="宋体" w:hint="eastAsia"/>
                <w:b/>
                <w:bCs/>
                <w:kern w:val="0"/>
                <w:sz w:val="20"/>
                <w:szCs w:val="20"/>
              </w:rPr>
              <w:t>仅初步设计阶段需要</w:t>
            </w:r>
          </w:p>
        </w:tc>
      </w:tr>
      <w:tr w:rsidR="00C75349" w:rsidTr="00363A77">
        <w:trPr>
          <w:trHeight w:val="20"/>
        </w:trPr>
        <w:tc>
          <w:tcPr>
            <w:tcW w:w="728" w:type="dxa"/>
            <w:vMerge/>
          </w:tcPr>
          <w:p w:rsidR="00C75349" w:rsidRDefault="00C75349">
            <w:pPr>
              <w:widowControl/>
              <w:jc w:val="left"/>
              <w:rPr>
                <w:rFonts w:ascii="宋体" w:eastAsia="宋体" w:hAnsi="宋体" w:cs="宋体"/>
                <w:b/>
                <w:bCs/>
                <w:kern w:val="0"/>
                <w:sz w:val="20"/>
                <w:szCs w:val="20"/>
              </w:rPr>
            </w:pPr>
          </w:p>
        </w:tc>
        <w:tc>
          <w:tcPr>
            <w:tcW w:w="945" w:type="dxa"/>
            <w:vMerge/>
            <w:vAlign w:val="center"/>
          </w:tcPr>
          <w:p w:rsidR="00C75349" w:rsidRDefault="00C75349">
            <w:pPr>
              <w:widowControl/>
              <w:jc w:val="left"/>
              <w:rPr>
                <w:rFonts w:ascii="宋体" w:eastAsia="宋体" w:hAnsi="宋体" w:cs="宋体"/>
                <w:b/>
                <w:bCs/>
                <w:kern w:val="0"/>
                <w:sz w:val="20"/>
                <w:szCs w:val="20"/>
              </w:rPr>
            </w:pPr>
          </w:p>
        </w:tc>
        <w:tc>
          <w:tcPr>
            <w:tcW w:w="919" w:type="dxa"/>
            <w:vMerge w:val="restart"/>
            <w:shd w:val="clear" w:color="auto" w:fill="auto"/>
            <w:vAlign w:val="center"/>
          </w:tcPr>
          <w:p w:rsidR="00C75349" w:rsidRDefault="00C75349" w:rsidP="000A7734">
            <w:pPr>
              <w:jc w:val="center"/>
              <w:rPr>
                <w:rFonts w:ascii="宋体" w:eastAsia="宋体" w:hAnsi="宋体" w:cs="宋体"/>
                <w:kern w:val="0"/>
                <w:sz w:val="20"/>
                <w:szCs w:val="20"/>
              </w:rPr>
            </w:pPr>
            <w:r>
              <w:rPr>
                <w:rFonts w:ascii="宋体" w:eastAsia="宋体" w:hAnsi="宋体" w:cs="宋体" w:hint="eastAsia"/>
                <w:kern w:val="0"/>
                <w:sz w:val="20"/>
                <w:szCs w:val="20"/>
              </w:rPr>
              <w:t>动力系统</w:t>
            </w:r>
          </w:p>
        </w:tc>
        <w:tc>
          <w:tcPr>
            <w:tcW w:w="3097" w:type="dxa"/>
            <w:shd w:val="clear" w:color="auto" w:fill="auto"/>
            <w:vAlign w:val="center"/>
          </w:tcPr>
          <w:p w:rsidR="00C75349" w:rsidRDefault="00C75349">
            <w:pPr>
              <w:jc w:val="left"/>
              <w:rPr>
                <w:rFonts w:ascii="宋体" w:eastAsia="宋体" w:hAnsi="宋体" w:cs="宋体"/>
                <w:kern w:val="0"/>
                <w:sz w:val="20"/>
                <w:szCs w:val="20"/>
              </w:rPr>
            </w:pPr>
            <w:r>
              <w:rPr>
                <w:rFonts w:ascii="宋体" w:eastAsia="宋体" w:hAnsi="宋体" w:cs="宋体" w:hint="eastAsia"/>
                <w:kern w:val="0"/>
                <w:sz w:val="20"/>
                <w:szCs w:val="20"/>
              </w:rPr>
              <w:t>电动机、交流接触器的能效等级；</w:t>
            </w:r>
          </w:p>
        </w:tc>
        <w:tc>
          <w:tcPr>
            <w:tcW w:w="14175" w:type="dxa"/>
            <w:gridSpan w:val="3"/>
            <w:shd w:val="clear" w:color="auto" w:fill="auto"/>
            <w:vAlign w:val="center"/>
          </w:tcPr>
          <w:p w:rsidR="00C75349" w:rsidRDefault="00C75349">
            <w:pPr>
              <w:jc w:val="left"/>
              <w:rPr>
                <w:rFonts w:ascii="宋体" w:eastAsia="宋体" w:hAnsi="宋体" w:cs="宋体"/>
                <w:kern w:val="0"/>
                <w:sz w:val="20"/>
                <w:szCs w:val="20"/>
              </w:rPr>
            </w:pPr>
            <w:r>
              <w:rPr>
                <w:rFonts w:ascii="宋体" w:eastAsia="宋体" w:hAnsi="宋体" w:cs="宋体" w:hint="eastAsia"/>
                <w:kern w:val="0"/>
                <w:sz w:val="20"/>
                <w:szCs w:val="20"/>
              </w:rPr>
              <w:t>□不低于</w:t>
            </w:r>
            <w:r>
              <w:rPr>
                <w:rFonts w:ascii="宋体" w:eastAsia="宋体" w:hAnsi="宋体" w:cs="宋体"/>
                <w:kern w:val="0"/>
                <w:sz w:val="20"/>
                <w:szCs w:val="20"/>
              </w:rPr>
              <w:t>3级</w:t>
            </w:r>
          </w:p>
        </w:tc>
        <w:tc>
          <w:tcPr>
            <w:tcW w:w="1220" w:type="dxa"/>
            <w:shd w:val="clear" w:color="auto" w:fill="auto"/>
            <w:vAlign w:val="center"/>
          </w:tcPr>
          <w:p w:rsidR="00C75349" w:rsidRDefault="00C75349">
            <w:pPr>
              <w:jc w:val="left"/>
              <w:rPr>
                <w:rFonts w:ascii="宋体" w:eastAsia="宋体" w:hAnsi="宋体" w:cs="宋体"/>
                <w:b/>
                <w:bCs/>
                <w:kern w:val="0"/>
                <w:sz w:val="20"/>
                <w:szCs w:val="20"/>
              </w:rPr>
            </w:pPr>
            <w:r>
              <w:rPr>
                <w:rFonts w:ascii="宋体" w:eastAsia="宋体" w:hAnsi="宋体" w:cs="宋体" w:hint="eastAsia"/>
                <w:b/>
                <w:bCs/>
                <w:kern w:val="0"/>
                <w:sz w:val="20"/>
                <w:szCs w:val="20"/>
              </w:rPr>
              <w:t>仅初步设计阶段需要</w:t>
            </w:r>
          </w:p>
        </w:tc>
      </w:tr>
      <w:tr w:rsidR="00C75349" w:rsidTr="00363A77">
        <w:trPr>
          <w:trHeight w:val="20"/>
        </w:trPr>
        <w:tc>
          <w:tcPr>
            <w:tcW w:w="728" w:type="dxa"/>
            <w:vMerge/>
          </w:tcPr>
          <w:p w:rsidR="00C75349" w:rsidRDefault="00C75349">
            <w:pPr>
              <w:widowControl/>
              <w:jc w:val="left"/>
              <w:rPr>
                <w:rFonts w:ascii="宋体" w:eastAsia="宋体" w:hAnsi="宋体" w:cs="宋体"/>
                <w:b/>
                <w:bCs/>
                <w:kern w:val="0"/>
                <w:sz w:val="20"/>
                <w:szCs w:val="20"/>
              </w:rPr>
            </w:pPr>
          </w:p>
        </w:tc>
        <w:tc>
          <w:tcPr>
            <w:tcW w:w="945" w:type="dxa"/>
            <w:vMerge/>
            <w:vAlign w:val="center"/>
          </w:tcPr>
          <w:p w:rsidR="00C75349" w:rsidRDefault="00C75349">
            <w:pPr>
              <w:widowControl/>
              <w:jc w:val="left"/>
              <w:rPr>
                <w:rFonts w:ascii="宋体" w:eastAsia="宋体" w:hAnsi="宋体" w:cs="宋体"/>
                <w:b/>
                <w:bCs/>
                <w:kern w:val="0"/>
                <w:sz w:val="20"/>
                <w:szCs w:val="20"/>
              </w:rPr>
            </w:pPr>
          </w:p>
        </w:tc>
        <w:tc>
          <w:tcPr>
            <w:tcW w:w="919" w:type="dxa"/>
            <w:vMerge/>
            <w:vAlign w:val="center"/>
          </w:tcPr>
          <w:p w:rsidR="00C75349" w:rsidRDefault="00C75349" w:rsidP="000A7734">
            <w:pPr>
              <w:widowControl/>
              <w:jc w:val="center"/>
              <w:rPr>
                <w:rFonts w:ascii="宋体" w:eastAsia="宋体" w:hAnsi="宋体" w:cs="宋体"/>
                <w:kern w:val="0"/>
                <w:sz w:val="20"/>
                <w:szCs w:val="20"/>
              </w:rPr>
            </w:pPr>
          </w:p>
        </w:tc>
        <w:tc>
          <w:tcPr>
            <w:tcW w:w="3097" w:type="dxa"/>
            <w:shd w:val="clear" w:color="auto" w:fill="auto"/>
            <w:vAlign w:val="center"/>
          </w:tcPr>
          <w:p w:rsidR="00C75349" w:rsidRDefault="00C75349">
            <w:pPr>
              <w:jc w:val="left"/>
              <w:rPr>
                <w:rFonts w:ascii="宋体" w:eastAsia="宋体" w:hAnsi="宋体" w:cs="宋体"/>
                <w:kern w:val="0"/>
                <w:sz w:val="20"/>
                <w:szCs w:val="20"/>
              </w:rPr>
            </w:pPr>
            <w:r>
              <w:rPr>
                <w:rFonts w:ascii="宋体" w:eastAsia="宋体" w:hAnsi="宋体" w:cs="宋体" w:hint="eastAsia"/>
                <w:kern w:val="0"/>
                <w:sz w:val="20"/>
                <w:szCs w:val="20"/>
              </w:rPr>
              <w:t>动力设备的节能控制</w:t>
            </w:r>
          </w:p>
        </w:tc>
        <w:tc>
          <w:tcPr>
            <w:tcW w:w="14175" w:type="dxa"/>
            <w:gridSpan w:val="3"/>
            <w:shd w:val="clear" w:color="auto" w:fill="auto"/>
            <w:vAlign w:val="center"/>
          </w:tcPr>
          <w:p w:rsidR="00C75349" w:rsidRDefault="00C75349">
            <w:pPr>
              <w:jc w:val="left"/>
              <w:rPr>
                <w:rFonts w:ascii="宋体" w:eastAsia="宋体" w:hAnsi="宋体" w:cs="宋体"/>
                <w:kern w:val="0"/>
                <w:sz w:val="20"/>
                <w:szCs w:val="20"/>
              </w:rPr>
            </w:pPr>
            <w:r>
              <w:rPr>
                <w:rFonts w:ascii="宋体" w:eastAsia="宋体" w:hAnsi="宋体" w:cs="宋体" w:hint="eastAsia"/>
                <w:kern w:val="0"/>
                <w:sz w:val="20"/>
                <w:szCs w:val="20"/>
              </w:rPr>
              <w:t>□按各专业工艺要求进行节能控制（如水泵水位控制、变频控制、风机的</w:t>
            </w:r>
            <w:r>
              <w:rPr>
                <w:rFonts w:ascii="宋体" w:eastAsia="宋体" w:hAnsi="宋体" w:cs="宋体"/>
                <w:kern w:val="0"/>
                <w:sz w:val="20"/>
                <w:szCs w:val="20"/>
              </w:rPr>
              <w:t>CO、CO2浓度控制等等）</w:t>
            </w:r>
            <w:r>
              <w:rPr>
                <w:rFonts w:ascii="宋体" w:eastAsia="宋体" w:hAnsi="宋体" w:cs="宋体"/>
                <w:kern w:val="0"/>
                <w:sz w:val="20"/>
                <w:szCs w:val="20"/>
              </w:rPr>
              <w:br/>
            </w:r>
            <w:r>
              <w:rPr>
                <w:rFonts w:ascii="宋体" w:eastAsia="宋体" w:hAnsi="宋体" w:cs="宋体" w:hint="eastAsia"/>
                <w:kern w:val="0"/>
                <w:sz w:val="20"/>
                <w:szCs w:val="20"/>
              </w:rPr>
              <w:t>□自动扶梯、自动人行道具有节能拖动及节能控制装置；电梯配备高效电机及节能运行模式；当两台及以上电梯成组设置时具有群控功能</w:t>
            </w:r>
            <w:r>
              <w:rPr>
                <w:rFonts w:ascii="宋体" w:eastAsia="宋体" w:hAnsi="宋体" w:cs="宋体"/>
                <w:kern w:val="0"/>
                <w:sz w:val="20"/>
                <w:szCs w:val="20"/>
              </w:rPr>
              <w:br/>
            </w:r>
            <w:r>
              <w:rPr>
                <w:rFonts w:ascii="宋体" w:eastAsia="宋体" w:hAnsi="宋体" w:cs="宋体" w:hint="eastAsia"/>
                <w:kern w:val="0"/>
                <w:sz w:val="20"/>
                <w:szCs w:val="20"/>
              </w:rPr>
              <w:t>□集中制备的电开水炉设有根据温度、时间控制的措施</w:t>
            </w:r>
            <w:r>
              <w:rPr>
                <w:rFonts w:ascii="宋体" w:eastAsia="宋体" w:hAnsi="宋体" w:cs="宋体"/>
                <w:kern w:val="0"/>
                <w:sz w:val="20"/>
                <w:szCs w:val="20"/>
              </w:rPr>
              <w:br/>
            </w:r>
            <w:r>
              <w:rPr>
                <w:rFonts w:ascii="宋体" w:eastAsia="宋体" w:hAnsi="宋体" w:cs="宋体" w:hint="eastAsia"/>
                <w:kern w:val="0"/>
                <w:sz w:val="20"/>
                <w:szCs w:val="20"/>
              </w:rPr>
              <w:t>□精装修设计，需选用家用电器，采购中国能效标识二级及以上的产品</w:t>
            </w:r>
          </w:p>
        </w:tc>
        <w:tc>
          <w:tcPr>
            <w:tcW w:w="1220" w:type="dxa"/>
            <w:shd w:val="clear" w:color="auto" w:fill="auto"/>
            <w:vAlign w:val="center"/>
          </w:tcPr>
          <w:p w:rsidR="00C75349" w:rsidRDefault="00C75349">
            <w:pPr>
              <w:widowControl/>
              <w:jc w:val="left"/>
              <w:rPr>
                <w:rFonts w:ascii="宋体" w:eastAsia="宋体" w:hAnsi="宋体" w:cs="宋体"/>
                <w:b/>
                <w:bCs/>
                <w:kern w:val="0"/>
                <w:sz w:val="20"/>
                <w:szCs w:val="20"/>
              </w:rPr>
            </w:pPr>
            <w:r>
              <w:rPr>
                <w:rFonts w:ascii="宋体" w:eastAsia="宋体" w:hAnsi="宋体" w:cs="宋体" w:hint="eastAsia"/>
                <w:b/>
                <w:bCs/>
                <w:kern w:val="0"/>
                <w:sz w:val="20"/>
                <w:szCs w:val="20"/>
              </w:rPr>
              <w:t>仅初步设计阶段需要</w:t>
            </w:r>
          </w:p>
        </w:tc>
      </w:tr>
      <w:tr w:rsidR="00C75349" w:rsidTr="00363A77">
        <w:trPr>
          <w:trHeight w:val="20"/>
        </w:trPr>
        <w:tc>
          <w:tcPr>
            <w:tcW w:w="728" w:type="dxa"/>
            <w:vMerge/>
          </w:tcPr>
          <w:p w:rsidR="00C75349" w:rsidRDefault="00C75349">
            <w:pPr>
              <w:widowControl/>
              <w:jc w:val="left"/>
              <w:rPr>
                <w:rFonts w:ascii="宋体" w:eastAsia="宋体" w:hAnsi="宋体" w:cs="宋体"/>
                <w:b/>
                <w:bCs/>
                <w:kern w:val="0"/>
                <w:sz w:val="20"/>
                <w:szCs w:val="20"/>
              </w:rPr>
            </w:pPr>
          </w:p>
        </w:tc>
        <w:tc>
          <w:tcPr>
            <w:tcW w:w="945" w:type="dxa"/>
            <w:vMerge/>
            <w:vAlign w:val="center"/>
          </w:tcPr>
          <w:p w:rsidR="00C75349" w:rsidRDefault="00C75349">
            <w:pPr>
              <w:widowControl/>
              <w:jc w:val="left"/>
              <w:rPr>
                <w:rFonts w:ascii="宋体" w:eastAsia="宋体" w:hAnsi="宋体" w:cs="宋体"/>
                <w:b/>
                <w:bCs/>
                <w:kern w:val="0"/>
                <w:sz w:val="20"/>
                <w:szCs w:val="20"/>
              </w:rPr>
            </w:pPr>
          </w:p>
        </w:tc>
        <w:tc>
          <w:tcPr>
            <w:tcW w:w="4016" w:type="dxa"/>
            <w:gridSpan w:val="2"/>
            <w:shd w:val="clear" w:color="auto" w:fill="auto"/>
            <w:vAlign w:val="center"/>
          </w:tcPr>
          <w:p w:rsidR="00C75349" w:rsidRDefault="00C75349" w:rsidP="000A7734">
            <w:pPr>
              <w:widowControl/>
              <w:jc w:val="center"/>
              <w:rPr>
                <w:rFonts w:ascii="宋体" w:eastAsia="宋体" w:hAnsi="宋体" w:cs="宋体"/>
                <w:kern w:val="0"/>
                <w:sz w:val="20"/>
                <w:szCs w:val="20"/>
              </w:rPr>
            </w:pPr>
            <w:r>
              <w:rPr>
                <w:rFonts w:ascii="宋体" w:eastAsia="宋体" w:hAnsi="宋体" w:cs="宋体" w:hint="eastAsia"/>
                <w:kern w:val="0"/>
                <w:sz w:val="20"/>
                <w:szCs w:val="20"/>
              </w:rPr>
              <w:t>电动汽车充电设备的供配电设计</w:t>
            </w:r>
          </w:p>
        </w:tc>
        <w:tc>
          <w:tcPr>
            <w:tcW w:w="14175" w:type="dxa"/>
            <w:gridSpan w:val="3"/>
            <w:shd w:val="clear" w:color="auto" w:fill="auto"/>
            <w:vAlign w:val="center"/>
          </w:tcPr>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t>□电动汽车充电设施的供配电设计满足现行国家、地方标准的要求</w:t>
            </w:r>
          </w:p>
        </w:tc>
        <w:tc>
          <w:tcPr>
            <w:tcW w:w="1220" w:type="dxa"/>
            <w:shd w:val="clear" w:color="auto" w:fill="auto"/>
            <w:vAlign w:val="center"/>
          </w:tcPr>
          <w:p w:rsidR="00C75349" w:rsidRDefault="00C75349">
            <w:pPr>
              <w:widowControl/>
              <w:jc w:val="left"/>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C75349" w:rsidTr="00363A77">
        <w:trPr>
          <w:trHeight w:val="20"/>
        </w:trPr>
        <w:tc>
          <w:tcPr>
            <w:tcW w:w="728" w:type="dxa"/>
            <w:vMerge/>
          </w:tcPr>
          <w:p w:rsidR="00C75349" w:rsidRDefault="00C75349">
            <w:pPr>
              <w:widowControl/>
              <w:jc w:val="left"/>
              <w:rPr>
                <w:rFonts w:ascii="宋体" w:eastAsia="宋体" w:hAnsi="宋体" w:cs="宋体"/>
                <w:b/>
                <w:bCs/>
                <w:kern w:val="0"/>
                <w:sz w:val="20"/>
                <w:szCs w:val="20"/>
              </w:rPr>
            </w:pPr>
          </w:p>
        </w:tc>
        <w:tc>
          <w:tcPr>
            <w:tcW w:w="945" w:type="dxa"/>
            <w:vMerge/>
            <w:vAlign w:val="center"/>
          </w:tcPr>
          <w:p w:rsidR="00C75349" w:rsidRDefault="00C75349">
            <w:pPr>
              <w:widowControl/>
              <w:jc w:val="left"/>
              <w:rPr>
                <w:rFonts w:ascii="宋体" w:eastAsia="宋体" w:hAnsi="宋体" w:cs="宋体"/>
                <w:b/>
                <w:bCs/>
                <w:kern w:val="0"/>
                <w:sz w:val="20"/>
                <w:szCs w:val="20"/>
              </w:rPr>
            </w:pPr>
          </w:p>
        </w:tc>
        <w:tc>
          <w:tcPr>
            <w:tcW w:w="919" w:type="dxa"/>
            <w:shd w:val="clear" w:color="auto" w:fill="auto"/>
            <w:vAlign w:val="center"/>
          </w:tcPr>
          <w:p w:rsidR="00C75349" w:rsidRDefault="00C75349" w:rsidP="000A7734">
            <w:pPr>
              <w:widowControl/>
              <w:jc w:val="center"/>
              <w:rPr>
                <w:rFonts w:ascii="宋体" w:eastAsia="宋体" w:hAnsi="宋体" w:cs="宋体"/>
                <w:kern w:val="0"/>
                <w:sz w:val="20"/>
                <w:szCs w:val="20"/>
              </w:rPr>
            </w:pPr>
            <w:r>
              <w:rPr>
                <w:rFonts w:ascii="宋体" w:eastAsia="宋体" w:hAnsi="宋体" w:cs="宋体" w:hint="eastAsia"/>
                <w:kern w:val="0"/>
                <w:sz w:val="20"/>
                <w:szCs w:val="20"/>
              </w:rPr>
              <w:t>用电计量</w:t>
            </w:r>
          </w:p>
        </w:tc>
        <w:tc>
          <w:tcPr>
            <w:tcW w:w="3097" w:type="dxa"/>
            <w:shd w:val="clear" w:color="auto" w:fill="auto"/>
            <w:vAlign w:val="center"/>
          </w:tcPr>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t>内部用电考核计量、用电分项计量系统设计</w:t>
            </w:r>
          </w:p>
        </w:tc>
        <w:tc>
          <w:tcPr>
            <w:tcW w:w="14175" w:type="dxa"/>
            <w:gridSpan w:val="3"/>
            <w:shd w:val="clear" w:color="auto" w:fill="auto"/>
            <w:vAlign w:val="center"/>
          </w:tcPr>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t>□用电计量设置满足电力部门的要求；</w:t>
            </w:r>
          </w:p>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t>□用电分项、分区计量系统满足《公共建筑用电分项分区计量系统设计标准》</w:t>
            </w:r>
            <w:r>
              <w:rPr>
                <w:rFonts w:ascii="宋体" w:eastAsia="宋体" w:hAnsi="宋体" w:cs="宋体"/>
                <w:kern w:val="0"/>
                <w:sz w:val="20"/>
                <w:szCs w:val="20"/>
              </w:rPr>
              <w:t>DB 33/1090</w:t>
            </w:r>
            <w:r>
              <w:rPr>
                <w:rFonts w:ascii="宋体" w:eastAsia="宋体" w:hAnsi="宋体" w:cs="宋体" w:hint="eastAsia"/>
                <w:kern w:val="0"/>
                <w:sz w:val="20"/>
                <w:szCs w:val="20"/>
              </w:rPr>
              <w:t>的要求，计量数据上传至主管部门监控平台；</w:t>
            </w:r>
          </w:p>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t>□需考核用电量的功能区域设单独计量；</w:t>
            </w:r>
          </w:p>
          <w:p w:rsidR="00C75349" w:rsidRDefault="00C75349">
            <w:pPr>
              <w:widowControl/>
              <w:jc w:val="left"/>
              <w:rPr>
                <w:rFonts w:ascii="宋体" w:eastAsia="宋体" w:hAnsi="宋体" w:cs="宋体"/>
                <w:kern w:val="0"/>
                <w:sz w:val="20"/>
                <w:szCs w:val="20"/>
              </w:rPr>
            </w:pPr>
            <w:r>
              <w:rPr>
                <w:rFonts w:ascii="宋体" w:eastAsia="宋体" w:hAnsi="宋体" w:cs="宋体" w:hint="eastAsia"/>
                <w:kern w:val="0"/>
                <w:sz w:val="20"/>
                <w:szCs w:val="20"/>
              </w:rPr>
              <w:t>□可再生能源系统设单独计量。</w:t>
            </w:r>
          </w:p>
        </w:tc>
        <w:tc>
          <w:tcPr>
            <w:tcW w:w="1220" w:type="dxa"/>
            <w:shd w:val="clear" w:color="auto" w:fill="auto"/>
            <w:vAlign w:val="center"/>
          </w:tcPr>
          <w:p w:rsidR="00C75349" w:rsidRDefault="00C75349">
            <w:pPr>
              <w:widowControl/>
              <w:jc w:val="left"/>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363A77" w:rsidTr="00363A77">
        <w:trPr>
          <w:trHeight w:val="737"/>
        </w:trPr>
        <w:tc>
          <w:tcPr>
            <w:tcW w:w="728" w:type="dxa"/>
            <w:vMerge w:val="restart"/>
            <w:vAlign w:val="center"/>
          </w:tcPr>
          <w:p w:rsidR="00363A77" w:rsidRDefault="00363A77">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设计文件</w:t>
            </w:r>
          </w:p>
        </w:tc>
        <w:tc>
          <w:tcPr>
            <w:tcW w:w="945" w:type="dxa"/>
            <w:vMerge w:val="restart"/>
            <w:vAlign w:val="center"/>
          </w:tcPr>
          <w:p w:rsidR="00363A77" w:rsidRDefault="00363A77">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电气与智能化</w:t>
            </w:r>
          </w:p>
        </w:tc>
        <w:tc>
          <w:tcPr>
            <w:tcW w:w="919" w:type="dxa"/>
            <w:vMerge w:val="restart"/>
            <w:shd w:val="clear" w:color="auto" w:fill="auto"/>
            <w:vAlign w:val="center"/>
          </w:tcPr>
          <w:p w:rsidR="00363A77" w:rsidRDefault="00363A77">
            <w:pPr>
              <w:widowControl/>
              <w:jc w:val="left"/>
              <w:rPr>
                <w:rFonts w:ascii="宋体" w:eastAsia="宋体" w:hAnsi="宋体" w:cs="宋体"/>
                <w:kern w:val="0"/>
                <w:sz w:val="20"/>
                <w:szCs w:val="20"/>
              </w:rPr>
            </w:pPr>
            <w:r>
              <w:rPr>
                <w:rFonts w:ascii="宋体" w:eastAsia="宋体" w:hAnsi="宋体" w:cs="宋体" w:hint="eastAsia"/>
                <w:kern w:val="0"/>
                <w:sz w:val="20"/>
                <w:szCs w:val="20"/>
              </w:rPr>
              <w:t>智能化</w:t>
            </w:r>
          </w:p>
        </w:tc>
        <w:tc>
          <w:tcPr>
            <w:tcW w:w="3097" w:type="dxa"/>
            <w:shd w:val="clear" w:color="auto" w:fill="auto"/>
            <w:vAlign w:val="center"/>
          </w:tcPr>
          <w:p w:rsidR="00363A77" w:rsidRDefault="00363A77">
            <w:pPr>
              <w:widowControl/>
              <w:jc w:val="left"/>
              <w:rPr>
                <w:rFonts w:ascii="宋体" w:eastAsia="宋体" w:hAnsi="宋体" w:cs="宋体"/>
                <w:kern w:val="0"/>
                <w:sz w:val="20"/>
                <w:szCs w:val="20"/>
              </w:rPr>
            </w:pPr>
            <w:r>
              <w:rPr>
                <w:rFonts w:ascii="宋体" w:eastAsia="宋体" w:hAnsi="宋体" w:cs="宋体" w:hint="eastAsia"/>
                <w:kern w:val="0"/>
                <w:sz w:val="20"/>
                <w:szCs w:val="20"/>
              </w:rPr>
              <w:t>分类能耗监测系统</w:t>
            </w:r>
          </w:p>
        </w:tc>
        <w:tc>
          <w:tcPr>
            <w:tcW w:w="14175" w:type="dxa"/>
            <w:gridSpan w:val="3"/>
            <w:shd w:val="clear" w:color="auto" w:fill="auto"/>
            <w:vAlign w:val="center"/>
          </w:tcPr>
          <w:p w:rsidR="00363A77" w:rsidRDefault="00363A77">
            <w:pPr>
              <w:widowControl/>
              <w:jc w:val="left"/>
              <w:rPr>
                <w:rFonts w:ascii="宋体" w:eastAsia="宋体" w:hAnsi="宋体" w:cs="宋体"/>
                <w:kern w:val="0"/>
                <w:sz w:val="20"/>
                <w:szCs w:val="20"/>
              </w:rPr>
            </w:pPr>
            <w:r>
              <w:rPr>
                <w:rFonts w:ascii="宋体" w:eastAsia="宋体" w:hAnsi="宋体" w:cs="宋体" w:hint="eastAsia"/>
                <w:kern w:val="0"/>
                <w:sz w:val="20"/>
                <w:szCs w:val="20"/>
              </w:rPr>
              <w:t>□设置分类能耗监测系统（新建国家机关办公建筑、总建筑面积不小于</w:t>
            </w:r>
            <w:r>
              <w:rPr>
                <w:rFonts w:ascii="宋体" w:eastAsia="宋体" w:hAnsi="宋体" w:cs="宋体"/>
                <w:kern w:val="0"/>
                <w:sz w:val="20"/>
                <w:szCs w:val="20"/>
              </w:rPr>
              <w:t>10000</w:t>
            </w:r>
            <w:r>
              <w:rPr>
                <w:rFonts w:ascii="宋体" w:eastAsia="宋体" w:hAnsi="宋体" w:cs="宋体" w:hint="eastAsia"/>
                <w:kern w:val="0"/>
                <w:sz w:val="20"/>
                <w:szCs w:val="20"/>
              </w:rPr>
              <w:t>㎡</w:t>
            </w:r>
            <w:r>
              <w:rPr>
                <w:rFonts w:ascii="宋体" w:eastAsia="宋体" w:hAnsi="宋体" w:cs="宋体"/>
                <w:kern w:val="0"/>
                <w:sz w:val="20"/>
                <w:szCs w:val="20"/>
              </w:rPr>
              <w:t xml:space="preserve"> </w:t>
            </w:r>
            <w:r>
              <w:rPr>
                <w:rFonts w:ascii="宋体" w:eastAsia="宋体" w:hAnsi="宋体" w:cs="宋体" w:hint="eastAsia"/>
                <w:kern w:val="0"/>
                <w:sz w:val="20"/>
                <w:szCs w:val="20"/>
              </w:rPr>
              <w:t>的公共建筑、总建筑面积不小于</w:t>
            </w:r>
            <w:r>
              <w:rPr>
                <w:rFonts w:ascii="宋体" w:eastAsia="宋体" w:hAnsi="宋体" w:cs="宋体"/>
                <w:kern w:val="0"/>
                <w:sz w:val="20"/>
                <w:szCs w:val="20"/>
              </w:rPr>
              <w:t>100000</w:t>
            </w:r>
            <w:r>
              <w:rPr>
                <w:rFonts w:ascii="宋体" w:eastAsia="宋体" w:hAnsi="宋体" w:cs="宋体" w:hint="eastAsia"/>
                <w:kern w:val="0"/>
                <w:sz w:val="20"/>
                <w:szCs w:val="20"/>
              </w:rPr>
              <w:t>㎡的居住建筑）</w:t>
            </w:r>
          </w:p>
        </w:tc>
        <w:tc>
          <w:tcPr>
            <w:tcW w:w="1220" w:type="dxa"/>
            <w:shd w:val="clear" w:color="auto" w:fill="auto"/>
            <w:vAlign w:val="center"/>
          </w:tcPr>
          <w:p w:rsidR="00363A77" w:rsidRDefault="00363A77">
            <w:pPr>
              <w:widowControl/>
              <w:jc w:val="left"/>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363A77" w:rsidTr="00522BB2">
        <w:trPr>
          <w:trHeight w:val="737"/>
        </w:trPr>
        <w:tc>
          <w:tcPr>
            <w:tcW w:w="728" w:type="dxa"/>
            <w:vMerge/>
          </w:tcPr>
          <w:p w:rsidR="00363A77" w:rsidRDefault="00363A77">
            <w:pPr>
              <w:widowControl/>
              <w:jc w:val="left"/>
              <w:rPr>
                <w:rFonts w:ascii="宋体" w:eastAsia="宋体" w:hAnsi="宋体" w:cs="宋体"/>
                <w:b/>
                <w:bCs/>
                <w:kern w:val="0"/>
                <w:sz w:val="20"/>
                <w:szCs w:val="20"/>
              </w:rPr>
            </w:pPr>
          </w:p>
        </w:tc>
        <w:tc>
          <w:tcPr>
            <w:tcW w:w="945" w:type="dxa"/>
            <w:vMerge/>
            <w:vAlign w:val="center"/>
          </w:tcPr>
          <w:p w:rsidR="00363A77" w:rsidRDefault="00363A77">
            <w:pPr>
              <w:widowControl/>
              <w:jc w:val="left"/>
              <w:rPr>
                <w:rFonts w:ascii="宋体" w:eastAsia="宋体" w:hAnsi="宋体" w:cs="宋体"/>
                <w:b/>
                <w:bCs/>
                <w:kern w:val="0"/>
                <w:sz w:val="20"/>
                <w:szCs w:val="20"/>
              </w:rPr>
            </w:pPr>
          </w:p>
        </w:tc>
        <w:tc>
          <w:tcPr>
            <w:tcW w:w="919" w:type="dxa"/>
            <w:vMerge/>
            <w:shd w:val="clear" w:color="auto" w:fill="auto"/>
            <w:vAlign w:val="center"/>
          </w:tcPr>
          <w:p w:rsidR="00363A77" w:rsidRDefault="00363A77">
            <w:pPr>
              <w:widowControl/>
              <w:jc w:val="left"/>
              <w:rPr>
                <w:rFonts w:ascii="宋体" w:eastAsia="宋体" w:hAnsi="宋体" w:cs="宋体"/>
                <w:kern w:val="0"/>
                <w:sz w:val="20"/>
                <w:szCs w:val="20"/>
              </w:rPr>
            </w:pPr>
          </w:p>
        </w:tc>
        <w:tc>
          <w:tcPr>
            <w:tcW w:w="3097" w:type="dxa"/>
            <w:shd w:val="clear" w:color="auto" w:fill="auto"/>
            <w:vAlign w:val="center"/>
          </w:tcPr>
          <w:p w:rsidR="00363A77" w:rsidRDefault="00363A77">
            <w:pPr>
              <w:widowControl/>
              <w:jc w:val="left"/>
              <w:rPr>
                <w:rFonts w:ascii="宋体" w:eastAsia="宋体" w:hAnsi="宋体" w:cs="宋体"/>
                <w:kern w:val="0"/>
                <w:sz w:val="20"/>
                <w:szCs w:val="20"/>
              </w:rPr>
            </w:pPr>
            <w:r>
              <w:rPr>
                <w:rFonts w:ascii="宋体" w:eastAsia="宋体" w:hAnsi="宋体" w:cs="宋体" w:hint="eastAsia"/>
                <w:kern w:val="0"/>
                <w:sz w:val="20"/>
                <w:szCs w:val="20"/>
              </w:rPr>
              <w:t>智能监控</w:t>
            </w:r>
          </w:p>
        </w:tc>
        <w:tc>
          <w:tcPr>
            <w:tcW w:w="4536" w:type="dxa"/>
            <w:shd w:val="clear" w:color="auto" w:fill="auto"/>
            <w:vAlign w:val="center"/>
          </w:tcPr>
          <w:p w:rsidR="00363A77" w:rsidRDefault="00363A77">
            <w:pPr>
              <w:widowControl/>
              <w:jc w:val="left"/>
              <w:rPr>
                <w:rFonts w:ascii="宋体" w:eastAsia="宋体" w:hAnsi="宋体" w:cs="宋体"/>
                <w:kern w:val="0"/>
                <w:sz w:val="20"/>
                <w:szCs w:val="20"/>
              </w:rPr>
            </w:pPr>
            <w:r>
              <w:rPr>
                <w:rFonts w:ascii="宋体" w:eastAsia="宋体" w:hAnsi="宋体" w:cs="宋体" w:hint="eastAsia"/>
                <w:kern w:val="0"/>
                <w:sz w:val="20"/>
                <w:szCs w:val="20"/>
              </w:rPr>
              <w:t>□设置建筑设备监控系统；</w:t>
            </w:r>
          </w:p>
          <w:p w:rsidR="00363A77" w:rsidRDefault="00363A77">
            <w:pPr>
              <w:widowControl/>
              <w:jc w:val="left"/>
              <w:rPr>
                <w:rFonts w:ascii="宋体" w:eastAsia="宋体" w:hAnsi="宋体" w:cs="宋体"/>
                <w:kern w:val="0"/>
                <w:sz w:val="20"/>
                <w:szCs w:val="20"/>
              </w:rPr>
            </w:pPr>
            <w:r>
              <w:rPr>
                <w:rFonts w:hint="eastAsia"/>
              </w:rPr>
              <w:t>（注：总建筑面积大于</w:t>
            </w:r>
            <w:r>
              <w:t>20000</w:t>
            </w:r>
            <w:r>
              <w:rPr>
                <w:rFonts w:hint="eastAsia"/>
              </w:rPr>
              <w:t>㎡的公共建筑且采用集中空调系统时，应设置集中控制的建筑设备管理系统。）</w:t>
            </w:r>
          </w:p>
          <w:p w:rsidR="00363A77" w:rsidRDefault="00363A77">
            <w:pPr>
              <w:widowControl/>
              <w:jc w:val="left"/>
              <w:rPr>
                <w:rFonts w:ascii="宋体" w:eastAsia="宋体" w:hAnsi="宋体" w:cs="宋体"/>
                <w:kern w:val="0"/>
                <w:sz w:val="20"/>
                <w:szCs w:val="20"/>
              </w:rPr>
            </w:pPr>
            <w:r>
              <w:rPr>
                <w:rFonts w:ascii="宋体" w:eastAsia="宋体" w:hAnsi="宋体" w:cs="宋体" w:hint="eastAsia"/>
                <w:kern w:val="0"/>
                <w:sz w:val="20"/>
                <w:szCs w:val="20"/>
              </w:rPr>
              <w:t>□设置合理的信息网络系统；</w:t>
            </w:r>
          </w:p>
          <w:p w:rsidR="00363A77" w:rsidRDefault="00363A77">
            <w:pPr>
              <w:widowControl/>
              <w:jc w:val="left"/>
              <w:rPr>
                <w:rFonts w:ascii="宋体" w:eastAsia="宋体" w:hAnsi="宋体" w:cs="宋体"/>
                <w:kern w:val="0"/>
                <w:sz w:val="20"/>
                <w:szCs w:val="20"/>
              </w:rPr>
            </w:pPr>
            <w:r>
              <w:rPr>
                <w:rFonts w:ascii="宋体" w:eastAsia="宋体" w:hAnsi="宋体" w:cs="宋体" w:hint="eastAsia"/>
                <w:kern w:val="0"/>
                <w:sz w:val="20"/>
                <w:szCs w:val="20"/>
              </w:rPr>
              <w:t>□根据需要设置合理的智能化服务系统。</w:t>
            </w:r>
          </w:p>
        </w:tc>
        <w:tc>
          <w:tcPr>
            <w:tcW w:w="4678" w:type="dxa"/>
            <w:shd w:val="clear" w:color="auto" w:fill="auto"/>
            <w:vAlign w:val="center"/>
          </w:tcPr>
          <w:p w:rsidR="00363A77" w:rsidRDefault="00363A77">
            <w:pPr>
              <w:widowControl/>
              <w:jc w:val="left"/>
              <w:rPr>
                <w:rFonts w:ascii="宋体" w:eastAsia="宋体" w:hAnsi="宋体" w:cs="宋体"/>
                <w:kern w:val="0"/>
                <w:sz w:val="20"/>
                <w:szCs w:val="20"/>
              </w:rPr>
            </w:pPr>
            <w:r>
              <w:rPr>
                <w:rFonts w:ascii="宋体" w:eastAsia="宋体" w:hAnsi="宋体" w:cs="宋体" w:hint="eastAsia"/>
                <w:kern w:val="0"/>
                <w:sz w:val="20"/>
                <w:szCs w:val="20"/>
              </w:rPr>
              <w:t>□设置建筑设备监控系统；</w:t>
            </w:r>
          </w:p>
          <w:p w:rsidR="00363A77" w:rsidRDefault="00363A77">
            <w:pPr>
              <w:widowControl/>
              <w:jc w:val="left"/>
              <w:rPr>
                <w:rFonts w:ascii="宋体" w:eastAsia="宋体" w:hAnsi="宋体" w:cs="宋体"/>
                <w:kern w:val="0"/>
                <w:sz w:val="20"/>
                <w:szCs w:val="20"/>
              </w:rPr>
            </w:pPr>
            <w:r>
              <w:rPr>
                <w:rFonts w:hint="eastAsia"/>
              </w:rPr>
              <w:t>（注：总建筑面积大于</w:t>
            </w:r>
            <w:r>
              <w:t>20000</w:t>
            </w:r>
            <w:r>
              <w:rPr>
                <w:rFonts w:hint="eastAsia"/>
              </w:rPr>
              <w:t>㎡的公共建筑且采用集中空调系统时，应设置集中控制的建筑设备管理系统。）</w:t>
            </w:r>
          </w:p>
          <w:p w:rsidR="00363A77" w:rsidRDefault="00363A77">
            <w:pPr>
              <w:widowControl/>
              <w:jc w:val="left"/>
              <w:rPr>
                <w:rFonts w:ascii="宋体" w:eastAsia="宋体" w:hAnsi="宋体" w:cs="宋体"/>
                <w:kern w:val="0"/>
                <w:sz w:val="20"/>
                <w:szCs w:val="20"/>
              </w:rPr>
            </w:pPr>
            <w:r>
              <w:rPr>
                <w:rFonts w:ascii="宋体" w:eastAsia="宋体" w:hAnsi="宋体" w:cs="宋体" w:hint="eastAsia"/>
                <w:kern w:val="0"/>
                <w:sz w:val="20"/>
                <w:szCs w:val="20"/>
              </w:rPr>
              <w:t>□设置合理的信息网络系统；</w:t>
            </w:r>
          </w:p>
          <w:p w:rsidR="00363A77" w:rsidRDefault="00363A77">
            <w:pPr>
              <w:widowControl/>
              <w:jc w:val="left"/>
              <w:rPr>
                <w:rFonts w:ascii="宋体" w:eastAsia="宋体" w:hAnsi="宋体" w:cs="宋体"/>
                <w:kern w:val="0"/>
                <w:sz w:val="20"/>
                <w:szCs w:val="20"/>
              </w:rPr>
            </w:pPr>
            <w:r>
              <w:rPr>
                <w:rFonts w:ascii="宋体" w:eastAsia="宋体" w:hAnsi="宋体" w:cs="宋体" w:hint="eastAsia"/>
                <w:kern w:val="0"/>
                <w:sz w:val="20"/>
                <w:szCs w:val="20"/>
              </w:rPr>
              <w:t>□根据需要设置合理的智能化服务系统；</w:t>
            </w:r>
          </w:p>
          <w:p w:rsidR="00363A77" w:rsidRDefault="00363A77">
            <w:pPr>
              <w:widowControl/>
              <w:jc w:val="left"/>
              <w:rPr>
                <w:rFonts w:ascii="宋体" w:eastAsia="宋体" w:hAnsi="宋体" w:cs="宋体"/>
                <w:kern w:val="0"/>
                <w:sz w:val="20"/>
                <w:szCs w:val="20"/>
              </w:rPr>
            </w:pPr>
            <w:r>
              <w:rPr>
                <w:rFonts w:ascii="宋体" w:eastAsia="宋体" w:hAnsi="宋体" w:cs="宋体" w:hint="eastAsia"/>
                <w:kern w:val="0"/>
                <w:sz w:val="20"/>
                <w:szCs w:val="20"/>
              </w:rPr>
              <w:t>□智能化服务系统具有远程监控功能，并宜具有接入智慧城市（城区、社区）平台的功能。</w:t>
            </w:r>
          </w:p>
        </w:tc>
        <w:tc>
          <w:tcPr>
            <w:tcW w:w="4961" w:type="dxa"/>
            <w:shd w:val="clear" w:color="auto" w:fill="auto"/>
            <w:vAlign w:val="center"/>
          </w:tcPr>
          <w:p w:rsidR="00363A77" w:rsidRDefault="00363A77">
            <w:pPr>
              <w:widowControl/>
              <w:jc w:val="left"/>
              <w:rPr>
                <w:rFonts w:ascii="宋体" w:eastAsia="宋体" w:hAnsi="宋体" w:cs="宋体"/>
                <w:kern w:val="0"/>
                <w:sz w:val="20"/>
                <w:szCs w:val="20"/>
              </w:rPr>
            </w:pPr>
            <w:r>
              <w:rPr>
                <w:rFonts w:ascii="宋体" w:eastAsia="宋体" w:hAnsi="宋体" w:cs="宋体" w:hint="eastAsia"/>
                <w:kern w:val="0"/>
                <w:sz w:val="20"/>
                <w:szCs w:val="20"/>
              </w:rPr>
              <w:t>□设置建筑设备监控系统；</w:t>
            </w:r>
          </w:p>
          <w:p w:rsidR="00363A77" w:rsidRDefault="00363A77">
            <w:pPr>
              <w:widowControl/>
              <w:jc w:val="left"/>
              <w:rPr>
                <w:rFonts w:ascii="宋体" w:eastAsia="宋体" w:hAnsi="宋体" w:cs="宋体"/>
                <w:kern w:val="0"/>
                <w:sz w:val="20"/>
                <w:szCs w:val="20"/>
              </w:rPr>
            </w:pPr>
            <w:r>
              <w:rPr>
                <w:rFonts w:hint="eastAsia"/>
              </w:rPr>
              <w:t>（注：总建筑面积大于</w:t>
            </w:r>
            <w:r>
              <w:t>20000</w:t>
            </w:r>
            <w:r>
              <w:rPr>
                <w:rFonts w:hint="eastAsia"/>
              </w:rPr>
              <w:t>㎡的公共建筑且采用集中空调系统时，应设置集中控制的建筑设备管理系统。）</w:t>
            </w:r>
          </w:p>
          <w:p w:rsidR="00363A77" w:rsidRDefault="00363A77">
            <w:pPr>
              <w:widowControl/>
              <w:jc w:val="left"/>
              <w:rPr>
                <w:rFonts w:ascii="宋体" w:eastAsia="宋体" w:hAnsi="宋体" w:cs="宋体"/>
                <w:kern w:val="0"/>
                <w:sz w:val="20"/>
                <w:szCs w:val="20"/>
              </w:rPr>
            </w:pPr>
            <w:r>
              <w:rPr>
                <w:rFonts w:ascii="宋体" w:eastAsia="宋体" w:hAnsi="宋体" w:cs="宋体" w:hint="eastAsia"/>
                <w:kern w:val="0"/>
                <w:sz w:val="20"/>
                <w:szCs w:val="20"/>
              </w:rPr>
              <w:t>□设置合理的信息网络系统；</w:t>
            </w:r>
          </w:p>
          <w:p w:rsidR="00363A77" w:rsidRDefault="00363A77">
            <w:pPr>
              <w:widowControl/>
              <w:jc w:val="left"/>
              <w:rPr>
                <w:rFonts w:ascii="宋体" w:eastAsia="宋体" w:hAnsi="宋体" w:cs="宋体"/>
                <w:kern w:val="0"/>
                <w:sz w:val="20"/>
                <w:szCs w:val="20"/>
              </w:rPr>
            </w:pPr>
            <w:r>
              <w:rPr>
                <w:rFonts w:ascii="宋体" w:eastAsia="宋体" w:hAnsi="宋体" w:cs="宋体" w:hint="eastAsia"/>
                <w:kern w:val="0"/>
                <w:sz w:val="20"/>
                <w:szCs w:val="20"/>
              </w:rPr>
              <w:t>□根据需要设置合理的智能化服务系统；</w:t>
            </w:r>
          </w:p>
          <w:p w:rsidR="00363A77" w:rsidRDefault="00363A77">
            <w:pPr>
              <w:widowControl/>
              <w:jc w:val="left"/>
              <w:rPr>
                <w:rFonts w:ascii="宋体" w:eastAsia="宋体" w:hAnsi="宋体" w:cs="宋体"/>
                <w:kern w:val="0"/>
                <w:sz w:val="20"/>
                <w:szCs w:val="20"/>
              </w:rPr>
            </w:pPr>
            <w:r>
              <w:rPr>
                <w:rFonts w:ascii="宋体" w:eastAsia="宋体" w:hAnsi="宋体" w:cs="宋体" w:hint="eastAsia"/>
                <w:kern w:val="0"/>
                <w:sz w:val="20"/>
                <w:szCs w:val="20"/>
              </w:rPr>
              <w:t>□智能化服务系统具有远程监控功能，并宜具有接入智慧城市（城区、社区）平台的功能；</w:t>
            </w:r>
          </w:p>
          <w:p w:rsidR="00363A77" w:rsidRDefault="00363A77">
            <w:pPr>
              <w:widowControl/>
              <w:jc w:val="left"/>
              <w:rPr>
                <w:rFonts w:ascii="宋体" w:eastAsia="宋体" w:hAnsi="宋体" w:cs="宋体"/>
                <w:kern w:val="0"/>
                <w:sz w:val="20"/>
                <w:szCs w:val="20"/>
              </w:rPr>
            </w:pPr>
            <w:r>
              <w:rPr>
                <w:rFonts w:ascii="宋体" w:eastAsia="宋体" w:hAnsi="宋体" w:cs="宋体" w:hint="eastAsia"/>
                <w:kern w:val="0"/>
                <w:sz w:val="20"/>
                <w:szCs w:val="20"/>
              </w:rPr>
              <w:lastRenderedPageBreak/>
              <w:t>□采用大数据分析技术，分析并优化设备的运行状态和能耗。</w:t>
            </w:r>
          </w:p>
        </w:tc>
        <w:tc>
          <w:tcPr>
            <w:tcW w:w="1220" w:type="dxa"/>
            <w:shd w:val="clear" w:color="auto" w:fill="auto"/>
            <w:vAlign w:val="center"/>
          </w:tcPr>
          <w:p w:rsidR="00363A77" w:rsidRDefault="00363A77">
            <w:pPr>
              <w:widowControl/>
              <w:jc w:val="left"/>
              <w:rPr>
                <w:rFonts w:ascii="宋体" w:eastAsia="宋体" w:hAnsi="宋体" w:cs="宋体"/>
                <w:b/>
                <w:bCs/>
                <w:kern w:val="0"/>
                <w:sz w:val="20"/>
                <w:szCs w:val="20"/>
              </w:rPr>
            </w:pPr>
          </w:p>
        </w:tc>
      </w:tr>
      <w:tr w:rsidR="00363A77" w:rsidTr="00522BB2">
        <w:trPr>
          <w:trHeight w:val="737"/>
        </w:trPr>
        <w:tc>
          <w:tcPr>
            <w:tcW w:w="728" w:type="dxa"/>
            <w:vMerge/>
          </w:tcPr>
          <w:p w:rsidR="00363A77" w:rsidRDefault="00363A77">
            <w:pPr>
              <w:widowControl/>
              <w:jc w:val="left"/>
              <w:rPr>
                <w:rFonts w:ascii="宋体" w:eastAsia="宋体" w:hAnsi="宋体" w:cs="宋体"/>
                <w:b/>
                <w:bCs/>
                <w:kern w:val="0"/>
                <w:sz w:val="20"/>
                <w:szCs w:val="20"/>
              </w:rPr>
            </w:pPr>
          </w:p>
        </w:tc>
        <w:tc>
          <w:tcPr>
            <w:tcW w:w="945" w:type="dxa"/>
            <w:vMerge/>
            <w:vAlign w:val="center"/>
          </w:tcPr>
          <w:p w:rsidR="00363A77" w:rsidRDefault="00363A77">
            <w:pPr>
              <w:widowControl/>
              <w:jc w:val="left"/>
              <w:rPr>
                <w:rFonts w:ascii="宋体" w:eastAsia="宋体" w:hAnsi="宋体" w:cs="宋体"/>
                <w:b/>
                <w:bCs/>
                <w:kern w:val="0"/>
                <w:sz w:val="20"/>
                <w:szCs w:val="20"/>
              </w:rPr>
            </w:pPr>
          </w:p>
        </w:tc>
        <w:tc>
          <w:tcPr>
            <w:tcW w:w="919" w:type="dxa"/>
            <w:vMerge w:val="restart"/>
            <w:shd w:val="clear" w:color="auto" w:fill="auto"/>
            <w:vAlign w:val="center"/>
          </w:tcPr>
          <w:p w:rsidR="00363A77" w:rsidRDefault="00363A77">
            <w:pPr>
              <w:widowControl/>
              <w:jc w:val="left"/>
              <w:rPr>
                <w:rFonts w:ascii="宋体" w:eastAsia="宋体" w:hAnsi="宋体" w:cs="宋体"/>
                <w:kern w:val="0"/>
                <w:sz w:val="20"/>
                <w:szCs w:val="20"/>
              </w:rPr>
            </w:pPr>
            <w:r>
              <w:rPr>
                <w:rFonts w:ascii="宋体" w:eastAsia="宋体" w:hAnsi="宋体" w:cs="宋体" w:hint="eastAsia"/>
                <w:kern w:val="0"/>
                <w:sz w:val="20"/>
                <w:szCs w:val="20"/>
              </w:rPr>
              <w:t>计算书</w:t>
            </w:r>
          </w:p>
        </w:tc>
        <w:tc>
          <w:tcPr>
            <w:tcW w:w="3097" w:type="dxa"/>
            <w:shd w:val="clear" w:color="auto" w:fill="auto"/>
            <w:vAlign w:val="center"/>
          </w:tcPr>
          <w:p w:rsidR="00363A77" w:rsidRDefault="00363A77">
            <w:pPr>
              <w:widowControl/>
              <w:jc w:val="left"/>
              <w:rPr>
                <w:rFonts w:ascii="宋体" w:eastAsia="宋体" w:hAnsi="宋体" w:cs="宋体"/>
                <w:kern w:val="0"/>
                <w:sz w:val="20"/>
                <w:szCs w:val="20"/>
              </w:rPr>
            </w:pPr>
            <w:r>
              <w:rPr>
                <w:rFonts w:ascii="宋体" w:eastAsia="宋体" w:hAnsi="宋体" w:cs="宋体" w:hint="eastAsia"/>
                <w:kern w:val="0"/>
                <w:sz w:val="20"/>
                <w:szCs w:val="20"/>
              </w:rPr>
              <w:t>用电负荷计算</w:t>
            </w:r>
          </w:p>
        </w:tc>
        <w:tc>
          <w:tcPr>
            <w:tcW w:w="4536" w:type="dxa"/>
            <w:vMerge w:val="restart"/>
            <w:shd w:val="clear" w:color="auto" w:fill="auto"/>
            <w:vAlign w:val="center"/>
          </w:tcPr>
          <w:p w:rsidR="00363A77" w:rsidRDefault="00363A77">
            <w:pPr>
              <w:widowControl/>
              <w:jc w:val="left"/>
              <w:rPr>
                <w:rFonts w:ascii="宋体" w:eastAsia="宋体" w:hAnsi="宋体" w:cs="宋体"/>
                <w:kern w:val="0"/>
                <w:sz w:val="20"/>
                <w:szCs w:val="20"/>
              </w:rPr>
            </w:pPr>
            <w:r>
              <w:rPr>
                <w:rFonts w:ascii="宋体" w:eastAsia="宋体" w:hAnsi="宋体" w:cs="宋体" w:hint="eastAsia"/>
                <w:kern w:val="0"/>
                <w:sz w:val="20"/>
                <w:szCs w:val="20"/>
              </w:rPr>
              <w:t>□采用需要系数法（或精度相当的其他方法）进行负荷计算，计算取值合理</w:t>
            </w:r>
            <w:r>
              <w:rPr>
                <w:rFonts w:ascii="宋体" w:eastAsia="宋体" w:hAnsi="宋体" w:cs="宋体"/>
                <w:kern w:val="0"/>
                <w:sz w:val="20"/>
                <w:szCs w:val="20"/>
              </w:rPr>
              <w:br/>
            </w:r>
            <w:r>
              <w:rPr>
                <w:rFonts w:ascii="宋体" w:eastAsia="宋体" w:hAnsi="宋体" w:cs="宋体" w:hint="eastAsia"/>
                <w:kern w:val="0"/>
                <w:sz w:val="20"/>
                <w:szCs w:val="20"/>
              </w:rPr>
              <w:t>□变压器数量、容量、负载率合理</w:t>
            </w:r>
            <w:r>
              <w:rPr>
                <w:rFonts w:ascii="宋体" w:eastAsia="宋体" w:hAnsi="宋体" w:cs="宋体"/>
                <w:kern w:val="0"/>
                <w:sz w:val="20"/>
                <w:szCs w:val="20"/>
              </w:rPr>
              <w:br/>
            </w:r>
            <w:r>
              <w:rPr>
                <w:rFonts w:ascii="宋体" w:eastAsia="宋体" w:hAnsi="宋体" w:cs="宋体" w:hint="eastAsia"/>
                <w:kern w:val="0"/>
                <w:sz w:val="20"/>
                <w:szCs w:val="20"/>
              </w:rPr>
              <w:t>□自备电源数量、容量合理</w:t>
            </w:r>
            <w:r>
              <w:rPr>
                <w:rFonts w:ascii="宋体" w:eastAsia="宋体" w:hAnsi="宋体" w:cs="宋体"/>
                <w:kern w:val="0"/>
                <w:sz w:val="20"/>
                <w:szCs w:val="20"/>
              </w:rPr>
              <w:br/>
            </w:r>
            <w:r>
              <w:rPr>
                <w:rFonts w:ascii="宋体" w:eastAsia="宋体" w:hAnsi="宋体" w:cs="宋体" w:hint="eastAsia"/>
                <w:kern w:val="0"/>
                <w:sz w:val="20"/>
                <w:szCs w:val="20"/>
              </w:rPr>
              <w:t>□照明功率密度值：室内主要场所的</w:t>
            </w:r>
            <w:r>
              <w:rPr>
                <w:rFonts w:ascii="宋体" w:eastAsia="宋体" w:hAnsi="宋体" w:cs="宋体"/>
                <w:kern w:val="0"/>
                <w:sz w:val="20"/>
                <w:szCs w:val="20"/>
              </w:rPr>
              <w:t>LPD按目标值执行</w:t>
            </w:r>
            <w:r>
              <w:rPr>
                <w:rFonts w:ascii="宋体" w:eastAsia="宋体" w:hAnsi="宋体" w:cs="宋体"/>
                <w:kern w:val="0"/>
                <w:sz w:val="20"/>
                <w:szCs w:val="20"/>
              </w:rPr>
              <w:br/>
            </w:r>
            <w:r>
              <w:rPr>
                <w:rFonts w:ascii="宋体" w:eastAsia="宋体" w:hAnsi="宋体" w:cs="宋体" w:hint="eastAsia"/>
                <w:kern w:val="0"/>
                <w:sz w:val="20"/>
                <w:szCs w:val="20"/>
              </w:rPr>
              <w:t>□太阳能光伏发电系统装机容量、年发电量计算。</w:t>
            </w:r>
          </w:p>
        </w:tc>
        <w:tc>
          <w:tcPr>
            <w:tcW w:w="4678" w:type="dxa"/>
            <w:vMerge w:val="restart"/>
            <w:shd w:val="clear" w:color="auto" w:fill="auto"/>
            <w:vAlign w:val="center"/>
          </w:tcPr>
          <w:p w:rsidR="00363A77" w:rsidRDefault="00363A77">
            <w:pPr>
              <w:widowControl/>
              <w:jc w:val="left"/>
              <w:rPr>
                <w:rFonts w:ascii="宋体" w:eastAsia="宋体" w:hAnsi="宋体" w:cs="宋体"/>
                <w:kern w:val="0"/>
                <w:sz w:val="20"/>
                <w:szCs w:val="20"/>
              </w:rPr>
            </w:pPr>
            <w:r>
              <w:rPr>
                <w:rFonts w:ascii="宋体" w:eastAsia="宋体" w:hAnsi="宋体" w:cs="宋体" w:hint="eastAsia"/>
                <w:kern w:val="0"/>
                <w:sz w:val="20"/>
                <w:szCs w:val="20"/>
              </w:rPr>
              <w:t>□采用需要系数法（或精度相当的其他方法）进行负荷计算，计算取值合理</w:t>
            </w:r>
            <w:r>
              <w:rPr>
                <w:rFonts w:ascii="宋体" w:eastAsia="宋体" w:hAnsi="宋体" w:cs="宋体"/>
                <w:kern w:val="0"/>
                <w:sz w:val="20"/>
                <w:szCs w:val="20"/>
              </w:rPr>
              <w:br/>
            </w:r>
            <w:r>
              <w:rPr>
                <w:rFonts w:ascii="宋体" w:eastAsia="宋体" w:hAnsi="宋体" w:cs="宋体" w:hint="eastAsia"/>
                <w:kern w:val="0"/>
                <w:sz w:val="20"/>
                <w:szCs w:val="20"/>
              </w:rPr>
              <w:t>□变压器数量、容量、负载率合理</w:t>
            </w:r>
            <w:r>
              <w:rPr>
                <w:rFonts w:ascii="宋体" w:eastAsia="宋体" w:hAnsi="宋体" w:cs="宋体"/>
                <w:kern w:val="0"/>
                <w:sz w:val="20"/>
                <w:szCs w:val="20"/>
              </w:rPr>
              <w:br/>
            </w:r>
            <w:r>
              <w:rPr>
                <w:rFonts w:ascii="宋体" w:eastAsia="宋体" w:hAnsi="宋体" w:cs="宋体" w:hint="eastAsia"/>
                <w:kern w:val="0"/>
                <w:sz w:val="20"/>
                <w:szCs w:val="20"/>
              </w:rPr>
              <w:t>□自备电源数量、容量合理</w:t>
            </w:r>
            <w:r>
              <w:rPr>
                <w:rFonts w:ascii="宋体" w:eastAsia="宋体" w:hAnsi="宋体" w:cs="宋体"/>
                <w:kern w:val="0"/>
                <w:sz w:val="20"/>
                <w:szCs w:val="20"/>
              </w:rPr>
              <w:br/>
            </w:r>
            <w:r>
              <w:rPr>
                <w:rFonts w:ascii="宋体" w:eastAsia="宋体" w:hAnsi="宋体" w:cs="宋体" w:hint="eastAsia"/>
                <w:kern w:val="0"/>
                <w:sz w:val="20"/>
                <w:szCs w:val="20"/>
              </w:rPr>
              <w:t>□照明功率密度值：室内主要场所的</w:t>
            </w:r>
            <w:r>
              <w:rPr>
                <w:rFonts w:ascii="宋体" w:eastAsia="宋体" w:hAnsi="宋体" w:cs="宋体"/>
                <w:kern w:val="0"/>
                <w:sz w:val="20"/>
                <w:szCs w:val="20"/>
              </w:rPr>
              <w:t>LPD按目标值执行</w:t>
            </w:r>
            <w:r>
              <w:rPr>
                <w:rFonts w:ascii="宋体" w:eastAsia="宋体" w:hAnsi="宋体" w:cs="宋体"/>
                <w:kern w:val="0"/>
                <w:sz w:val="20"/>
                <w:szCs w:val="20"/>
              </w:rPr>
              <w:br/>
            </w:r>
            <w:r>
              <w:rPr>
                <w:rFonts w:ascii="宋体" w:eastAsia="宋体" w:hAnsi="宋体" w:cs="宋体" w:hint="eastAsia"/>
                <w:kern w:val="0"/>
                <w:sz w:val="20"/>
                <w:szCs w:val="20"/>
              </w:rPr>
              <w:t>□太阳能光伏发电系统装机容量、年发电量计算。</w:t>
            </w:r>
          </w:p>
        </w:tc>
        <w:tc>
          <w:tcPr>
            <w:tcW w:w="4961" w:type="dxa"/>
            <w:vMerge w:val="restart"/>
            <w:shd w:val="clear" w:color="auto" w:fill="auto"/>
            <w:vAlign w:val="center"/>
          </w:tcPr>
          <w:p w:rsidR="00363A77" w:rsidRDefault="00363A77">
            <w:pPr>
              <w:widowControl/>
              <w:jc w:val="left"/>
              <w:rPr>
                <w:rFonts w:ascii="宋体" w:eastAsia="宋体" w:hAnsi="宋体" w:cs="宋体"/>
                <w:kern w:val="0"/>
                <w:sz w:val="20"/>
                <w:szCs w:val="20"/>
              </w:rPr>
            </w:pPr>
            <w:r>
              <w:rPr>
                <w:rFonts w:ascii="宋体" w:eastAsia="宋体" w:hAnsi="宋体" w:cs="宋体" w:hint="eastAsia"/>
                <w:kern w:val="0"/>
                <w:sz w:val="20"/>
                <w:szCs w:val="20"/>
              </w:rPr>
              <w:t>□采用需要系数法（或精度相当的其他方法）进行负荷计算，计算取值合理</w:t>
            </w:r>
            <w:r>
              <w:rPr>
                <w:rFonts w:ascii="宋体" w:eastAsia="宋体" w:hAnsi="宋体" w:cs="宋体"/>
                <w:kern w:val="0"/>
                <w:sz w:val="20"/>
                <w:szCs w:val="20"/>
              </w:rPr>
              <w:br/>
            </w:r>
            <w:r>
              <w:rPr>
                <w:rFonts w:ascii="宋体" w:eastAsia="宋体" w:hAnsi="宋体" w:cs="宋体" w:hint="eastAsia"/>
                <w:kern w:val="0"/>
                <w:sz w:val="20"/>
                <w:szCs w:val="20"/>
              </w:rPr>
              <w:t>□变压器数量、容量、负载率合理</w:t>
            </w:r>
            <w:r>
              <w:rPr>
                <w:rFonts w:ascii="宋体" w:eastAsia="宋体" w:hAnsi="宋体" w:cs="宋体"/>
                <w:kern w:val="0"/>
                <w:sz w:val="20"/>
                <w:szCs w:val="20"/>
              </w:rPr>
              <w:br/>
            </w:r>
            <w:r>
              <w:rPr>
                <w:rFonts w:ascii="宋体" w:eastAsia="宋体" w:hAnsi="宋体" w:cs="宋体" w:hint="eastAsia"/>
                <w:kern w:val="0"/>
                <w:sz w:val="20"/>
                <w:szCs w:val="20"/>
              </w:rPr>
              <w:t>□自备电源数量、容量合理</w:t>
            </w:r>
            <w:r>
              <w:rPr>
                <w:rFonts w:ascii="宋体" w:eastAsia="宋体" w:hAnsi="宋体" w:cs="宋体"/>
                <w:kern w:val="0"/>
                <w:sz w:val="20"/>
                <w:szCs w:val="20"/>
              </w:rPr>
              <w:br/>
            </w:r>
            <w:r>
              <w:rPr>
                <w:rFonts w:ascii="宋体" w:eastAsia="宋体" w:hAnsi="宋体" w:cs="宋体" w:hint="eastAsia"/>
                <w:kern w:val="0"/>
                <w:sz w:val="20"/>
                <w:szCs w:val="20"/>
              </w:rPr>
              <w:t>□照明功率密度值：室内所有场所的</w:t>
            </w:r>
            <w:r>
              <w:rPr>
                <w:rFonts w:ascii="宋体" w:eastAsia="宋体" w:hAnsi="宋体" w:cs="宋体"/>
                <w:kern w:val="0"/>
                <w:sz w:val="20"/>
                <w:szCs w:val="20"/>
              </w:rPr>
              <w:t>LPD按目标值执行</w:t>
            </w:r>
            <w:r>
              <w:rPr>
                <w:rFonts w:ascii="宋体" w:eastAsia="宋体" w:hAnsi="宋体" w:cs="宋体"/>
                <w:kern w:val="0"/>
                <w:sz w:val="20"/>
                <w:szCs w:val="20"/>
              </w:rPr>
              <w:br/>
            </w:r>
            <w:r>
              <w:rPr>
                <w:rFonts w:ascii="宋体" w:eastAsia="宋体" w:hAnsi="宋体" w:cs="宋体" w:hint="eastAsia"/>
                <w:kern w:val="0"/>
                <w:sz w:val="20"/>
                <w:szCs w:val="20"/>
              </w:rPr>
              <w:t>□室外照度标准、照明功率密度满足《城市夜景照明设计规范》</w:t>
            </w:r>
            <w:r>
              <w:rPr>
                <w:rFonts w:ascii="宋体" w:eastAsia="宋体" w:hAnsi="宋体" w:cs="宋体"/>
                <w:kern w:val="0"/>
                <w:sz w:val="20"/>
                <w:szCs w:val="20"/>
              </w:rPr>
              <w:t>JGJ/T 163、浙江省标准</w:t>
            </w:r>
            <w:r>
              <w:rPr>
                <w:rFonts w:ascii="宋体" w:eastAsia="宋体" w:hAnsi="宋体" w:cs="宋体" w:hint="eastAsia"/>
                <w:sz w:val="20"/>
                <w:szCs w:val="20"/>
              </w:rPr>
              <w:t>《</w:t>
            </w:r>
            <w:r>
              <w:rPr>
                <w:rFonts w:ascii="宋体" w:eastAsia="宋体" w:hAnsi="宋体" w:cs="宋体"/>
                <w:sz w:val="20"/>
                <w:szCs w:val="20"/>
              </w:rPr>
              <w:t>环境照明工程设计规范</w:t>
            </w:r>
            <w:r>
              <w:rPr>
                <w:rFonts w:ascii="宋体" w:eastAsia="宋体" w:hAnsi="宋体" w:cs="宋体" w:hint="eastAsia"/>
                <w:sz w:val="20"/>
                <w:szCs w:val="20"/>
              </w:rPr>
              <w:t>》</w:t>
            </w:r>
            <w:r>
              <w:rPr>
                <w:rFonts w:ascii="宋体" w:eastAsia="宋体" w:hAnsi="宋体" w:cs="宋体"/>
                <w:sz w:val="20"/>
                <w:szCs w:val="20"/>
              </w:rPr>
              <w:t xml:space="preserve"> DB33/T 1055-2018</w:t>
            </w:r>
            <w:r>
              <w:rPr>
                <w:rFonts w:ascii="宋体" w:eastAsia="宋体" w:hAnsi="宋体" w:cs="宋体" w:hint="eastAsia"/>
                <w:kern w:val="0"/>
                <w:sz w:val="20"/>
                <w:szCs w:val="20"/>
              </w:rPr>
              <w:t>的要求</w:t>
            </w:r>
            <w:r>
              <w:rPr>
                <w:rFonts w:ascii="宋体" w:eastAsia="宋体" w:hAnsi="宋体" w:cs="宋体"/>
                <w:kern w:val="0"/>
                <w:sz w:val="20"/>
                <w:szCs w:val="20"/>
              </w:rPr>
              <w:br/>
            </w:r>
            <w:r>
              <w:rPr>
                <w:rFonts w:ascii="宋体" w:eastAsia="宋体" w:hAnsi="宋体" w:cs="宋体" w:hint="eastAsia"/>
                <w:kern w:val="0"/>
                <w:sz w:val="20"/>
                <w:szCs w:val="20"/>
              </w:rPr>
              <w:t>□太阳能光伏发电系统装机容量、年发电量计算。</w:t>
            </w:r>
          </w:p>
        </w:tc>
        <w:tc>
          <w:tcPr>
            <w:tcW w:w="1220" w:type="dxa"/>
            <w:vMerge w:val="restart"/>
            <w:shd w:val="clear" w:color="auto" w:fill="auto"/>
            <w:vAlign w:val="center"/>
          </w:tcPr>
          <w:p w:rsidR="00363A77" w:rsidRDefault="00363A77">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仅初步设计阶段需要</w:t>
            </w:r>
          </w:p>
        </w:tc>
      </w:tr>
      <w:tr w:rsidR="00363A77" w:rsidTr="00522BB2">
        <w:trPr>
          <w:trHeight w:val="737"/>
        </w:trPr>
        <w:tc>
          <w:tcPr>
            <w:tcW w:w="728" w:type="dxa"/>
            <w:vMerge/>
          </w:tcPr>
          <w:p w:rsidR="00363A77" w:rsidRDefault="00363A77">
            <w:pPr>
              <w:widowControl/>
              <w:jc w:val="left"/>
              <w:rPr>
                <w:rFonts w:ascii="宋体" w:eastAsia="宋体" w:hAnsi="宋体" w:cs="宋体"/>
                <w:b/>
                <w:bCs/>
                <w:kern w:val="0"/>
                <w:sz w:val="20"/>
                <w:szCs w:val="20"/>
              </w:rPr>
            </w:pPr>
          </w:p>
        </w:tc>
        <w:tc>
          <w:tcPr>
            <w:tcW w:w="945" w:type="dxa"/>
            <w:vMerge/>
            <w:vAlign w:val="center"/>
          </w:tcPr>
          <w:p w:rsidR="00363A77" w:rsidRDefault="00363A77">
            <w:pPr>
              <w:widowControl/>
              <w:jc w:val="left"/>
              <w:rPr>
                <w:rFonts w:ascii="宋体" w:eastAsia="宋体" w:hAnsi="宋体" w:cs="宋体"/>
                <w:b/>
                <w:bCs/>
                <w:kern w:val="0"/>
                <w:sz w:val="20"/>
                <w:szCs w:val="20"/>
              </w:rPr>
            </w:pPr>
          </w:p>
        </w:tc>
        <w:tc>
          <w:tcPr>
            <w:tcW w:w="919" w:type="dxa"/>
            <w:vMerge/>
            <w:vAlign w:val="center"/>
          </w:tcPr>
          <w:p w:rsidR="00363A77" w:rsidRDefault="00363A77">
            <w:pPr>
              <w:widowControl/>
              <w:jc w:val="left"/>
              <w:rPr>
                <w:rFonts w:ascii="宋体" w:eastAsia="宋体" w:hAnsi="宋体" w:cs="宋体"/>
                <w:kern w:val="0"/>
                <w:sz w:val="20"/>
                <w:szCs w:val="20"/>
              </w:rPr>
            </w:pPr>
          </w:p>
        </w:tc>
        <w:tc>
          <w:tcPr>
            <w:tcW w:w="3097" w:type="dxa"/>
            <w:shd w:val="clear" w:color="auto" w:fill="auto"/>
            <w:vAlign w:val="center"/>
          </w:tcPr>
          <w:p w:rsidR="00363A77" w:rsidRDefault="00363A77">
            <w:pPr>
              <w:widowControl/>
              <w:jc w:val="left"/>
              <w:rPr>
                <w:rFonts w:ascii="宋体" w:eastAsia="宋体" w:hAnsi="宋体" w:cs="宋体"/>
                <w:kern w:val="0"/>
                <w:sz w:val="20"/>
                <w:szCs w:val="20"/>
              </w:rPr>
            </w:pPr>
            <w:r>
              <w:rPr>
                <w:rFonts w:ascii="宋体" w:eastAsia="宋体" w:hAnsi="宋体" w:cs="宋体" w:hint="eastAsia"/>
                <w:kern w:val="0"/>
                <w:sz w:val="20"/>
                <w:szCs w:val="20"/>
              </w:rPr>
              <w:t>无功补偿及变压器选型计算</w:t>
            </w:r>
          </w:p>
        </w:tc>
        <w:tc>
          <w:tcPr>
            <w:tcW w:w="4536" w:type="dxa"/>
            <w:vMerge/>
            <w:vAlign w:val="center"/>
          </w:tcPr>
          <w:p w:rsidR="00363A77" w:rsidRDefault="00363A77">
            <w:pPr>
              <w:widowControl/>
              <w:jc w:val="left"/>
              <w:rPr>
                <w:rFonts w:ascii="宋体" w:eastAsia="宋体" w:hAnsi="宋体" w:cs="宋体"/>
                <w:kern w:val="0"/>
                <w:sz w:val="20"/>
                <w:szCs w:val="20"/>
              </w:rPr>
            </w:pPr>
          </w:p>
        </w:tc>
        <w:tc>
          <w:tcPr>
            <w:tcW w:w="4678" w:type="dxa"/>
            <w:vMerge/>
            <w:vAlign w:val="center"/>
          </w:tcPr>
          <w:p w:rsidR="00363A77" w:rsidRDefault="00363A77">
            <w:pPr>
              <w:widowControl/>
              <w:jc w:val="left"/>
              <w:rPr>
                <w:rFonts w:ascii="宋体" w:eastAsia="宋体" w:hAnsi="宋体" w:cs="宋体"/>
                <w:kern w:val="0"/>
                <w:sz w:val="20"/>
                <w:szCs w:val="20"/>
              </w:rPr>
            </w:pPr>
          </w:p>
        </w:tc>
        <w:tc>
          <w:tcPr>
            <w:tcW w:w="4961" w:type="dxa"/>
            <w:vMerge/>
            <w:vAlign w:val="center"/>
          </w:tcPr>
          <w:p w:rsidR="00363A77" w:rsidRDefault="00363A77">
            <w:pPr>
              <w:widowControl/>
              <w:jc w:val="left"/>
              <w:rPr>
                <w:rFonts w:ascii="宋体" w:eastAsia="宋体" w:hAnsi="宋体" w:cs="宋体"/>
                <w:kern w:val="0"/>
                <w:sz w:val="20"/>
                <w:szCs w:val="20"/>
              </w:rPr>
            </w:pPr>
          </w:p>
        </w:tc>
        <w:tc>
          <w:tcPr>
            <w:tcW w:w="1220" w:type="dxa"/>
            <w:vMerge/>
            <w:vAlign w:val="center"/>
          </w:tcPr>
          <w:p w:rsidR="00363A77" w:rsidRDefault="00363A77">
            <w:pPr>
              <w:widowControl/>
              <w:jc w:val="left"/>
              <w:rPr>
                <w:rFonts w:ascii="宋体" w:eastAsia="宋体" w:hAnsi="宋体" w:cs="宋体"/>
                <w:b/>
                <w:bCs/>
                <w:kern w:val="0"/>
                <w:sz w:val="20"/>
                <w:szCs w:val="20"/>
              </w:rPr>
            </w:pPr>
          </w:p>
        </w:tc>
      </w:tr>
      <w:tr w:rsidR="00363A77" w:rsidTr="00522BB2">
        <w:trPr>
          <w:trHeight w:val="737"/>
        </w:trPr>
        <w:tc>
          <w:tcPr>
            <w:tcW w:w="728" w:type="dxa"/>
            <w:vMerge/>
          </w:tcPr>
          <w:p w:rsidR="00363A77" w:rsidRDefault="00363A77">
            <w:pPr>
              <w:widowControl/>
              <w:jc w:val="left"/>
              <w:rPr>
                <w:rFonts w:ascii="宋体" w:eastAsia="宋体" w:hAnsi="宋体" w:cs="宋体"/>
                <w:b/>
                <w:bCs/>
                <w:kern w:val="0"/>
                <w:sz w:val="20"/>
                <w:szCs w:val="20"/>
              </w:rPr>
            </w:pPr>
          </w:p>
        </w:tc>
        <w:tc>
          <w:tcPr>
            <w:tcW w:w="945" w:type="dxa"/>
            <w:vMerge/>
            <w:vAlign w:val="center"/>
          </w:tcPr>
          <w:p w:rsidR="00363A77" w:rsidRDefault="00363A77">
            <w:pPr>
              <w:widowControl/>
              <w:jc w:val="left"/>
              <w:rPr>
                <w:rFonts w:ascii="宋体" w:eastAsia="宋体" w:hAnsi="宋体" w:cs="宋体"/>
                <w:b/>
                <w:bCs/>
                <w:kern w:val="0"/>
                <w:sz w:val="20"/>
                <w:szCs w:val="20"/>
              </w:rPr>
            </w:pPr>
          </w:p>
        </w:tc>
        <w:tc>
          <w:tcPr>
            <w:tcW w:w="919" w:type="dxa"/>
            <w:vMerge/>
            <w:vAlign w:val="center"/>
          </w:tcPr>
          <w:p w:rsidR="00363A77" w:rsidRDefault="00363A77">
            <w:pPr>
              <w:widowControl/>
              <w:jc w:val="left"/>
              <w:rPr>
                <w:rFonts w:ascii="宋体" w:eastAsia="宋体" w:hAnsi="宋体" w:cs="宋体"/>
                <w:kern w:val="0"/>
                <w:sz w:val="20"/>
                <w:szCs w:val="20"/>
              </w:rPr>
            </w:pPr>
          </w:p>
        </w:tc>
        <w:tc>
          <w:tcPr>
            <w:tcW w:w="3097" w:type="dxa"/>
            <w:shd w:val="clear" w:color="auto" w:fill="auto"/>
            <w:vAlign w:val="center"/>
          </w:tcPr>
          <w:p w:rsidR="00363A77" w:rsidRDefault="00363A77">
            <w:pPr>
              <w:widowControl/>
              <w:jc w:val="left"/>
              <w:rPr>
                <w:rFonts w:ascii="宋体" w:eastAsia="宋体" w:hAnsi="宋体" w:cs="宋体"/>
                <w:kern w:val="0"/>
                <w:sz w:val="20"/>
                <w:szCs w:val="20"/>
              </w:rPr>
            </w:pPr>
            <w:r>
              <w:rPr>
                <w:rFonts w:ascii="宋体" w:eastAsia="宋体" w:hAnsi="宋体" w:cs="宋体" w:hint="eastAsia"/>
                <w:kern w:val="0"/>
                <w:sz w:val="20"/>
                <w:szCs w:val="20"/>
              </w:rPr>
              <w:t>自备电源负荷计算</w:t>
            </w:r>
          </w:p>
        </w:tc>
        <w:tc>
          <w:tcPr>
            <w:tcW w:w="4536" w:type="dxa"/>
            <w:vMerge/>
            <w:vAlign w:val="center"/>
          </w:tcPr>
          <w:p w:rsidR="00363A77" w:rsidRDefault="00363A77">
            <w:pPr>
              <w:widowControl/>
              <w:jc w:val="left"/>
              <w:rPr>
                <w:rFonts w:ascii="宋体" w:eastAsia="宋体" w:hAnsi="宋体" w:cs="宋体"/>
                <w:kern w:val="0"/>
                <w:sz w:val="20"/>
                <w:szCs w:val="20"/>
              </w:rPr>
            </w:pPr>
          </w:p>
        </w:tc>
        <w:tc>
          <w:tcPr>
            <w:tcW w:w="4678" w:type="dxa"/>
            <w:vMerge/>
            <w:vAlign w:val="center"/>
          </w:tcPr>
          <w:p w:rsidR="00363A77" w:rsidRDefault="00363A77">
            <w:pPr>
              <w:widowControl/>
              <w:jc w:val="left"/>
              <w:rPr>
                <w:rFonts w:ascii="宋体" w:eastAsia="宋体" w:hAnsi="宋体" w:cs="宋体"/>
                <w:kern w:val="0"/>
                <w:sz w:val="20"/>
                <w:szCs w:val="20"/>
              </w:rPr>
            </w:pPr>
          </w:p>
        </w:tc>
        <w:tc>
          <w:tcPr>
            <w:tcW w:w="4961" w:type="dxa"/>
            <w:vMerge/>
            <w:vAlign w:val="center"/>
          </w:tcPr>
          <w:p w:rsidR="00363A77" w:rsidRDefault="00363A77">
            <w:pPr>
              <w:widowControl/>
              <w:jc w:val="left"/>
              <w:rPr>
                <w:rFonts w:ascii="宋体" w:eastAsia="宋体" w:hAnsi="宋体" w:cs="宋体"/>
                <w:kern w:val="0"/>
                <w:sz w:val="20"/>
                <w:szCs w:val="20"/>
              </w:rPr>
            </w:pPr>
          </w:p>
        </w:tc>
        <w:tc>
          <w:tcPr>
            <w:tcW w:w="1220" w:type="dxa"/>
            <w:vMerge/>
            <w:vAlign w:val="center"/>
          </w:tcPr>
          <w:p w:rsidR="00363A77" w:rsidRDefault="00363A77">
            <w:pPr>
              <w:widowControl/>
              <w:jc w:val="left"/>
              <w:rPr>
                <w:rFonts w:ascii="宋体" w:eastAsia="宋体" w:hAnsi="宋体" w:cs="宋体"/>
                <w:b/>
                <w:bCs/>
                <w:kern w:val="0"/>
                <w:sz w:val="20"/>
                <w:szCs w:val="20"/>
              </w:rPr>
            </w:pPr>
          </w:p>
        </w:tc>
      </w:tr>
      <w:tr w:rsidR="00363A77" w:rsidTr="00522BB2">
        <w:trPr>
          <w:trHeight w:val="737"/>
        </w:trPr>
        <w:tc>
          <w:tcPr>
            <w:tcW w:w="728" w:type="dxa"/>
            <w:vMerge/>
          </w:tcPr>
          <w:p w:rsidR="00363A77" w:rsidRDefault="00363A77">
            <w:pPr>
              <w:widowControl/>
              <w:jc w:val="left"/>
              <w:rPr>
                <w:rFonts w:ascii="宋体" w:eastAsia="宋体" w:hAnsi="宋体" w:cs="宋体"/>
                <w:b/>
                <w:bCs/>
                <w:kern w:val="0"/>
                <w:sz w:val="20"/>
                <w:szCs w:val="20"/>
              </w:rPr>
            </w:pPr>
          </w:p>
        </w:tc>
        <w:tc>
          <w:tcPr>
            <w:tcW w:w="945" w:type="dxa"/>
            <w:vMerge/>
            <w:vAlign w:val="center"/>
          </w:tcPr>
          <w:p w:rsidR="00363A77" w:rsidRDefault="00363A77">
            <w:pPr>
              <w:widowControl/>
              <w:jc w:val="left"/>
              <w:rPr>
                <w:rFonts w:ascii="宋体" w:eastAsia="宋体" w:hAnsi="宋体" w:cs="宋体"/>
                <w:b/>
                <w:bCs/>
                <w:kern w:val="0"/>
                <w:sz w:val="20"/>
                <w:szCs w:val="20"/>
              </w:rPr>
            </w:pPr>
          </w:p>
        </w:tc>
        <w:tc>
          <w:tcPr>
            <w:tcW w:w="919" w:type="dxa"/>
            <w:vMerge/>
            <w:vAlign w:val="center"/>
          </w:tcPr>
          <w:p w:rsidR="00363A77" w:rsidRDefault="00363A77">
            <w:pPr>
              <w:widowControl/>
              <w:jc w:val="left"/>
              <w:rPr>
                <w:rFonts w:ascii="宋体" w:eastAsia="宋体" w:hAnsi="宋体" w:cs="宋体"/>
                <w:kern w:val="0"/>
                <w:sz w:val="20"/>
                <w:szCs w:val="20"/>
              </w:rPr>
            </w:pPr>
          </w:p>
        </w:tc>
        <w:tc>
          <w:tcPr>
            <w:tcW w:w="3097" w:type="dxa"/>
            <w:shd w:val="clear" w:color="auto" w:fill="auto"/>
            <w:vAlign w:val="center"/>
          </w:tcPr>
          <w:p w:rsidR="00363A77" w:rsidRDefault="00363A77">
            <w:pPr>
              <w:widowControl/>
              <w:jc w:val="left"/>
              <w:rPr>
                <w:rFonts w:ascii="宋体" w:eastAsia="宋体" w:hAnsi="宋体" w:cs="宋体"/>
                <w:kern w:val="0"/>
                <w:sz w:val="20"/>
                <w:szCs w:val="20"/>
              </w:rPr>
            </w:pPr>
            <w:r>
              <w:rPr>
                <w:rFonts w:ascii="宋体" w:eastAsia="宋体" w:hAnsi="宋体" w:cs="宋体" w:hint="eastAsia"/>
                <w:kern w:val="0"/>
                <w:sz w:val="20"/>
                <w:szCs w:val="20"/>
              </w:rPr>
              <w:t>照度、照明功率密度值计算</w:t>
            </w:r>
          </w:p>
        </w:tc>
        <w:tc>
          <w:tcPr>
            <w:tcW w:w="4536" w:type="dxa"/>
            <w:vMerge/>
            <w:vAlign w:val="center"/>
          </w:tcPr>
          <w:p w:rsidR="00363A77" w:rsidRDefault="00363A77">
            <w:pPr>
              <w:widowControl/>
              <w:jc w:val="left"/>
              <w:rPr>
                <w:rFonts w:ascii="宋体" w:eastAsia="宋体" w:hAnsi="宋体" w:cs="宋体"/>
                <w:kern w:val="0"/>
                <w:sz w:val="20"/>
                <w:szCs w:val="20"/>
              </w:rPr>
            </w:pPr>
          </w:p>
        </w:tc>
        <w:tc>
          <w:tcPr>
            <w:tcW w:w="4678" w:type="dxa"/>
            <w:vMerge/>
            <w:vAlign w:val="center"/>
          </w:tcPr>
          <w:p w:rsidR="00363A77" w:rsidRDefault="00363A77">
            <w:pPr>
              <w:widowControl/>
              <w:jc w:val="left"/>
              <w:rPr>
                <w:rFonts w:ascii="宋体" w:eastAsia="宋体" w:hAnsi="宋体" w:cs="宋体"/>
                <w:kern w:val="0"/>
                <w:sz w:val="20"/>
                <w:szCs w:val="20"/>
              </w:rPr>
            </w:pPr>
          </w:p>
        </w:tc>
        <w:tc>
          <w:tcPr>
            <w:tcW w:w="4961" w:type="dxa"/>
            <w:vMerge/>
            <w:vAlign w:val="center"/>
          </w:tcPr>
          <w:p w:rsidR="00363A77" w:rsidRDefault="00363A77">
            <w:pPr>
              <w:widowControl/>
              <w:jc w:val="left"/>
              <w:rPr>
                <w:rFonts w:ascii="宋体" w:eastAsia="宋体" w:hAnsi="宋体" w:cs="宋体"/>
                <w:kern w:val="0"/>
                <w:sz w:val="20"/>
                <w:szCs w:val="20"/>
              </w:rPr>
            </w:pPr>
          </w:p>
        </w:tc>
        <w:tc>
          <w:tcPr>
            <w:tcW w:w="1220" w:type="dxa"/>
            <w:vMerge/>
            <w:vAlign w:val="center"/>
          </w:tcPr>
          <w:p w:rsidR="00363A77" w:rsidRDefault="00363A77">
            <w:pPr>
              <w:widowControl/>
              <w:jc w:val="left"/>
              <w:rPr>
                <w:rFonts w:ascii="宋体" w:eastAsia="宋体" w:hAnsi="宋体" w:cs="宋体"/>
                <w:b/>
                <w:bCs/>
                <w:kern w:val="0"/>
                <w:sz w:val="20"/>
                <w:szCs w:val="20"/>
              </w:rPr>
            </w:pPr>
          </w:p>
        </w:tc>
      </w:tr>
      <w:tr w:rsidR="00363A77" w:rsidTr="00522BB2">
        <w:trPr>
          <w:trHeight w:val="737"/>
        </w:trPr>
        <w:tc>
          <w:tcPr>
            <w:tcW w:w="728" w:type="dxa"/>
            <w:vMerge/>
          </w:tcPr>
          <w:p w:rsidR="00363A77" w:rsidRDefault="00363A77">
            <w:pPr>
              <w:widowControl/>
              <w:jc w:val="left"/>
              <w:rPr>
                <w:rFonts w:ascii="宋体" w:eastAsia="宋体" w:hAnsi="宋体" w:cs="宋体"/>
                <w:b/>
                <w:bCs/>
                <w:kern w:val="0"/>
                <w:sz w:val="20"/>
                <w:szCs w:val="20"/>
              </w:rPr>
            </w:pPr>
          </w:p>
        </w:tc>
        <w:tc>
          <w:tcPr>
            <w:tcW w:w="945" w:type="dxa"/>
            <w:vMerge/>
            <w:vAlign w:val="center"/>
          </w:tcPr>
          <w:p w:rsidR="00363A77" w:rsidRDefault="00363A77">
            <w:pPr>
              <w:widowControl/>
              <w:jc w:val="left"/>
              <w:rPr>
                <w:rFonts w:ascii="宋体" w:eastAsia="宋体" w:hAnsi="宋体" w:cs="宋体"/>
                <w:b/>
                <w:bCs/>
                <w:kern w:val="0"/>
                <w:sz w:val="20"/>
                <w:szCs w:val="20"/>
              </w:rPr>
            </w:pPr>
          </w:p>
        </w:tc>
        <w:tc>
          <w:tcPr>
            <w:tcW w:w="919" w:type="dxa"/>
            <w:vMerge/>
            <w:vAlign w:val="center"/>
          </w:tcPr>
          <w:p w:rsidR="00363A77" w:rsidRDefault="00363A77">
            <w:pPr>
              <w:widowControl/>
              <w:jc w:val="left"/>
              <w:rPr>
                <w:rFonts w:ascii="宋体" w:eastAsia="宋体" w:hAnsi="宋体" w:cs="宋体"/>
                <w:kern w:val="0"/>
                <w:sz w:val="20"/>
                <w:szCs w:val="20"/>
              </w:rPr>
            </w:pPr>
          </w:p>
        </w:tc>
        <w:tc>
          <w:tcPr>
            <w:tcW w:w="3097" w:type="dxa"/>
            <w:shd w:val="clear" w:color="auto" w:fill="auto"/>
            <w:vAlign w:val="center"/>
          </w:tcPr>
          <w:p w:rsidR="00363A77" w:rsidRDefault="00363A77">
            <w:pPr>
              <w:widowControl/>
              <w:jc w:val="left"/>
              <w:rPr>
                <w:rFonts w:ascii="宋体" w:eastAsia="宋体" w:hAnsi="宋体" w:cs="宋体"/>
                <w:kern w:val="0"/>
                <w:sz w:val="20"/>
                <w:szCs w:val="20"/>
              </w:rPr>
            </w:pPr>
            <w:r>
              <w:rPr>
                <w:rFonts w:ascii="宋体" w:eastAsia="宋体" w:hAnsi="宋体" w:cs="宋体" w:hint="eastAsia"/>
                <w:kern w:val="0"/>
                <w:sz w:val="20"/>
                <w:szCs w:val="20"/>
              </w:rPr>
              <w:t>太阳能光伏系统等其它有关节能的计算书完整准确。</w:t>
            </w:r>
          </w:p>
        </w:tc>
        <w:tc>
          <w:tcPr>
            <w:tcW w:w="4536" w:type="dxa"/>
            <w:vMerge/>
            <w:vAlign w:val="center"/>
          </w:tcPr>
          <w:p w:rsidR="00363A77" w:rsidRDefault="00363A77">
            <w:pPr>
              <w:widowControl/>
              <w:jc w:val="left"/>
              <w:rPr>
                <w:rFonts w:ascii="宋体" w:eastAsia="宋体" w:hAnsi="宋体" w:cs="宋体"/>
                <w:kern w:val="0"/>
                <w:sz w:val="20"/>
                <w:szCs w:val="20"/>
              </w:rPr>
            </w:pPr>
          </w:p>
        </w:tc>
        <w:tc>
          <w:tcPr>
            <w:tcW w:w="4678" w:type="dxa"/>
            <w:vMerge/>
            <w:vAlign w:val="center"/>
          </w:tcPr>
          <w:p w:rsidR="00363A77" w:rsidRDefault="00363A77">
            <w:pPr>
              <w:widowControl/>
              <w:jc w:val="left"/>
              <w:rPr>
                <w:rFonts w:ascii="宋体" w:eastAsia="宋体" w:hAnsi="宋体" w:cs="宋体"/>
                <w:kern w:val="0"/>
                <w:sz w:val="20"/>
                <w:szCs w:val="20"/>
              </w:rPr>
            </w:pPr>
          </w:p>
        </w:tc>
        <w:tc>
          <w:tcPr>
            <w:tcW w:w="4961" w:type="dxa"/>
            <w:vMerge/>
            <w:vAlign w:val="center"/>
          </w:tcPr>
          <w:p w:rsidR="00363A77" w:rsidRDefault="00363A77">
            <w:pPr>
              <w:widowControl/>
              <w:jc w:val="left"/>
              <w:rPr>
                <w:rFonts w:ascii="宋体" w:eastAsia="宋体" w:hAnsi="宋体" w:cs="宋体"/>
                <w:kern w:val="0"/>
                <w:sz w:val="20"/>
                <w:szCs w:val="20"/>
              </w:rPr>
            </w:pPr>
          </w:p>
        </w:tc>
        <w:tc>
          <w:tcPr>
            <w:tcW w:w="1220" w:type="dxa"/>
            <w:vMerge/>
            <w:vAlign w:val="center"/>
          </w:tcPr>
          <w:p w:rsidR="00363A77" w:rsidRDefault="00363A77">
            <w:pPr>
              <w:widowControl/>
              <w:jc w:val="left"/>
              <w:rPr>
                <w:rFonts w:ascii="宋体" w:eastAsia="宋体" w:hAnsi="宋体" w:cs="宋体"/>
                <w:b/>
                <w:bCs/>
                <w:kern w:val="0"/>
                <w:sz w:val="20"/>
                <w:szCs w:val="20"/>
              </w:rPr>
            </w:pPr>
          </w:p>
        </w:tc>
      </w:tr>
      <w:tr w:rsidR="00363A77" w:rsidTr="00363A77">
        <w:trPr>
          <w:trHeight w:val="737"/>
        </w:trPr>
        <w:tc>
          <w:tcPr>
            <w:tcW w:w="728" w:type="dxa"/>
            <w:vMerge/>
          </w:tcPr>
          <w:p w:rsidR="00363A77" w:rsidRDefault="00363A77">
            <w:pPr>
              <w:widowControl/>
              <w:jc w:val="left"/>
              <w:rPr>
                <w:rFonts w:ascii="宋体" w:eastAsia="宋体" w:hAnsi="宋体" w:cs="宋体"/>
                <w:b/>
                <w:bCs/>
                <w:kern w:val="0"/>
                <w:sz w:val="20"/>
                <w:szCs w:val="20"/>
              </w:rPr>
            </w:pPr>
          </w:p>
        </w:tc>
        <w:tc>
          <w:tcPr>
            <w:tcW w:w="945" w:type="dxa"/>
            <w:vMerge/>
            <w:vAlign w:val="center"/>
          </w:tcPr>
          <w:p w:rsidR="00363A77" w:rsidRDefault="00363A77">
            <w:pPr>
              <w:widowControl/>
              <w:jc w:val="left"/>
              <w:rPr>
                <w:rFonts w:ascii="宋体" w:eastAsia="宋体" w:hAnsi="宋体" w:cs="宋体"/>
                <w:b/>
                <w:bCs/>
                <w:kern w:val="0"/>
                <w:sz w:val="20"/>
                <w:szCs w:val="20"/>
              </w:rPr>
            </w:pPr>
          </w:p>
        </w:tc>
        <w:tc>
          <w:tcPr>
            <w:tcW w:w="919" w:type="dxa"/>
            <w:vMerge w:val="restart"/>
            <w:shd w:val="clear" w:color="auto" w:fill="auto"/>
            <w:vAlign w:val="center"/>
          </w:tcPr>
          <w:p w:rsidR="00363A77" w:rsidRDefault="00363A77">
            <w:pPr>
              <w:widowControl/>
              <w:jc w:val="left"/>
              <w:rPr>
                <w:rFonts w:ascii="宋体" w:eastAsia="宋体" w:hAnsi="宋体" w:cs="宋体"/>
                <w:kern w:val="0"/>
                <w:sz w:val="20"/>
                <w:szCs w:val="20"/>
              </w:rPr>
            </w:pPr>
            <w:r>
              <w:rPr>
                <w:rFonts w:ascii="宋体" w:eastAsia="宋体" w:hAnsi="宋体" w:cs="宋体" w:hint="eastAsia"/>
                <w:kern w:val="0"/>
                <w:sz w:val="20"/>
                <w:szCs w:val="20"/>
              </w:rPr>
              <w:t>设计图纸</w:t>
            </w:r>
          </w:p>
        </w:tc>
        <w:tc>
          <w:tcPr>
            <w:tcW w:w="3097" w:type="dxa"/>
            <w:shd w:val="clear" w:color="auto" w:fill="auto"/>
            <w:vAlign w:val="center"/>
          </w:tcPr>
          <w:p w:rsidR="00363A77" w:rsidRDefault="00363A77">
            <w:pPr>
              <w:widowControl/>
              <w:jc w:val="left"/>
              <w:rPr>
                <w:rFonts w:ascii="宋体" w:eastAsia="宋体" w:hAnsi="宋体" w:cs="宋体"/>
                <w:kern w:val="0"/>
                <w:sz w:val="20"/>
                <w:szCs w:val="20"/>
              </w:rPr>
            </w:pPr>
            <w:r>
              <w:rPr>
                <w:rFonts w:ascii="宋体" w:eastAsia="宋体" w:hAnsi="宋体" w:cs="宋体" w:hint="eastAsia"/>
                <w:kern w:val="0"/>
                <w:sz w:val="20"/>
                <w:szCs w:val="20"/>
              </w:rPr>
              <w:t>电气总平面图：标示建筑物、构筑物名称、高度；变、配、发电站位置；高、低压线路走向等内容；</w:t>
            </w:r>
          </w:p>
        </w:tc>
        <w:tc>
          <w:tcPr>
            <w:tcW w:w="14175" w:type="dxa"/>
            <w:gridSpan w:val="3"/>
            <w:vMerge w:val="restart"/>
            <w:shd w:val="clear" w:color="auto" w:fill="auto"/>
            <w:vAlign w:val="center"/>
          </w:tcPr>
          <w:p w:rsidR="00363A77" w:rsidRDefault="00363A77">
            <w:pPr>
              <w:widowControl/>
              <w:jc w:val="left"/>
              <w:rPr>
                <w:rFonts w:ascii="宋体" w:eastAsia="宋体" w:hAnsi="宋体" w:cs="宋体"/>
                <w:kern w:val="0"/>
                <w:sz w:val="20"/>
                <w:szCs w:val="20"/>
              </w:rPr>
            </w:pPr>
            <w:r>
              <w:rPr>
                <w:rFonts w:ascii="宋体" w:eastAsia="宋体" w:hAnsi="宋体" w:cs="宋体" w:hint="eastAsia"/>
                <w:kern w:val="0"/>
                <w:sz w:val="20"/>
                <w:szCs w:val="20"/>
              </w:rPr>
              <w:t>□复核变、配、发电系统位置、供电范围应合理；</w:t>
            </w:r>
            <w:r>
              <w:rPr>
                <w:rFonts w:ascii="宋体" w:eastAsia="宋体" w:hAnsi="宋体" w:cs="宋体"/>
                <w:kern w:val="0"/>
                <w:sz w:val="20"/>
                <w:szCs w:val="20"/>
              </w:rPr>
              <w:br/>
            </w:r>
            <w:r>
              <w:rPr>
                <w:rFonts w:ascii="宋体" w:eastAsia="宋体" w:hAnsi="宋体" w:cs="宋体" w:hint="eastAsia"/>
                <w:kern w:val="0"/>
                <w:sz w:val="20"/>
                <w:szCs w:val="20"/>
              </w:rPr>
              <w:t>□</w:t>
            </w:r>
            <w:r>
              <w:rPr>
                <w:rFonts w:ascii="宋体" w:eastAsia="宋体" w:hAnsi="宋体" w:cs="宋体"/>
                <w:kern w:val="0"/>
                <w:sz w:val="20"/>
                <w:szCs w:val="20"/>
              </w:rPr>
              <w:t>380V/220V系</w:t>
            </w:r>
            <w:r>
              <w:rPr>
                <w:rFonts w:ascii="宋体" w:eastAsia="宋体" w:hAnsi="宋体" w:cs="宋体" w:hint="eastAsia"/>
                <w:kern w:val="0"/>
                <w:sz w:val="20"/>
                <w:szCs w:val="20"/>
              </w:rPr>
              <w:t>系统供电半径满足相应星级要求</w:t>
            </w:r>
            <w:r>
              <w:rPr>
                <w:rFonts w:ascii="宋体" w:eastAsia="宋体" w:hAnsi="宋体" w:cs="宋体"/>
                <w:kern w:val="0"/>
                <w:sz w:val="20"/>
                <w:szCs w:val="20"/>
              </w:rPr>
              <w:br/>
            </w:r>
            <w:r>
              <w:rPr>
                <w:rFonts w:ascii="宋体" w:eastAsia="宋体" w:hAnsi="宋体" w:cs="宋体" w:hint="eastAsia"/>
                <w:kern w:val="0"/>
                <w:sz w:val="20"/>
                <w:szCs w:val="20"/>
              </w:rPr>
              <w:t>□复核变压器数量、容量、负载率应合理；复核自备电源数量、容量应合理</w:t>
            </w:r>
            <w:r>
              <w:rPr>
                <w:rFonts w:ascii="宋体" w:eastAsia="宋体" w:hAnsi="宋体" w:cs="宋体"/>
                <w:kern w:val="0"/>
                <w:sz w:val="20"/>
                <w:szCs w:val="20"/>
              </w:rPr>
              <w:br/>
            </w:r>
            <w:r>
              <w:rPr>
                <w:rFonts w:ascii="宋体" w:eastAsia="宋体" w:hAnsi="宋体" w:cs="宋体" w:hint="eastAsia"/>
                <w:kern w:val="0"/>
                <w:sz w:val="20"/>
                <w:szCs w:val="20"/>
              </w:rPr>
              <w:t>□复核变压器：接线组别选择合理；能效满足绿色星级要求</w:t>
            </w:r>
            <w:r>
              <w:rPr>
                <w:rFonts w:ascii="宋体" w:eastAsia="宋体" w:hAnsi="宋体" w:cs="宋体"/>
                <w:kern w:val="0"/>
                <w:sz w:val="20"/>
                <w:szCs w:val="20"/>
              </w:rPr>
              <w:br/>
            </w:r>
            <w:r>
              <w:rPr>
                <w:rFonts w:ascii="宋体" w:eastAsia="宋体" w:hAnsi="宋体" w:cs="宋体" w:hint="eastAsia"/>
                <w:kern w:val="0"/>
                <w:sz w:val="20"/>
                <w:szCs w:val="20"/>
              </w:rPr>
              <w:t>□变压器等的运行方案明确、利于节能</w:t>
            </w:r>
            <w:r>
              <w:rPr>
                <w:rFonts w:ascii="宋体" w:eastAsia="宋体" w:hAnsi="宋体" w:cs="宋体"/>
                <w:kern w:val="0"/>
                <w:sz w:val="20"/>
                <w:szCs w:val="20"/>
              </w:rPr>
              <w:br/>
            </w:r>
            <w:r>
              <w:rPr>
                <w:rFonts w:ascii="宋体" w:eastAsia="宋体" w:hAnsi="宋体" w:cs="宋体" w:hint="eastAsia"/>
                <w:kern w:val="0"/>
                <w:sz w:val="20"/>
                <w:szCs w:val="20"/>
              </w:rPr>
              <w:t>□无功补偿、谐波防治满足相应星级要求</w:t>
            </w:r>
            <w:r>
              <w:rPr>
                <w:rFonts w:ascii="宋体" w:eastAsia="宋体" w:hAnsi="宋体" w:cs="宋体"/>
                <w:kern w:val="0"/>
                <w:sz w:val="20"/>
                <w:szCs w:val="20"/>
              </w:rPr>
              <w:br/>
            </w:r>
            <w:r>
              <w:rPr>
                <w:rFonts w:ascii="宋体" w:eastAsia="宋体" w:hAnsi="宋体" w:cs="宋体" w:hint="eastAsia"/>
                <w:kern w:val="0"/>
                <w:sz w:val="20"/>
                <w:szCs w:val="20"/>
              </w:rPr>
              <w:t>□电动汽车充电设施的供配电设计满足规范等相关要求</w:t>
            </w:r>
            <w:r>
              <w:rPr>
                <w:rFonts w:ascii="宋体" w:eastAsia="宋体" w:hAnsi="宋体" w:cs="宋体"/>
                <w:kern w:val="0"/>
                <w:sz w:val="20"/>
                <w:szCs w:val="20"/>
              </w:rPr>
              <w:br/>
            </w:r>
            <w:r>
              <w:rPr>
                <w:rFonts w:ascii="宋体" w:eastAsia="宋体" w:hAnsi="宋体" w:cs="宋体" w:hint="eastAsia"/>
                <w:kern w:val="0"/>
                <w:sz w:val="20"/>
                <w:szCs w:val="20"/>
              </w:rPr>
              <w:t>□复核用电分项、分区计量系统的设计应满足国家及浙江省标准的要求</w:t>
            </w:r>
            <w:r>
              <w:rPr>
                <w:rFonts w:ascii="宋体" w:eastAsia="宋体" w:hAnsi="宋体" w:cs="宋体"/>
                <w:kern w:val="0"/>
                <w:sz w:val="20"/>
                <w:szCs w:val="20"/>
              </w:rPr>
              <w:br/>
            </w:r>
            <w:r>
              <w:rPr>
                <w:rFonts w:ascii="宋体" w:eastAsia="宋体" w:hAnsi="宋体" w:cs="宋体" w:hint="eastAsia"/>
                <w:kern w:val="0"/>
                <w:sz w:val="20"/>
                <w:szCs w:val="20"/>
              </w:rPr>
              <w:t>□能耗监测系统的设置满足《绿色建筑设计标准》的要求</w:t>
            </w:r>
          </w:p>
          <w:p w:rsidR="00363A77" w:rsidRDefault="00363A77">
            <w:pPr>
              <w:widowControl/>
              <w:jc w:val="left"/>
              <w:rPr>
                <w:rFonts w:ascii="宋体" w:eastAsia="宋体" w:hAnsi="宋体" w:cs="宋体"/>
                <w:kern w:val="0"/>
                <w:sz w:val="20"/>
                <w:szCs w:val="20"/>
              </w:rPr>
            </w:pPr>
            <w:r>
              <w:rPr>
                <w:rFonts w:ascii="宋体" w:eastAsia="宋体" w:hAnsi="宋体" w:cs="宋体" w:hint="eastAsia"/>
                <w:kern w:val="0"/>
                <w:sz w:val="20"/>
                <w:szCs w:val="20"/>
              </w:rPr>
              <w:t>□建筑设备监控系统的设置满足《绿色建筑设计标准》的要求</w:t>
            </w:r>
            <w:r>
              <w:rPr>
                <w:rFonts w:ascii="宋体" w:eastAsia="宋体" w:hAnsi="宋体" w:cs="宋体"/>
                <w:kern w:val="0"/>
                <w:sz w:val="20"/>
                <w:szCs w:val="20"/>
              </w:rPr>
              <w:br/>
            </w:r>
            <w:r>
              <w:rPr>
                <w:rFonts w:ascii="宋体" w:eastAsia="宋体" w:hAnsi="宋体" w:cs="宋体" w:hint="eastAsia"/>
                <w:kern w:val="0"/>
                <w:sz w:val="20"/>
                <w:szCs w:val="20"/>
              </w:rPr>
              <w:t>□□信息网络系统、智能化服务系统满足绿色星级要求</w:t>
            </w:r>
          </w:p>
        </w:tc>
        <w:tc>
          <w:tcPr>
            <w:tcW w:w="1220" w:type="dxa"/>
            <w:vMerge w:val="restart"/>
            <w:shd w:val="clear" w:color="auto" w:fill="auto"/>
            <w:vAlign w:val="center"/>
          </w:tcPr>
          <w:p w:rsidR="00363A77" w:rsidRDefault="00363A77">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仅初步设计阶段需要</w:t>
            </w:r>
          </w:p>
        </w:tc>
      </w:tr>
      <w:tr w:rsidR="00363A77" w:rsidTr="00363A77">
        <w:trPr>
          <w:trHeight w:val="737"/>
        </w:trPr>
        <w:tc>
          <w:tcPr>
            <w:tcW w:w="728" w:type="dxa"/>
            <w:vMerge/>
          </w:tcPr>
          <w:p w:rsidR="00363A77" w:rsidRDefault="00363A77">
            <w:pPr>
              <w:widowControl/>
              <w:jc w:val="left"/>
              <w:rPr>
                <w:rFonts w:ascii="宋体" w:eastAsia="宋体" w:hAnsi="宋体" w:cs="宋体"/>
                <w:b/>
                <w:bCs/>
                <w:kern w:val="0"/>
                <w:sz w:val="20"/>
                <w:szCs w:val="20"/>
              </w:rPr>
            </w:pPr>
          </w:p>
        </w:tc>
        <w:tc>
          <w:tcPr>
            <w:tcW w:w="945" w:type="dxa"/>
            <w:vMerge/>
            <w:vAlign w:val="center"/>
          </w:tcPr>
          <w:p w:rsidR="00363A77" w:rsidRDefault="00363A77">
            <w:pPr>
              <w:widowControl/>
              <w:jc w:val="left"/>
              <w:rPr>
                <w:rFonts w:ascii="宋体" w:eastAsia="宋体" w:hAnsi="宋体" w:cs="宋体"/>
                <w:b/>
                <w:bCs/>
                <w:kern w:val="0"/>
                <w:sz w:val="20"/>
                <w:szCs w:val="20"/>
              </w:rPr>
            </w:pPr>
          </w:p>
        </w:tc>
        <w:tc>
          <w:tcPr>
            <w:tcW w:w="919" w:type="dxa"/>
            <w:vMerge/>
            <w:vAlign w:val="center"/>
          </w:tcPr>
          <w:p w:rsidR="00363A77" w:rsidRDefault="00363A77">
            <w:pPr>
              <w:widowControl/>
              <w:jc w:val="left"/>
              <w:rPr>
                <w:rFonts w:ascii="宋体" w:eastAsia="宋体" w:hAnsi="宋体" w:cs="宋体"/>
                <w:kern w:val="0"/>
                <w:sz w:val="20"/>
                <w:szCs w:val="20"/>
              </w:rPr>
            </w:pPr>
          </w:p>
        </w:tc>
        <w:tc>
          <w:tcPr>
            <w:tcW w:w="3097" w:type="dxa"/>
            <w:shd w:val="clear" w:color="auto" w:fill="auto"/>
            <w:vAlign w:val="center"/>
          </w:tcPr>
          <w:p w:rsidR="00363A77" w:rsidRDefault="00363A77">
            <w:pPr>
              <w:widowControl/>
              <w:jc w:val="left"/>
              <w:rPr>
                <w:rFonts w:ascii="宋体" w:eastAsia="宋体" w:hAnsi="宋体" w:cs="宋体"/>
                <w:kern w:val="0"/>
                <w:sz w:val="20"/>
                <w:szCs w:val="20"/>
              </w:rPr>
            </w:pPr>
            <w:r>
              <w:rPr>
                <w:rFonts w:ascii="宋体" w:eastAsia="宋体" w:hAnsi="宋体" w:cs="宋体" w:hint="eastAsia"/>
                <w:kern w:val="0"/>
                <w:sz w:val="20"/>
                <w:szCs w:val="20"/>
              </w:rPr>
              <w:t>变、配、发电系统：高、低压供电系统图、自备发电机供电系统图、太阳能光伏系统图等内容；</w:t>
            </w:r>
          </w:p>
        </w:tc>
        <w:tc>
          <w:tcPr>
            <w:tcW w:w="14175" w:type="dxa"/>
            <w:gridSpan w:val="3"/>
            <w:vMerge/>
            <w:vAlign w:val="center"/>
          </w:tcPr>
          <w:p w:rsidR="00363A77" w:rsidRDefault="00363A77">
            <w:pPr>
              <w:widowControl/>
              <w:jc w:val="left"/>
              <w:rPr>
                <w:rFonts w:ascii="宋体" w:eastAsia="宋体" w:hAnsi="宋体" w:cs="宋体"/>
                <w:kern w:val="0"/>
                <w:sz w:val="20"/>
                <w:szCs w:val="20"/>
              </w:rPr>
            </w:pPr>
          </w:p>
        </w:tc>
        <w:tc>
          <w:tcPr>
            <w:tcW w:w="1220" w:type="dxa"/>
            <w:vMerge/>
            <w:vAlign w:val="center"/>
          </w:tcPr>
          <w:p w:rsidR="00363A77" w:rsidRDefault="00363A77">
            <w:pPr>
              <w:widowControl/>
              <w:jc w:val="left"/>
              <w:rPr>
                <w:rFonts w:ascii="宋体" w:eastAsia="宋体" w:hAnsi="宋体" w:cs="宋体"/>
                <w:b/>
                <w:bCs/>
                <w:kern w:val="0"/>
                <w:sz w:val="20"/>
                <w:szCs w:val="20"/>
              </w:rPr>
            </w:pPr>
          </w:p>
        </w:tc>
      </w:tr>
      <w:tr w:rsidR="00363A77" w:rsidTr="00363A77">
        <w:trPr>
          <w:trHeight w:val="737"/>
        </w:trPr>
        <w:tc>
          <w:tcPr>
            <w:tcW w:w="728" w:type="dxa"/>
            <w:vMerge/>
          </w:tcPr>
          <w:p w:rsidR="00363A77" w:rsidRDefault="00363A77">
            <w:pPr>
              <w:widowControl/>
              <w:jc w:val="left"/>
              <w:rPr>
                <w:rFonts w:ascii="宋体" w:eastAsia="宋体" w:hAnsi="宋体" w:cs="宋体"/>
                <w:b/>
                <w:bCs/>
                <w:kern w:val="0"/>
                <w:sz w:val="20"/>
                <w:szCs w:val="20"/>
              </w:rPr>
            </w:pPr>
          </w:p>
        </w:tc>
        <w:tc>
          <w:tcPr>
            <w:tcW w:w="945" w:type="dxa"/>
            <w:vMerge/>
            <w:vAlign w:val="center"/>
          </w:tcPr>
          <w:p w:rsidR="00363A77" w:rsidRDefault="00363A77">
            <w:pPr>
              <w:widowControl/>
              <w:jc w:val="left"/>
              <w:rPr>
                <w:rFonts w:ascii="宋体" w:eastAsia="宋体" w:hAnsi="宋体" w:cs="宋体"/>
                <w:b/>
                <w:bCs/>
                <w:kern w:val="0"/>
                <w:sz w:val="20"/>
                <w:szCs w:val="20"/>
              </w:rPr>
            </w:pPr>
          </w:p>
        </w:tc>
        <w:tc>
          <w:tcPr>
            <w:tcW w:w="919" w:type="dxa"/>
            <w:vMerge/>
            <w:vAlign w:val="center"/>
          </w:tcPr>
          <w:p w:rsidR="00363A77" w:rsidRDefault="00363A77">
            <w:pPr>
              <w:widowControl/>
              <w:jc w:val="left"/>
              <w:rPr>
                <w:rFonts w:ascii="宋体" w:eastAsia="宋体" w:hAnsi="宋体" w:cs="宋体"/>
                <w:kern w:val="0"/>
                <w:sz w:val="20"/>
                <w:szCs w:val="20"/>
              </w:rPr>
            </w:pPr>
          </w:p>
        </w:tc>
        <w:tc>
          <w:tcPr>
            <w:tcW w:w="3097" w:type="dxa"/>
            <w:shd w:val="clear" w:color="auto" w:fill="auto"/>
            <w:vAlign w:val="center"/>
          </w:tcPr>
          <w:p w:rsidR="00363A77" w:rsidRDefault="00363A77">
            <w:pPr>
              <w:widowControl/>
              <w:jc w:val="left"/>
              <w:rPr>
                <w:rFonts w:ascii="宋体" w:eastAsia="宋体" w:hAnsi="宋体" w:cs="宋体"/>
                <w:kern w:val="0"/>
                <w:sz w:val="20"/>
                <w:szCs w:val="20"/>
              </w:rPr>
            </w:pPr>
            <w:r>
              <w:rPr>
                <w:rFonts w:ascii="宋体" w:eastAsia="宋体" w:hAnsi="宋体" w:cs="宋体" w:hint="eastAsia"/>
                <w:kern w:val="0"/>
                <w:sz w:val="20"/>
                <w:szCs w:val="20"/>
              </w:rPr>
              <w:t>变、配、发电站平面布置图；</w:t>
            </w:r>
          </w:p>
        </w:tc>
        <w:tc>
          <w:tcPr>
            <w:tcW w:w="14175" w:type="dxa"/>
            <w:gridSpan w:val="3"/>
            <w:vMerge/>
            <w:vAlign w:val="center"/>
          </w:tcPr>
          <w:p w:rsidR="00363A77" w:rsidRDefault="00363A77">
            <w:pPr>
              <w:widowControl/>
              <w:jc w:val="left"/>
              <w:rPr>
                <w:rFonts w:ascii="宋体" w:eastAsia="宋体" w:hAnsi="宋体" w:cs="宋体"/>
                <w:kern w:val="0"/>
                <w:sz w:val="20"/>
                <w:szCs w:val="20"/>
              </w:rPr>
            </w:pPr>
          </w:p>
        </w:tc>
        <w:tc>
          <w:tcPr>
            <w:tcW w:w="1220" w:type="dxa"/>
            <w:vMerge/>
            <w:vAlign w:val="center"/>
          </w:tcPr>
          <w:p w:rsidR="00363A77" w:rsidRDefault="00363A77">
            <w:pPr>
              <w:widowControl/>
              <w:jc w:val="left"/>
              <w:rPr>
                <w:rFonts w:ascii="宋体" w:eastAsia="宋体" w:hAnsi="宋体" w:cs="宋体"/>
                <w:b/>
                <w:bCs/>
                <w:kern w:val="0"/>
                <w:sz w:val="20"/>
                <w:szCs w:val="20"/>
              </w:rPr>
            </w:pPr>
          </w:p>
        </w:tc>
      </w:tr>
      <w:tr w:rsidR="00363A77" w:rsidTr="00363A77">
        <w:trPr>
          <w:trHeight w:val="737"/>
        </w:trPr>
        <w:tc>
          <w:tcPr>
            <w:tcW w:w="728" w:type="dxa"/>
            <w:vMerge/>
          </w:tcPr>
          <w:p w:rsidR="00363A77" w:rsidRDefault="00363A77">
            <w:pPr>
              <w:widowControl/>
              <w:jc w:val="left"/>
              <w:rPr>
                <w:rFonts w:ascii="宋体" w:eastAsia="宋体" w:hAnsi="宋体" w:cs="宋体"/>
                <w:b/>
                <w:bCs/>
                <w:kern w:val="0"/>
                <w:sz w:val="20"/>
                <w:szCs w:val="20"/>
              </w:rPr>
            </w:pPr>
          </w:p>
        </w:tc>
        <w:tc>
          <w:tcPr>
            <w:tcW w:w="945" w:type="dxa"/>
            <w:vMerge/>
            <w:vAlign w:val="center"/>
          </w:tcPr>
          <w:p w:rsidR="00363A77" w:rsidRDefault="00363A77">
            <w:pPr>
              <w:widowControl/>
              <w:jc w:val="left"/>
              <w:rPr>
                <w:rFonts w:ascii="宋体" w:eastAsia="宋体" w:hAnsi="宋体" w:cs="宋体"/>
                <w:b/>
                <w:bCs/>
                <w:kern w:val="0"/>
                <w:sz w:val="20"/>
                <w:szCs w:val="20"/>
              </w:rPr>
            </w:pPr>
          </w:p>
        </w:tc>
        <w:tc>
          <w:tcPr>
            <w:tcW w:w="919" w:type="dxa"/>
            <w:vMerge/>
            <w:vAlign w:val="center"/>
          </w:tcPr>
          <w:p w:rsidR="00363A77" w:rsidRDefault="00363A77">
            <w:pPr>
              <w:widowControl/>
              <w:jc w:val="left"/>
              <w:rPr>
                <w:rFonts w:ascii="宋体" w:eastAsia="宋体" w:hAnsi="宋体" w:cs="宋体"/>
                <w:kern w:val="0"/>
                <w:sz w:val="20"/>
                <w:szCs w:val="20"/>
              </w:rPr>
            </w:pPr>
          </w:p>
        </w:tc>
        <w:tc>
          <w:tcPr>
            <w:tcW w:w="3097" w:type="dxa"/>
            <w:shd w:val="clear" w:color="auto" w:fill="auto"/>
            <w:vAlign w:val="center"/>
          </w:tcPr>
          <w:p w:rsidR="00363A77" w:rsidRDefault="00363A77">
            <w:pPr>
              <w:widowControl/>
              <w:jc w:val="left"/>
              <w:rPr>
                <w:rFonts w:ascii="宋体" w:eastAsia="宋体" w:hAnsi="宋体" w:cs="宋体"/>
                <w:kern w:val="0"/>
                <w:sz w:val="20"/>
                <w:szCs w:val="20"/>
              </w:rPr>
            </w:pPr>
            <w:r>
              <w:rPr>
                <w:rFonts w:ascii="宋体" w:eastAsia="宋体" w:hAnsi="宋体" w:cs="宋体" w:hint="eastAsia"/>
                <w:kern w:val="0"/>
                <w:sz w:val="20"/>
                <w:szCs w:val="20"/>
              </w:rPr>
              <w:t>配电系统：主要干线平面布置图﹑竖向干线系统图等；</w:t>
            </w:r>
          </w:p>
        </w:tc>
        <w:tc>
          <w:tcPr>
            <w:tcW w:w="14175" w:type="dxa"/>
            <w:gridSpan w:val="3"/>
            <w:vMerge/>
            <w:vAlign w:val="center"/>
          </w:tcPr>
          <w:p w:rsidR="00363A77" w:rsidRDefault="00363A77">
            <w:pPr>
              <w:widowControl/>
              <w:jc w:val="left"/>
              <w:rPr>
                <w:rFonts w:ascii="宋体" w:eastAsia="宋体" w:hAnsi="宋体" w:cs="宋体"/>
                <w:kern w:val="0"/>
                <w:sz w:val="20"/>
                <w:szCs w:val="20"/>
              </w:rPr>
            </w:pPr>
          </w:p>
        </w:tc>
        <w:tc>
          <w:tcPr>
            <w:tcW w:w="1220" w:type="dxa"/>
            <w:vMerge/>
            <w:vAlign w:val="center"/>
          </w:tcPr>
          <w:p w:rsidR="00363A77" w:rsidRDefault="00363A77">
            <w:pPr>
              <w:widowControl/>
              <w:jc w:val="left"/>
              <w:rPr>
                <w:rFonts w:ascii="宋体" w:eastAsia="宋体" w:hAnsi="宋体" w:cs="宋体"/>
                <w:b/>
                <w:bCs/>
                <w:kern w:val="0"/>
                <w:sz w:val="20"/>
                <w:szCs w:val="20"/>
              </w:rPr>
            </w:pPr>
          </w:p>
        </w:tc>
      </w:tr>
      <w:tr w:rsidR="00363A77" w:rsidTr="00363A77">
        <w:trPr>
          <w:trHeight w:val="737"/>
        </w:trPr>
        <w:tc>
          <w:tcPr>
            <w:tcW w:w="728" w:type="dxa"/>
            <w:vMerge/>
          </w:tcPr>
          <w:p w:rsidR="00363A77" w:rsidRDefault="00363A77">
            <w:pPr>
              <w:widowControl/>
              <w:jc w:val="left"/>
              <w:rPr>
                <w:rFonts w:ascii="宋体" w:eastAsia="宋体" w:hAnsi="宋体" w:cs="宋体"/>
                <w:b/>
                <w:bCs/>
                <w:kern w:val="0"/>
                <w:sz w:val="20"/>
                <w:szCs w:val="20"/>
              </w:rPr>
            </w:pPr>
          </w:p>
        </w:tc>
        <w:tc>
          <w:tcPr>
            <w:tcW w:w="945" w:type="dxa"/>
            <w:vMerge/>
            <w:vAlign w:val="center"/>
          </w:tcPr>
          <w:p w:rsidR="00363A77" w:rsidRDefault="00363A77">
            <w:pPr>
              <w:widowControl/>
              <w:jc w:val="left"/>
              <w:rPr>
                <w:rFonts w:ascii="宋体" w:eastAsia="宋体" w:hAnsi="宋体" w:cs="宋体"/>
                <w:b/>
                <w:bCs/>
                <w:kern w:val="0"/>
                <w:sz w:val="20"/>
                <w:szCs w:val="20"/>
              </w:rPr>
            </w:pPr>
          </w:p>
        </w:tc>
        <w:tc>
          <w:tcPr>
            <w:tcW w:w="919" w:type="dxa"/>
            <w:vMerge/>
            <w:vAlign w:val="center"/>
          </w:tcPr>
          <w:p w:rsidR="00363A77" w:rsidRDefault="00363A77">
            <w:pPr>
              <w:widowControl/>
              <w:jc w:val="left"/>
              <w:rPr>
                <w:rFonts w:ascii="宋体" w:eastAsia="宋体" w:hAnsi="宋体" w:cs="宋体"/>
                <w:kern w:val="0"/>
                <w:sz w:val="20"/>
                <w:szCs w:val="20"/>
              </w:rPr>
            </w:pPr>
          </w:p>
        </w:tc>
        <w:tc>
          <w:tcPr>
            <w:tcW w:w="3097" w:type="dxa"/>
            <w:shd w:val="clear" w:color="auto" w:fill="auto"/>
            <w:vAlign w:val="center"/>
          </w:tcPr>
          <w:p w:rsidR="00363A77" w:rsidRDefault="00363A77">
            <w:pPr>
              <w:widowControl/>
              <w:jc w:val="left"/>
              <w:rPr>
                <w:rFonts w:ascii="宋体" w:eastAsia="宋体" w:hAnsi="宋体" w:cs="宋体"/>
                <w:kern w:val="0"/>
                <w:sz w:val="20"/>
                <w:szCs w:val="20"/>
              </w:rPr>
            </w:pPr>
            <w:r>
              <w:rPr>
                <w:rFonts w:ascii="宋体" w:eastAsia="宋体" w:hAnsi="宋体" w:cs="宋体" w:hint="eastAsia"/>
                <w:kern w:val="0"/>
                <w:sz w:val="20"/>
                <w:szCs w:val="20"/>
              </w:rPr>
              <w:t>相关的智能化系统的系统原理图或系统接线图。</w:t>
            </w:r>
          </w:p>
        </w:tc>
        <w:tc>
          <w:tcPr>
            <w:tcW w:w="14175" w:type="dxa"/>
            <w:gridSpan w:val="3"/>
            <w:vMerge/>
            <w:vAlign w:val="center"/>
          </w:tcPr>
          <w:p w:rsidR="00363A77" w:rsidRDefault="00363A77">
            <w:pPr>
              <w:widowControl/>
              <w:jc w:val="left"/>
              <w:rPr>
                <w:rFonts w:ascii="宋体" w:eastAsia="宋体" w:hAnsi="宋体" w:cs="宋体"/>
                <w:kern w:val="0"/>
                <w:sz w:val="20"/>
                <w:szCs w:val="20"/>
              </w:rPr>
            </w:pPr>
          </w:p>
        </w:tc>
        <w:tc>
          <w:tcPr>
            <w:tcW w:w="1220" w:type="dxa"/>
            <w:vMerge/>
            <w:vAlign w:val="center"/>
          </w:tcPr>
          <w:p w:rsidR="00363A77" w:rsidRDefault="00363A77">
            <w:pPr>
              <w:widowControl/>
              <w:jc w:val="left"/>
              <w:rPr>
                <w:rFonts w:ascii="宋体" w:eastAsia="宋体" w:hAnsi="宋体" w:cs="宋体"/>
                <w:b/>
                <w:bCs/>
                <w:kern w:val="0"/>
                <w:sz w:val="20"/>
                <w:szCs w:val="20"/>
              </w:rPr>
            </w:pPr>
          </w:p>
        </w:tc>
      </w:tr>
    </w:tbl>
    <w:p w:rsidR="00E71E3A" w:rsidRDefault="00E71E3A"/>
    <w:sectPr w:rsidR="00E71E3A">
      <w:pgSz w:w="23814" w:h="16839"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FB2" w:rsidRDefault="00714FB2">
      <w:r>
        <w:separator/>
      </w:r>
    </w:p>
  </w:endnote>
  <w:endnote w:type="continuationSeparator" w:id="0">
    <w:p w:rsidR="00714FB2" w:rsidRDefault="0071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3E1" w:rsidRDefault="00FB5655">
    <w:pPr>
      <w:pStyle w:val="aa"/>
      <w:jc w:val="right"/>
    </w:pPr>
    <w:r>
      <w:rPr>
        <w:noProof/>
      </w:rP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563E1" w:rsidRDefault="00FB5655">
                          <w:pPr>
                            <w:pStyle w:val="aa"/>
                          </w:pPr>
                          <w:r>
                            <w:fldChar w:fldCharType="begin"/>
                          </w:r>
                          <w:r>
                            <w:instrText xml:space="preserve"> PAGE  \* MERGEFORMAT </w:instrText>
                          </w:r>
                          <w:r>
                            <w:fldChar w:fldCharType="separate"/>
                          </w:r>
                          <w:r w:rsidR="00017E81">
                            <w:rPr>
                              <w:noProof/>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26" type="#_x0000_t202" style="position:absolute;left:0;text-align:left;margin-left:92.8pt;margin-top:0;width:2in;height:2in;z-index:25165619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Y8YgIAAAwFAAAOAAAAZHJzL2Uyb0RvYy54bWysVM1uEzEQviPxDpbvdNMiSh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MG+Y8YgIAAAwFAAAOAAAAAAAAAAAAAAAAAC4CAABkcnMvZTJvRG9jLnht&#10;bFBLAQItABQABgAIAAAAIQBxqtG51wAAAAUBAAAPAAAAAAAAAAAAAAAAALwEAABkcnMvZG93bnJl&#10;di54bWxQSwUGAAAAAAQABADzAAAAwAUAAAAA&#10;" filled="f" stroked="f" strokeweight=".5pt">
              <v:textbox style="mso-fit-shape-to-text:t" inset="0,0,0,0">
                <w:txbxContent>
                  <w:p w:rsidR="003563E1" w:rsidRDefault="00FB5655">
                    <w:pPr>
                      <w:pStyle w:val="aa"/>
                    </w:pPr>
                    <w:r>
                      <w:fldChar w:fldCharType="begin"/>
                    </w:r>
                    <w:r>
                      <w:instrText xml:space="preserve"> PAGE  \* MERGEFORMAT </w:instrText>
                    </w:r>
                    <w:r>
                      <w:fldChar w:fldCharType="separate"/>
                    </w:r>
                    <w:r w:rsidR="00017E81">
                      <w:rPr>
                        <w:noProof/>
                      </w:rPr>
                      <w:t>- 1 -</w:t>
                    </w:r>
                    <w:r>
                      <w:fldChar w:fldCharType="end"/>
                    </w:r>
                  </w:p>
                </w:txbxContent>
              </v:textbox>
              <w10:wrap anchorx="margin"/>
            </v:shape>
          </w:pict>
        </mc:Fallback>
      </mc:AlternateContent>
    </w:r>
  </w:p>
  <w:p w:rsidR="003563E1" w:rsidRDefault="003563E1">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3E1" w:rsidRDefault="00FB5655">
    <w:pPr>
      <w:pStyle w:val="aa"/>
      <w:jc w:val="right"/>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563E1" w:rsidRDefault="00FB5655">
                          <w:pPr>
                            <w:pStyle w:val="aa"/>
                          </w:pPr>
                          <w:r>
                            <w:fldChar w:fldCharType="begin"/>
                          </w:r>
                          <w:r>
                            <w:instrText xml:space="preserve"> PAGE  \* MERGEFORMAT </w:instrText>
                          </w:r>
                          <w:r>
                            <w:fldChar w:fldCharType="separate"/>
                          </w:r>
                          <w:r w:rsidR="00017E81">
                            <w:rPr>
                              <w:noProof/>
                            </w:rP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8" o:spid="_x0000_s1027" type="#_x0000_t202" style="position:absolute;left:0;text-align:left;margin-left:92.8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oLWwdkAgAAEwUAAA4AAAAAAAAAAAAAAAAALgIAAGRycy9lMm9Eb2Mu&#10;eG1sUEsBAi0AFAAGAAgAAAAhAHGq0bnXAAAABQEAAA8AAAAAAAAAAAAAAAAAvgQAAGRycy9kb3du&#10;cmV2LnhtbFBLBQYAAAAABAAEAPMAAADCBQAAAAA=&#10;" filled="f" stroked="f" strokeweight=".5pt">
              <v:textbox style="mso-fit-shape-to-text:t" inset="0,0,0,0">
                <w:txbxContent>
                  <w:p w:rsidR="003563E1" w:rsidRDefault="00FB5655">
                    <w:pPr>
                      <w:pStyle w:val="aa"/>
                    </w:pPr>
                    <w:r>
                      <w:fldChar w:fldCharType="begin"/>
                    </w:r>
                    <w:r>
                      <w:instrText xml:space="preserve"> PAGE  \* MERGEFORMAT </w:instrText>
                    </w:r>
                    <w:r>
                      <w:fldChar w:fldCharType="separate"/>
                    </w:r>
                    <w:r w:rsidR="00017E81">
                      <w:rPr>
                        <w:noProof/>
                      </w:rPr>
                      <w:t>- 2 -</w:t>
                    </w:r>
                    <w:r>
                      <w:fldChar w:fldCharType="end"/>
                    </w:r>
                  </w:p>
                </w:txbxContent>
              </v:textbox>
              <w10:wrap anchorx="margin"/>
            </v:shape>
          </w:pict>
        </mc:Fallback>
      </mc:AlternateContent>
    </w:r>
  </w:p>
  <w:p w:rsidR="003563E1" w:rsidRDefault="003563E1">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3E1" w:rsidRDefault="00FB5655">
    <w:pPr>
      <w:pStyle w:val="aa"/>
      <w:jc w:val="right"/>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563E1" w:rsidRDefault="00FB5655">
                          <w:pPr>
                            <w:pStyle w:val="aa"/>
                          </w:pPr>
                          <w:r>
                            <w:fldChar w:fldCharType="begin"/>
                          </w:r>
                          <w:r>
                            <w:instrText xml:space="preserve"> PAGE  \* MERGEFORMAT </w:instrText>
                          </w:r>
                          <w:r>
                            <w:fldChar w:fldCharType="separate"/>
                          </w:r>
                          <w:r w:rsidR="00017E81">
                            <w:rPr>
                              <w:noProof/>
                            </w:rPr>
                            <w:t>- 4 -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 o:spid="_x0000_s1028"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r5u7aZQIAABMFAAAOAAAAAAAAAAAAAAAAAC4CAABkcnMvZTJvRG9j&#10;LnhtbFBLAQItABQABgAIAAAAIQBxqtG51wAAAAUBAAAPAAAAAAAAAAAAAAAAAL8EAABkcnMvZG93&#10;bnJldi54bWxQSwUGAAAAAAQABADzAAAAwwUAAAAA&#10;" filled="f" stroked="f" strokeweight=".5pt">
              <v:textbox style="mso-fit-shape-to-text:t" inset="0,0,0,0">
                <w:txbxContent>
                  <w:p w:rsidR="003563E1" w:rsidRDefault="00FB5655">
                    <w:pPr>
                      <w:pStyle w:val="aa"/>
                    </w:pPr>
                    <w:r>
                      <w:fldChar w:fldCharType="begin"/>
                    </w:r>
                    <w:r>
                      <w:instrText xml:space="preserve"> PAGE  \* MERGEFORMAT </w:instrText>
                    </w:r>
                    <w:r>
                      <w:fldChar w:fldCharType="separate"/>
                    </w:r>
                    <w:r w:rsidR="00017E81">
                      <w:rPr>
                        <w:noProof/>
                      </w:rPr>
                      <w:t>- 4 -</w:t>
                    </w:r>
                    <w:r>
                      <w:fldChar w:fldCharType="end"/>
                    </w:r>
                  </w:p>
                </w:txbxContent>
              </v:textbox>
              <w10:wrap anchorx="margin"/>
            </v:shape>
          </w:pict>
        </mc:Fallback>
      </mc:AlternateContent>
    </w:r>
  </w:p>
  <w:p w:rsidR="003563E1" w:rsidRDefault="003563E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FB2" w:rsidRDefault="00714FB2">
      <w:r>
        <w:separator/>
      </w:r>
    </w:p>
  </w:footnote>
  <w:footnote w:type="continuationSeparator" w:id="0">
    <w:p w:rsidR="00714FB2" w:rsidRDefault="00714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3E1" w:rsidRDefault="003563E1">
    <w:pPr>
      <w:pStyle w:val="ac"/>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07F"/>
    <w:rsid w:val="9EE755BA"/>
    <w:rsid w:val="BF7E1343"/>
    <w:rsid w:val="FEBF6112"/>
    <w:rsid w:val="00017E81"/>
    <w:rsid w:val="00042AE9"/>
    <w:rsid w:val="0007576A"/>
    <w:rsid w:val="00081883"/>
    <w:rsid w:val="00093401"/>
    <w:rsid w:val="000A7734"/>
    <w:rsid w:val="000B62E0"/>
    <w:rsid w:val="000C7670"/>
    <w:rsid w:val="001B0184"/>
    <w:rsid w:val="001B7FF0"/>
    <w:rsid w:val="001C7B42"/>
    <w:rsid w:val="0028349F"/>
    <w:rsid w:val="0028508C"/>
    <w:rsid w:val="002952B1"/>
    <w:rsid w:val="002B6B45"/>
    <w:rsid w:val="002E1A3B"/>
    <w:rsid w:val="003563E1"/>
    <w:rsid w:val="00363A77"/>
    <w:rsid w:val="003B0668"/>
    <w:rsid w:val="00404635"/>
    <w:rsid w:val="00430793"/>
    <w:rsid w:val="00462FAD"/>
    <w:rsid w:val="00496C87"/>
    <w:rsid w:val="004C31BB"/>
    <w:rsid w:val="004C3591"/>
    <w:rsid w:val="004F19FD"/>
    <w:rsid w:val="004F539F"/>
    <w:rsid w:val="00501988"/>
    <w:rsid w:val="005130AD"/>
    <w:rsid w:val="00522BB2"/>
    <w:rsid w:val="0052531A"/>
    <w:rsid w:val="00547577"/>
    <w:rsid w:val="005B0B3F"/>
    <w:rsid w:val="00600E25"/>
    <w:rsid w:val="00682542"/>
    <w:rsid w:val="006C2B0C"/>
    <w:rsid w:val="006E3C7E"/>
    <w:rsid w:val="00714FB2"/>
    <w:rsid w:val="00731D12"/>
    <w:rsid w:val="00771F4F"/>
    <w:rsid w:val="007B3ACE"/>
    <w:rsid w:val="007C307F"/>
    <w:rsid w:val="00811C43"/>
    <w:rsid w:val="00840BFD"/>
    <w:rsid w:val="008C06F5"/>
    <w:rsid w:val="008E445F"/>
    <w:rsid w:val="008F1C22"/>
    <w:rsid w:val="00901FD8"/>
    <w:rsid w:val="00921A82"/>
    <w:rsid w:val="00931D9E"/>
    <w:rsid w:val="009652AF"/>
    <w:rsid w:val="009812E5"/>
    <w:rsid w:val="00982A0A"/>
    <w:rsid w:val="009B4391"/>
    <w:rsid w:val="009E0E83"/>
    <w:rsid w:val="00A51953"/>
    <w:rsid w:val="00A629BD"/>
    <w:rsid w:val="00AC41BB"/>
    <w:rsid w:val="00AC56DE"/>
    <w:rsid w:val="00AD21C1"/>
    <w:rsid w:val="00B425FC"/>
    <w:rsid w:val="00B46ADA"/>
    <w:rsid w:val="00C214DA"/>
    <w:rsid w:val="00C75349"/>
    <w:rsid w:val="00CB05C6"/>
    <w:rsid w:val="00CF56D6"/>
    <w:rsid w:val="00D033F1"/>
    <w:rsid w:val="00D35BA6"/>
    <w:rsid w:val="00DD2ED1"/>
    <w:rsid w:val="00DE2B4E"/>
    <w:rsid w:val="00E40902"/>
    <w:rsid w:val="00E42B54"/>
    <w:rsid w:val="00E56A84"/>
    <w:rsid w:val="00E645E6"/>
    <w:rsid w:val="00E71E3A"/>
    <w:rsid w:val="00E81CAD"/>
    <w:rsid w:val="00EA457A"/>
    <w:rsid w:val="00F10F45"/>
    <w:rsid w:val="00F21F4C"/>
    <w:rsid w:val="00F27E96"/>
    <w:rsid w:val="00F3462C"/>
    <w:rsid w:val="00F521FC"/>
    <w:rsid w:val="00F547AD"/>
    <w:rsid w:val="00F85802"/>
    <w:rsid w:val="00FA306C"/>
    <w:rsid w:val="00FA4027"/>
    <w:rsid w:val="00FB5655"/>
    <w:rsid w:val="00FC1514"/>
    <w:rsid w:val="06FBC7C4"/>
    <w:rsid w:val="37FB3E96"/>
    <w:rsid w:val="5EFF7724"/>
    <w:rsid w:val="7FFAB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2C7F7"/>
  <w15:docId w15:val="{70D5A048-5B3D-426B-99FB-9DD8E977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1260"/>
      <w:jc w:val="left"/>
    </w:pPr>
    <w:rPr>
      <w:sz w:val="18"/>
      <w:szCs w:val="18"/>
    </w:rPr>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nhideWhenUsed/>
    <w:qFormat/>
    <w:pPr>
      <w:jc w:val="left"/>
    </w:pPr>
  </w:style>
  <w:style w:type="paragraph" w:styleId="a7">
    <w:name w:val="Body Text"/>
    <w:basedOn w:val="a"/>
    <w:qFormat/>
    <w:pPr>
      <w:pBdr>
        <w:top w:val="single" w:sz="6" w:space="1" w:color="auto"/>
        <w:bottom w:val="single" w:sz="6" w:space="1" w:color="auto"/>
      </w:pBdr>
    </w:pPr>
    <w:rPr>
      <w:rFonts w:ascii="仿宋_GB2312"/>
    </w:rPr>
  </w:style>
  <w:style w:type="paragraph" w:styleId="51">
    <w:name w:val="toc 5"/>
    <w:basedOn w:val="a"/>
    <w:next w:val="a"/>
    <w:uiPriority w:val="39"/>
    <w:unhideWhenUsed/>
    <w:qFormat/>
    <w:pPr>
      <w:ind w:left="840"/>
      <w:jc w:val="left"/>
    </w:pPr>
    <w:rPr>
      <w:sz w:val="18"/>
      <w:szCs w:val="18"/>
    </w:rPr>
  </w:style>
  <w:style w:type="paragraph" w:styleId="31">
    <w:name w:val="toc 3"/>
    <w:basedOn w:val="a"/>
    <w:next w:val="a"/>
    <w:uiPriority w:val="39"/>
    <w:unhideWhenUsed/>
    <w:qFormat/>
    <w:pPr>
      <w:ind w:left="420"/>
      <w:jc w:val="left"/>
    </w:pPr>
    <w:rPr>
      <w:i/>
      <w:iCs/>
      <w:sz w:val="20"/>
      <w:szCs w:val="20"/>
    </w:rPr>
  </w:style>
  <w:style w:type="paragraph" w:styleId="8">
    <w:name w:val="toc 8"/>
    <w:basedOn w:val="a"/>
    <w:next w:val="a"/>
    <w:uiPriority w:val="39"/>
    <w:unhideWhenUsed/>
    <w:qFormat/>
    <w:pPr>
      <w:ind w:left="1470"/>
      <w:jc w:val="left"/>
    </w:pPr>
    <w:rPr>
      <w:sz w:val="18"/>
      <w:szCs w:val="18"/>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spacing w:before="120" w:after="120"/>
      <w:jc w:val="left"/>
    </w:pPr>
    <w:rPr>
      <w:b/>
      <w:bCs/>
      <w:caps/>
      <w:sz w:val="20"/>
      <w:szCs w:val="20"/>
    </w:rPr>
  </w:style>
  <w:style w:type="paragraph" w:styleId="41">
    <w:name w:val="toc 4"/>
    <w:basedOn w:val="a"/>
    <w:next w:val="a"/>
    <w:uiPriority w:val="39"/>
    <w:unhideWhenUsed/>
    <w:qFormat/>
    <w:pPr>
      <w:ind w:left="630"/>
      <w:jc w:val="left"/>
    </w:pPr>
    <w:rPr>
      <w:sz w:val="18"/>
      <w:szCs w:val="18"/>
    </w:rPr>
  </w:style>
  <w:style w:type="paragraph" w:styleId="6">
    <w:name w:val="toc 6"/>
    <w:basedOn w:val="a"/>
    <w:next w:val="a"/>
    <w:uiPriority w:val="39"/>
    <w:unhideWhenUsed/>
    <w:qFormat/>
    <w:pPr>
      <w:ind w:left="1050"/>
      <w:jc w:val="left"/>
    </w:pPr>
    <w:rPr>
      <w:sz w:val="18"/>
      <w:szCs w:val="18"/>
    </w:rPr>
  </w:style>
  <w:style w:type="paragraph" w:styleId="21">
    <w:name w:val="toc 2"/>
    <w:basedOn w:val="a"/>
    <w:next w:val="a"/>
    <w:uiPriority w:val="39"/>
    <w:unhideWhenUsed/>
    <w:qFormat/>
    <w:pPr>
      <w:ind w:left="210"/>
      <w:jc w:val="left"/>
    </w:pPr>
    <w:rPr>
      <w:smallCaps/>
      <w:sz w:val="20"/>
      <w:szCs w:val="20"/>
    </w:rPr>
  </w:style>
  <w:style w:type="paragraph" w:styleId="9">
    <w:name w:val="toc 9"/>
    <w:basedOn w:val="a"/>
    <w:next w:val="a"/>
    <w:uiPriority w:val="39"/>
    <w:unhideWhenUsed/>
    <w:qFormat/>
    <w:pPr>
      <w:ind w:left="1680"/>
      <w:jc w:val="left"/>
    </w:pPr>
    <w:rPr>
      <w:sz w:val="18"/>
      <w:szCs w:val="18"/>
    </w:rPr>
  </w:style>
  <w:style w:type="paragraph" w:styleId="ae">
    <w:name w:val="Normal (Web)"/>
    <w:basedOn w:val="a"/>
    <w:uiPriority w:val="99"/>
    <w:qFormat/>
    <w:pPr>
      <w:spacing w:before="100" w:beforeAutospacing="1" w:after="100" w:afterAutospacing="1"/>
      <w:jc w:val="left"/>
    </w:pPr>
    <w:rPr>
      <w:kern w:val="0"/>
      <w:sz w:val="24"/>
      <w:szCs w:val="24"/>
    </w:rPr>
  </w:style>
  <w:style w:type="paragraph" w:styleId="af">
    <w:name w:val="annotation subject"/>
    <w:basedOn w:val="a5"/>
    <w:next w:val="a5"/>
    <w:link w:val="af0"/>
    <w:uiPriority w:val="99"/>
    <w:semiHidden/>
    <w:unhideWhenUsed/>
    <w:qFormat/>
    <w:rPr>
      <w:b/>
      <w:bCs/>
    </w:rPr>
  </w:style>
  <w:style w:type="character" w:styleId="af1">
    <w:name w:val="page number"/>
    <w:basedOn w:val="a0"/>
    <w:qFormat/>
  </w:style>
  <w:style w:type="character" w:styleId="af2">
    <w:name w:val="Hyperlink"/>
    <w:basedOn w:val="a0"/>
    <w:uiPriority w:val="99"/>
    <w:unhideWhenUsed/>
    <w:qFormat/>
    <w:rPr>
      <w:color w:val="0000FF"/>
      <w:u w:val="single"/>
    </w:rPr>
  </w:style>
  <w:style w:type="character" w:styleId="af3">
    <w:name w:val="annotation reference"/>
    <w:basedOn w:val="a0"/>
    <w:uiPriority w:val="99"/>
    <w:semiHidden/>
    <w:unhideWhenUsed/>
    <w:qFormat/>
    <w:rPr>
      <w:sz w:val="21"/>
      <w:szCs w:val="21"/>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character" w:customStyle="1" w:styleId="50">
    <w:name w:val="标题 5 字符"/>
    <w:basedOn w:val="a0"/>
    <w:link w:val="5"/>
    <w:uiPriority w:val="9"/>
    <w:qFormat/>
    <w:rPr>
      <w:b/>
      <w:bCs/>
      <w:sz w:val="28"/>
      <w:szCs w:val="28"/>
    </w:rPr>
  </w:style>
  <w:style w:type="character" w:customStyle="1" w:styleId="a4">
    <w:name w:val="文档结构图 字符"/>
    <w:basedOn w:val="a0"/>
    <w:link w:val="a3"/>
    <w:uiPriority w:val="99"/>
    <w:semiHidden/>
    <w:qFormat/>
    <w:rPr>
      <w:rFonts w:ascii="宋体" w:eastAsia="宋体"/>
      <w:sz w:val="18"/>
      <w:szCs w:val="18"/>
    </w:rPr>
  </w:style>
  <w:style w:type="character" w:customStyle="1" w:styleId="a6">
    <w:name w:val="批注文字 字符"/>
    <w:basedOn w:val="a0"/>
    <w:link w:val="a5"/>
    <w:qFormat/>
  </w:style>
  <w:style w:type="character" w:customStyle="1" w:styleId="a9">
    <w:name w:val="批注框文本 字符"/>
    <w:basedOn w:val="a0"/>
    <w:link w:val="a8"/>
    <w:uiPriority w:val="99"/>
    <w:semiHidden/>
    <w:qFormat/>
    <w:rPr>
      <w:sz w:val="18"/>
      <w:szCs w:val="18"/>
    </w:rPr>
  </w:style>
  <w:style w:type="character" w:customStyle="1" w:styleId="ab">
    <w:name w:val="页脚 字符"/>
    <w:basedOn w:val="a0"/>
    <w:link w:val="aa"/>
    <w:uiPriority w:val="99"/>
    <w:qFormat/>
    <w:rPr>
      <w:sz w:val="18"/>
      <w:szCs w:val="18"/>
    </w:rPr>
  </w:style>
  <w:style w:type="character" w:customStyle="1" w:styleId="ad">
    <w:name w:val="页眉 字符"/>
    <w:basedOn w:val="a0"/>
    <w:link w:val="ac"/>
    <w:qFormat/>
    <w:rPr>
      <w:sz w:val="18"/>
      <w:szCs w:val="18"/>
    </w:rPr>
  </w:style>
  <w:style w:type="character" w:customStyle="1" w:styleId="af0">
    <w:name w:val="批注主题 字符"/>
    <w:basedOn w:val="a6"/>
    <w:link w:val="af"/>
    <w:uiPriority w:val="99"/>
    <w:semiHidden/>
    <w:qFormat/>
    <w:rPr>
      <w:b/>
      <w:bCs/>
    </w:rPr>
  </w:style>
  <w:style w:type="paragraph" w:styleId="af4">
    <w:name w:val="List Paragraph"/>
    <w:basedOn w:val="a"/>
    <w:link w:val="af5"/>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af5">
    <w:name w:val="列出段落 字符"/>
    <w:link w:val="af4"/>
    <w:uiPriority w:val="34"/>
    <w:qFormat/>
  </w:style>
  <w:style w:type="paragraph" w:styleId="af6">
    <w:name w:val="No Spacing"/>
    <w:uiPriority w:val="1"/>
    <w:qFormat/>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921</Words>
  <Characters>5251</Characters>
  <Application>Microsoft Office Word</Application>
  <DocSecurity>0</DocSecurity>
  <Lines>43</Lines>
  <Paragraphs>12</Paragraphs>
  <ScaleCrop>false</ScaleCrop>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吴佳艳</dc:creator>
  <cp:lastModifiedBy>韦强</cp:lastModifiedBy>
  <cp:revision>16</cp:revision>
  <cp:lastPrinted>2022-09-26T23:12:00Z</cp:lastPrinted>
  <dcterms:created xsi:type="dcterms:W3CDTF">2022-07-30T20:36:00Z</dcterms:created>
  <dcterms:modified xsi:type="dcterms:W3CDTF">2023-04-03T13:18:00Z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