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ind w:firstLine="0" w:firstLineChars="0"/>
        <w:jc w:val="center"/>
        <w:rPr>
          <w:rFonts w:ascii="黑体" w:hAnsi="黑体" w:eastAsia="黑体"/>
          <w:color w:val="FF0000"/>
          <w:sz w:val="44"/>
          <w:szCs w:val="44"/>
        </w:rPr>
      </w:pPr>
      <w:bookmarkStart w:id="0" w:name="_Toc458669001"/>
      <w:bookmarkStart w:id="1" w:name="_Toc11726"/>
    </w:p>
    <w:p>
      <w:pPr>
        <w:jc w:val="center"/>
        <w:rPr>
          <w:rFonts w:ascii="黑体" w:hAnsi="黑体" w:eastAsia="黑体"/>
          <w:color w:val="FF0000"/>
          <w:sz w:val="44"/>
          <w:szCs w:val="44"/>
        </w:rPr>
      </w:pPr>
    </w:p>
    <w:p>
      <w:pPr>
        <w:jc w:val="center"/>
        <w:rPr>
          <w:rFonts w:ascii="黑体" w:hAnsi="黑体" w:eastAsia="黑体"/>
          <w:color w:val="FF0000"/>
          <w:sz w:val="44"/>
          <w:szCs w:val="44"/>
        </w:rPr>
      </w:pPr>
    </w:p>
    <w:p>
      <w:pPr>
        <w:jc w:val="center"/>
        <w:rPr>
          <w:rFonts w:ascii="黑体" w:hAnsi="黑体" w:eastAsia="黑体"/>
          <w:color w:val="FF0000"/>
          <w:sz w:val="44"/>
          <w:szCs w:val="44"/>
        </w:rPr>
      </w:pPr>
    </w:p>
    <w:p>
      <w:pPr>
        <w:jc w:val="center"/>
        <w:rPr>
          <w:rFonts w:ascii="黑体" w:hAnsi="黑体" w:eastAsia="黑体"/>
          <w:color w:val="FF0000"/>
          <w:sz w:val="44"/>
          <w:szCs w:val="44"/>
        </w:rPr>
      </w:pPr>
    </w:p>
    <w:p>
      <w:pPr>
        <w:spacing w:line="480" w:lineRule="auto"/>
        <w:ind w:firstLine="0" w:firstLineChars="0"/>
        <w:jc w:val="center"/>
        <w:rPr>
          <w:rFonts w:ascii="黑体" w:hAnsi="黑体" w:eastAsia="黑体"/>
          <w:sz w:val="48"/>
          <w:szCs w:val="48"/>
        </w:rPr>
      </w:pPr>
    </w:p>
    <w:p>
      <w:pPr>
        <w:spacing w:line="480" w:lineRule="auto"/>
        <w:ind w:firstLine="0" w:firstLineChars="0"/>
        <w:jc w:val="center"/>
        <w:rPr>
          <w:rFonts w:ascii="黑体" w:hAnsi="黑体" w:eastAsia="黑体"/>
          <w:sz w:val="48"/>
          <w:szCs w:val="48"/>
        </w:rPr>
      </w:pPr>
    </w:p>
    <w:p>
      <w:pPr>
        <w:spacing w:line="480" w:lineRule="auto"/>
        <w:ind w:firstLine="0" w:firstLineChars="0"/>
        <w:jc w:val="center"/>
        <w:rPr>
          <w:rFonts w:ascii="黑体" w:hAnsi="黑体" w:eastAsia="黑体"/>
          <w:sz w:val="48"/>
          <w:szCs w:val="48"/>
        </w:rPr>
      </w:pPr>
    </w:p>
    <w:p>
      <w:pPr>
        <w:spacing w:line="480" w:lineRule="auto"/>
        <w:ind w:firstLine="0" w:firstLineChars="0"/>
        <w:jc w:val="center"/>
        <w:rPr>
          <w:rFonts w:ascii="黑体" w:hAnsi="黑体" w:eastAsia="黑体"/>
          <w:sz w:val="48"/>
          <w:szCs w:val="48"/>
        </w:rPr>
      </w:pPr>
      <w:r>
        <w:rPr>
          <w:rFonts w:hint="eastAsia" w:ascii="黑体" w:hAnsi="黑体" w:eastAsia="黑体"/>
          <w:sz w:val="48"/>
          <w:szCs w:val="48"/>
        </w:rPr>
        <w:t>监控软件LANDMon使用说明</w:t>
      </w:r>
    </w:p>
    <w:p>
      <w:pPr>
        <w:spacing w:line="480" w:lineRule="auto"/>
        <w:ind w:firstLine="600"/>
        <w:rPr>
          <w:rStyle w:val="31"/>
          <w:color w:val="FF0000"/>
          <w:szCs w:val="32"/>
        </w:rPr>
      </w:pPr>
    </w:p>
    <w:p>
      <w:pPr>
        <w:ind w:firstLine="600"/>
        <w:rPr>
          <w:rStyle w:val="31"/>
          <w:color w:val="FF0000"/>
          <w:szCs w:val="32"/>
        </w:rPr>
      </w:pPr>
    </w:p>
    <w:p>
      <w:pPr>
        <w:ind w:firstLine="600"/>
        <w:rPr>
          <w:rStyle w:val="31"/>
          <w:color w:val="FF0000"/>
          <w:szCs w:val="32"/>
        </w:rPr>
      </w:pPr>
    </w:p>
    <w:p>
      <w:pPr>
        <w:ind w:firstLine="600"/>
        <w:rPr>
          <w:rStyle w:val="31"/>
          <w:color w:val="FF0000"/>
          <w:szCs w:val="32"/>
        </w:rPr>
      </w:pPr>
    </w:p>
    <w:p>
      <w:pPr>
        <w:ind w:firstLine="600"/>
        <w:rPr>
          <w:rStyle w:val="31"/>
          <w:color w:val="FF0000"/>
          <w:szCs w:val="32"/>
        </w:rPr>
      </w:pPr>
    </w:p>
    <w:p>
      <w:pPr>
        <w:ind w:firstLine="600"/>
        <w:rPr>
          <w:rStyle w:val="31"/>
          <w:color w:val="FF0000"/>
          <w:szCs w:val="32"/>
        </w:rPr>
      </w:pPr>
    </w:p>
    <w:p>
      <w:pPr>
        <w:ind w:firstLine="600"/>
        <w:rPr>
          <w:rStyle w:val="31"/>
          <w:color w:val="FF0000"/>
          <w:szCs w:val="32"/>
        </w:rPr>
      </w:pPr>
    </w:p>
    <w:p>
      <w:pPr>
        <w:spacing w:line="600" w:lineRule="exact"/>
        <w:ind w:firstLine="600"/>
        <w:rPr>
          <w:rStyle w:val="31"/>
          <w:color w:val="FF0000"/>
          <w:szCs w:val="32"/>
        </w:rPr>
      </w:pPr>
    </w:p>
    <w:p>
      <w:pPr>
        <w:spacing w:line="600" w:lineRule="exact"/>
        <w:ind w:firstLine="560"/>
        <w:rPr>
          <w:color w:val="FF0000"/>
          <w:sz w:val="28"/>
          <w:szCs w:val="28"/>
        </w:rPr>
      </w:pPr>
    </w:p>
    <w:p>
      <w:pPr>
        <w:spacing w:line="600" w:lineRule="exact"/>
        <w:ind w:firstLine="560"/>
        <w:rPr>
          <w:color w:val="FF0000"/>
          <w:sz w:val="28"/>
          <w:szCs w:val="28"/>
        </w:rPr>
      </w:pPr>
    </w:p>
    <w:p>
      <w:pPr>
        <w:spacing w:line="600" w:lineRule="exact"/>
        <w:ind w:firstLine="560"/>
        <w:rPr>
          <w:color w:val="FF0000"/>
          <w:sz w:val="28"/>
          <w:szCs w:val="28"/>
        </w:rPr>
      </w:pPr>
    </w:p>
    <w:p>
      <w:pPr>
        <w:spacing w:line="600" w:lineRule="exact"/>
        <w:ind w:firstLine="560"/>
        <w:rPr>
          <w:color w:val="FF0000"/>
          <w:sz w:val="28"/>
          <w:szCs w:val="28"/>
        </w:rPr>
      </w:pPr>
    </w:p>
    <w:p>
      <w:pPr>
        <w:spacing w:line="600" w:lineRule="exact"/>
        <w:ind w:firstLine="560"/>
        <w:rPr>
          <w:color w:val="FF0000"/>
          <w:sz w:val="28"/>
          <w:szCs w:val="28"/>
        </w:rPr>
      </w:pPr>
    </w:p>
    <w:p>
      <w:pPr>
        <w:ind w:firstLine="0" w:firstLineChars="0"/>
        <w:rPr>
          <w:rStyle w:val="31"/>
          <w:color w:val="FF0000"/>
          <w:szCs w:val="32"/>
        </w:rPr>
      </w:pPr>
    </w:p>
    <w:p>
      <w:pPr>
        <w:ind w:firstLine="600"/>
        <w:jc w:val="center"/>
        <w:rPr>
          <w:rFonts w:ascii="黑体" w:hAnsi="黑体" w:eastAsia="黑体" w:cs="宋体"/>
          <w:sz w:val="30"/>
          <w:szCs w:val="30"/>
        </w:rPr>
      </w:pPr>
      <w:r>
        <w:rPr>
          <w:rFonts w:hint="eastAsia" w:ascii="黑体" w:hAnsi="黑体" w:eastAsia="黑体" w:cs="宋体"/>
          <w:sz w:val="30"/>
          <w:szCs w:val="30"/>
        </w:rPr>
        <w:t>武汉市蓝电电子股份有限公司</w:t>
      </w:r>
    </w:p>
    <w:p>
      <w:pPr>
        <w:ind w:firstLine="560"/>
        <w:jc w:val="center"/>
        <w:rPr>
          <w:rFonts w:ascii="宋体" w:hAnsi="宋体" w:cs="宋体"/>
          <w:color w:val="FF0000"/>
          <w:sz w:val="28"/>
          <w:szCs w:val="28"/>
        </w:rPr>
      </w:pPr>
    </w:p>
    <w:p>
      <w:pPr>
        <w:ind w:firstLine="600"/>
        <w:rPr>
          <w:rStyle w:val="31"/>
          <w:color w:val="FF0000"/>
          <w:szCs w:val="32"/>
        </w:rPr>
        <w:sectPr>
          <w:headerReference r:id="rId5" w:type="first"/>
          <w:footerReference r:id="rId8" w:type="first"/>
          <w:headerReference r:id="rId3" w:type="default"/>
          <w:footerReference r:id="rId6" w:type="default"/>
          <w:headerReference r:id="rId4" w:type="even"/>
          <w:footerReference r:id="rId7" w:type="even"/>
          <w:pgSz w:w="11907" w:h="16839"/>
          <w:pgMar w:top="1134" w:right="1077" w:bottom="1134" w:left="1077" w:header="567" w:footer="567" w:gutter="0"/>
          <w:pgNumType w:start="1"/>
          <w:cols w:space="720" w:num="1"/>
          <w:titlePg/>
          <w:docGrid w:type="lines" w:linePitch="340" w:charSpace="0"/>
        </w:sectPr>
      </w:pPr>
    </w:p>
    <w:bookmarkEnd w:id="0"/>
    <w:bookmarkEnd w:id="1"/>
    <w:p>
      <w:pPr>
        <w:spacing w:line="240" w:lineRule="auto"/>
        <w:ind w:firstLine="0" w:firstLineChars="0"/>
        <w:jc w:val="center"/>
        <w:rPr>
          <w:rFonts w:ascii="Calibri" w:hAnsi="Calibri" w:eastAsia="宋体" w:cs="Times New Roman"/>
          <w:kern w:val="2"/>
          <w:sz w:val="21"/>
          <w:szCs w:val="21"/>
          <w:lang w:val="en-US" w:eastAsia="zh-CN" w:bidi="ar-SA"/>
        </w:rPr>
      </w:pPr>
      <w:bookmarkStart w:id="2" w:name="_Toc465342431"/>
      <w:bookmarkStart w:id="3" w:name="_Toc465164133"/>
      <w:bookmarkStart w:id="4" w:name="_Toc465245651"/>
      <w:bookmarkStart w:id="5" w:name="_Toc465763213"/>
      <w:bookmarkStart w:id="6" w:name="_Toc464820304"/>
      <w:bookmarkStart w:id="7" w:name="_Toc465319614"/>
      <w:bookmarkStart w:id="8" w:name="_Toc465340460"/>
      <w:bookmarkStart w:id="9" w:name="_Toc465251768"/>
      <w:bookmarkStart w:id="10" w:name="_Toc465434684"/>
      <w:bookmarkStart w:id="11" w:name="_Toc465262434"/>
      <w:bookmarkStart w:id="12" w:name="_Toc465343383"/>
      <w:bookmarkStart w:id="13" w:name="_Toc464814053"/>
      <w:bookmarkStart w:id="14" w:name="_Toc465080031"/>
      <w:bookmarkStart w:id="15" w:name="_Toc465320800"/>
      <w:bookmarkStart w:id="16" w:name="_Toc464207314"/>
      <w:bookmarkStart w:id="17" w:name="_Toc22539"/>
      <w:r>
        <w:rPr>
          <w:rFonts w:hint="eastAsia" w:ascii="微软雅黑" w:hAnsi="微软雅黑" w:eastAsia="微软雅黑" w:cs="微软雅黑"/>
          <w:sz w:val="36"/>
          <w:szCs w:val="36"/>
        </w:rPr>
        <w:t>目 录</w:t>
      </w:r>
      <w:bookmarkEnd w:id="2"/>
      <w:bookmarkEnd w:id="3"/>
      <w:bookmarkEnd w:id="4"/>
      <w:bookmarkEnd w:id="5"/>
      <w:bookmarkEnd w:id="6"/>
      <w:bookmarkEnd w:id="7"/>
      <w:bookmarkEnd w:id="8"/>
      <w:bookmarkEnd w:id="9"/>
      <w:bookmarkEnd w:id="10"/>
      <w:bookmarkEnd w:id="11"/>
      <w:bookmarkEnd w:id="12"/>
      <w:bookmarkEnd w:id="13"/>
      <w:bookmarkEnd w:id="14"/>
      <w:bookmarkEnd w:id="15"/>
      <w:r>
        <w:rPr>
          <w:szCs w:val="30"/>
        </w:rPr>
        <w:fldChar w:fldCharType="begin"/>
      </w:r>
      <w:r>
        <w:rPr>
          <w:szCs w:val="30"/>
        </w:rPr>
        <w:instrText xml:space="preserve"> </w:instrText>
      </w:r>
      <w:r>
        <w:rPr>
          <w:rFonts w:hint="eastAsia"/>
          <w:szCs w:val="30"/>
        </w:rPr>
        <w:instrText xml:space="preserve">TOC \o "1-3" \h \z \u</w:instrText>
      </w:r>
      <w:r>
        <w:rPr>
          <w:szCs w:val="30"/>
        </w:rPr>
        <w:instrText xml:space="preserve"> </w:instrText>
      </w:r>
      <w:r>
        <w:rPr>
          <w:szCs w:val="30"/>
        </w:rPr>
        <w:fldChar w:fldCharType="separate"/>
      </w:r>
    </w:p>
    <w:p>
      <w:pPr>
        <w:pStyle w:val="15"/>
        <w:tabs>
          <w:tab w:val="right" w:leader="dot" w:pos="9753"/>
        </w:tabs>
      </w:pPr>
      <w:r>
        <w:rPr>
          <w:szCs w:val="21"/>
        </w:rPr>
        <w:fldChar w:fldCharType="begin"/>
      </w:r>
      <w:r>
        <w:rPr>
          <w:szCs w:val="21"/>
        </w:rPr>
        <w:instrText xml:space="preserve"> HYPERLINK \l _Toc31856 </w:instrText>
      </w:r>
      <w:r>
        <w:rPr>
          <w:szCs w:val="21"/>
        </w:rPr>
        <w:fldChar w:fldCharType="separate"/>
      </w:r>
      <w:r>
        <w:rPr>
          <w:rFonts w:hint="eastAsia"/>
        </w:rPr>
        <w:t>第一章 软件构成与运行机制</w:t>
      </w:r>
      <w:r>
        <w:tab/>
      </w:r>
      <w:r>
        <w:fldChar w:fldCharType="begin"/>
      </w:r>
      <w:r>
        <w:instrText xml:space="preserve"> PAGEREF _Toc31856 </w:instrText>
      </w:r>
      <w:r>
        <w:fldChar w:fldCharType="separate"/>
      </w:r>
      <w:r>
        <w:t>3</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_Toc19306 </w:instrText>
      </w:r>
      <w:r>
        <w:rPr>
          <w:szCs w:val="21"/>
        </w:rPr>
        <w:fldChar w:fldCharType="separate"/>
      </w:r>
      <w:r>
        <w:rPr>
          <w:rFonts w:hint="eastAsia"/>
        </w:rPr>
        <w:t>1.1 软件构成</w:t>
      </w:r>
      <w:r>
        <w:tab/>
      </w:r>
      <w:r>
        <w:fldChar w:fldCharType="begin"/>
      </w:r>
      <w:r>
        <w:instrText xml:space="preserve"> PAGEREF _Toc19306 </w:instrText>
      </w:r>
      <w:r>
        <w:fldChar w:fldCharType="separate"/>
      </w:r>
      <w:r>
        <w:t>3</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_Toc30507 </w:instrText>
      </w:r>
      <w:r>
        <w:rPr>
          <w:szCs w:val="21"/>
        </w:rPr>
        <w:fldChar w:fldCharType="separate"/>
      </w:r>
      <w:r>
        <w:rPr>
          <w:rFonts w:hint="eastAsia"/>
        </w:rPr>
        <w:t>1.2 安装说明</w:t>
      </w:r>
      <w:r>
        <w:tab/>
      </w:r>
      <w:r>
        <w:fldChar w:fldCharType="begin"/>
      </w:r>
      <w:r>
        <w:instrText xml:space="preserve"> PAGEREF _Toc30507 </w:instrText>
      </w:r>
      <w:r>
        <w:fldChar w:fldCharType="separate"/>
      </w:r>
      <w:r>
        <w:t>3</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_Toc25040 </w:instrText>
      </w:r>
      <w:r>
        <w:rPr>
          <w:szCs w:val="21"/>
        </w:rPr>
        <w:fldChar w:fldCharType="separate"/>
      </w:r>
      <w:r>
        <w:rPr>
          <w:rFonts w:hint="eastAsia"/>
        </w:rPr>
        <w:t>1.3 软件运行机制</w:t>
      </w:r>
      <w:r>
        <w:tab/>
      </w:r>
      <w:r>
        <w:fldChar w:fldCharType="begin"/>
      </w:r>
      <w:r>
        <w:instrText xml:space="preserve"> PAGEREF _Toc25040 </w:instrText>
      </w:r>
      <w:r>
        <w:fldChar w:fldCharType="separate"/>
      </w:r>
      <w:r>
        <w:t>3</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_Toc28759 </w:instrText>
      </w:r>
      <w:r>
        <w:rPr>
          <w:szCs w:val="21"/>
        </w:rPr>
        <w:fldChar w:fldCharType="separate"/>
      </w:r>
      <w:r>
        <w:t>1.3.1 从LANDCore角度看</w:t>
      </w:r>
      <w:r>
        <w:tab/>
      </w:r>
      <w:r>
        <w:fldChar w:fldCharType="begin"/>
      </w:r>
      <w:r>
        <w:instrText xml:space="preserve"> PAGEREF _Toc28759 </w:instrText>
      </w:r>
      <w:r>
        <w:fldChar w:fldCharType="separate"/>
      </w:r>
      <w:r>
        <w:t>4</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_Toc20686 </w:instrText>
      </w:r>
      <w:r>
        <w:rPr>
          <w:szCs w:val="21"/>
        </w:rPr>
        <w:fldChar w:fldCharType="separate"/>
      </w:r>
      <w:r>
        <w:t>1.3.2 从LANDMon角度看</w:t>
      </w:r>
      <w:r>
        <w:tab/>
      </w:r>
      <w:r>
        <w:fldChar w:fldCharType="begin"/>
      </w:r>
      <w:r>
        <w:instrText xml:space="preserve"> PAGEREF _Toc20686 </w:instrText>
      </w:r>
      <w:r>
        <w:fldChar w:fldCharType="separate"/>
      </w:r>
      <w:r>
        <w:t>4</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_Toc25847 </w:instrText>
      </w:r>
      <w:r>
        <w:rPr>
          <w:szCs w:val="21"/>
        </w:rPr>
        <w:fldChar w:fldCharType="separate"/>
      </w:r>
      <w:r>
        <w:rPr>
          <w:rFonts w:hint="eastAsia"/>
        </w:rPr>
        <w:t>1.4 典型测试布局</w:t>
      </w:r>
      <w:r>
        <w:tab/>
      </w:r>
      <w:r>
        <w:fldChar w:fldCharType="begin"/>
      </w:r>
      <w:r>
        <w:instrText xml:space="preserve"> PAGEREF _Toc25847 </w:instrText>
      </w:r>
      <w:r>
        <w:fldChar w:fldCharType="separate"/>
      </w:r>
      <w:r>
        <w:t>4</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_Toc15037 </w:instrText>
      </w:r>
      <w:r>
        <w:rPr>
          <w:szCs w:val="21"/>
        </w:rPr>
        <w:fldChar w:fldCharType="separate"/>
      </w:r>
      <w:r>
        <w:t>1.4.1 纯本地方式</w:t>
      </w:r>
      <w:r>
        <w:tab/>
      </w:r>
      <w:r>
        <w:fldChar w:fldCharType="begin"/>
      </w:r>
      <w:r>
        <w:instrText xml:space="preserve"> PAGEREF _Toc15037 </w:instrText>
      </w:r>
      <w:r>
        <w:fldChar w:fldCharType="separate"/>
      </w:r>
      <w:r>
        <w:t>4</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_Toc10714 </w:instrText>
      </w:r>
      <w:r>
        <w:rPr>
          <w:szCs w:val="21"/>
        </w:rPr>
        <w:fldChar w:fldCharType="separate"/>
      </w:r>
      <w:r>
        <w:t>1.4.2 局域网方式</w:t>
      </w:r>
      <w:r>
        <w:tab/>
      </w:r>
      <w:r>
        <w:fldChar w:fldCharType="begin"/>
      </w:r>
      <w:r>
        <w:instrText xml:space="preserve"> PAGEREF _Toc10714 </w:instrText>
      </w:r>
      <w:r>
        <w:fldChar w:fldCharType="separate"/>
      </w:r>
      <w:r>
        <w:t>5</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_Toc21923 </w:instrText>
      </w:r>
      <w:r>
        <w:rPr>
          <w:szCs w:val="21"/>
        </w:rPr>
        <w:fldChar w:fldCharType="separate"/>
      </w:r>
      <w:r>
        <w:t>1.4.3 典型联网方式</w:t>
      </w:r>
      <w:r>
        <w:tab/>
      </w:r>
      <w:r>
        <w:fldChar w:fldCharType="begin"/>
      </w:r>
      <w:r>
        <w:instrText xml:space="preserve"> PAGEREF _Toc21923 </w:instrText>
      </w:r>
      <w:r>
        <w:fldChar w:fldCharType="separate"/>
      </w:r>
      <w:r>
        <w:t>5</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_Toc18327 </w:instrText>
      </w:r>
      <w:r>
        <w:rPr>
          <w:szCs w:val="21"/>
        </w:rPr>
        <w:fldChar w:fldCharType="separate"/>
      </w:r>
      <w:r>
        <w:t>1.4.4 “最经济”联网方式</w:t>
      </w:r>
      <w:r>
        <w:tab/>
      </w:r>
      <w:r>
        <w:fldChar w:fldCharType="begin"/>
      </w:r>
      <w:r>
        <w:instrText xml:space="preserve"> PAGEREF _Toc18327 </w:instrText>
      </w:r>
      <w:r>
        <w:fldChar w:fldCharType="separate"/>
      </w:r>
      <w:r>
        <w:t>5</w:t>
      </w:r>
      <w:r>
        <w:fldChar w:fldCharType="end"/>
      </w:r>
      <w:r>
        <w:rPr>
          <w:szCs w:val="21"/>
        </w:rPr>
        <w:fldChar w:fldCharType="end"/>
      </w:r>
    </w:p>
    <w:p>
      <w:pPr>
        <w:pStyle w:val="15"/>
        <w:tabs>
          <w:tab w:val="right" w:leader="dot" w:pos="9753"/>
        </w:tabs>
      </w:pPr>
      <w:r>
        <w:rPr>
          <w:szCs w:val="21"/>
        </w:rPr>
        <w:fldChar w:fldCharType="begin"/>
      </w:r>
      <w:r>
        <w:rPr>
          <w:szCs w:val="21"/>
        </w:rPr>
        <w:instrText xml:space="preserve"> HYPERLINK \l _Toc12225 </w:instrText>
      </w:r>
      <w:r>
        <w:rPr>
          <w:szCs w:val="21"/>
        </w:rPr>
        <w:fldChar w:fldCharType="separate"/>
      </w:r>
      <w:r>
        <w:rPr>
          <w:rFonts w:hint="eastAsia"/>
        </w:rPr>
        <w:t>第二章 软件界面导航</w:t>
      </w:r>
      <w:r>
        <w:tab/>
      </w:r>
      <w:r>
        <w:fldChar w:fldCharType="begin"/>
      </w:r>
      <w:r>
        <w:instrText xml:space="preserve"> PAGEREF _Toc12225 </w:instrText>
      </w:r>
      <w:r>
        <w:fldChar w:fldCharType="separate"/>
      </w:r>
      <w:r>
        <w:t>7</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_Toc9063 </w:instrText>
      </w:r>
      <w:r>
        <w:rPr>
          <w:szCs w:val="21"/>
        </w:rPr>
        <w:fldChar w:fldCharType="separate"/>
      </w:r>
      <w:r>
        <w:rPr>
          <w:rFonts w:hint="eastAsia"/>
        </w:rPr>
        <w:t>2.1 菜单栏</w:t>
      </w:r>
      <w:r>
        <w:tab/>
      </w:r>
      <w:r>
        <w:fldChar w:fldCharType="begin"/>
      </w:r>
      <w:r>
        <w:instrText xml:space="preserve"> PAGEREF _Toc9063 </w:instrText>
      </w:r>
      <w:r>
        <w:fldChar w:fldCharType="separate"/>
      </w:r>
      <w:r>
        <w:t>7</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_Toc20855 </w:instrText>
      </w:r>
      <w:r>
        <w:rPr>
          <w:szCs w:val="21"/>
        </w:rPr>
        <w:fldChar w:fldCharType="separate"/>
      </w:r>
      <w:r>
        <w:t>2.1.1 “网络”菜单</w:t>
      </w:r>
      <w:r>
        <w:tab/>
      </w:r>
      <w:r>
        <w:fldChar w:fldCharType="begin"/>
      </w:r>
      <w:r>
        <w:instrText xml:space="preserve"> PAGEREF _Toc20855 </w:instrText>
      </w:r>
      <w:r>
        <w:fldChar w:fldCharType="separate"/>
      </w:r>
      <w:r>
        <w:t>7</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_Toc17393 </w:instrText>
      </w:r>
      <w:r>
        <w:rPr>
          <w:szCs w:val="21"/>
        </w:rPr>
        <w:fldChar w:fldCharType="separate"/>
      </w:r>
      <w:r>
        <w:t>2.1.2 “测试”菜单</w:t>
      </w:r>
      <w:r>
        <w:tab/>
      </w:r>
      <w:r>
        <w:fldChar w:fldCharType="begin"/>
      </w:r>
      <w:r>
        <w:instrText xml:space="preserve"> PAGEREF _Toc17393 </w:instrText>
      </w:r>
      <w:r>
        <w:fldChar w:fldCharType="separate"/>
      </w:r>
      <w:r>
        <w:t>12</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_Toc28534 </w:instrText>
      </w:r>
      <w:r>
        <w:rPr>
          <w:szCs w:val="21"/>
        </w:rPr>
        <w:fldChar w:fldCharType="separate"/>
      </w:r>
      <w:r>
        <w:t>2.1.3 “数据”菜单</w:t>
      </w:r>
      <w:r>
        <w:tab/>
      </w:r>
      <w:r>
        <w:fldChar w:fldCharType="begin"/>
      </w:r>
      <w:r>
        <w:instrText xml:space="preserve"> PAGEREF _Toc28534 </w:instrText>
      </w:r>
      <w:r>
        <w:fldChar w:fldCharType="separate"/>
      </w:r>
      <w:r>
        <w:t>15</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_Toc14652 </w:instrText>
      </w:r>
      <w:r>
        <w:rPr>
          <w:szCs w:val="21"/>
        </w:rPr>
        <w:fldChar w:fldCharType="separate"/>
      </w:r>
      <w:r>
        <w:t>2.1.4 “容量”菜单</w:t>
      </w:r>
      <w:r>
        <w:tab/>
      </w:r>
      <w:r>
        <w:fldChar w:fldCharType="begin"/>
      </w:r>
      <w:r>
        <w:instrText xml:space="preserve"> PAGEREF _Toc14652 </w:instrText>
      </w:r>
      <w:r>
        <w:fldChar w:fldCharType="separate"/>
      </w:r>
      <w:r>
        <w:t>15</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_Toc14169 </w:instrText>
      </w:r>
      <w:r>
        <w:rPr>
          <w:szCs w:val="21"/>
        </w:rPr>
        <w:fldChar w:fldCharType="separate"/>
      </w:r>
      <w:r>
        <w:t>2.1.5 “查看”菜单</w:t>
      </w:r>
      <w:r>
        <w:tab/>
      </w:r>
      <w:r>
        <w:fldChar w:fldCharType="begin"/>
      </w:r>
      <w:r>
        <w:instrText xml:space="preserve"> PAGEREF _Toc14169 </w:instrText>
      </w:r>
      <w:r>
        <w:fldChar w:fldCharType="separate"/>
      </w:r>
      <w:r>
        <w:t>16</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_Toc10595 </w:instrText>
      </w:r>
      <w:r>
        <w:rPr>
          <w:szCs w:val="21"/>
        </w:rPr>
        <w:fldChar w:fldCharType="separate"/>
      </w:r>
      <w:r>
        <w:t>2.1.6 “选项”菜单</w:t>
      </w:r>
      <w:r>
        <w:tab/>
      </w:r>
      <w:r>
        <w:fldChar w:fldCharType="begin"/>
      </w:r>
      <w:r>
        <w:instrText xml:space="preserve"> PAGEREF _Toc10595 </w:instrText>
      </w:r>
      <w:r>
        <w:fldChar w:fldCharType="separate"/>
      </w:r>
      <w:r>
        <w:t>18</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_Toc21012 </w:instrText>
      </w:r>
      <w:r>
        <w:rPr>
          <w:szCs w:val="21"/>
        </w:rPr>
        <w:fldChar w:fldCharType="separate"/>
      </w:r>
      <w:r>
        <w:t>2.1.7 “工具”菜单</w:t>
      </w:r>
      <w:r>
        <w:tab/>
      </w:r>
      <w:r>
        <w:fldChar w:fldCharType="begin"/>
      </w:r>
      <w:r>
        <w:instrText xml:space="preserve"> PAGEREF _Toc21012 </w:instrText>
      </w:r>
      <w:r>
        <w:fldChar w:fldCharType="separate"/>
      </w:r>
      <w:r>
        <w:t>20</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_Toc20418 </w:instrText>
      </w:r>
      <w:r>
        <w:rPr>
          <w:szCs w:val="21"/>
        </w:rPr>
        <w:fldChar w:fldCharType="separate"/>
      </w:r>
      <w:r>
        <w:t>2.1.8 “帮助”菜单</w:t>
      </w:r>
      <w:r>
        <w:tab/>
      </w:r>
      <w:r>
        <w:fldChar w:fldCharType="begin"/>
      </w:r>
      <w:r>
        <w:instrText xml:space="preserve"> PAGEREF _Toc20418 </w:instrText>
      </w:r>
      <w:r>
        <w:fldChar w:fldCharType="separate"/>
      </w:r>
      <w:r>
        <w:t>23</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_Toc21219 </w:instrText>
      </w:r>
      <w:r>
        <w:rPr>
          <w:szCs w:val="21"/>
        </w:rPr>
        <w:fldChar w:fldCharType="separate"/>
      </w:r>
      <w:r>
        <w:rPr>
          <w:rFonts w:hint="eastAsia"/>
        </w:rPr>
        <w:t>2.2 工具栏</w:t>
      </w:r>
      <w:r>
        <w:tab/>
      </w:r>
      <w:r>
        <w:fldChar w:fldCharType="begin"/>
      </w:r>
      <w:r>
        <w:instrText xml:space="preserve"> PAGEREF _Toc21219 </w:instrText>
      </w:r>
      <w:r>
        <w:fldChar w:fldCharType="separate"/>
      </w:r>
      <w:r>
        <w:t>24</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_Toc27316 </w:instrText>
      </w:r>
      <w:r>
        <w:rPr>
          <w:szCs w:val="21"/>
        </w:rPr>
        <w:fldChar w:fldCharType="separate"/>
      </w:r>
      <w:r>
        <w:t>2.2.1 连接快捷项</w:t>
      </w:r>
      <w:r>
        <w:tab/>
      </w:r>
      <w:r>
        <w:fldChar w:fldCharType="begin"/>
      </w:r>
      <w:r>
        <w:instrText xml:space="preserve"> PAGEREF _Toc27316 </w:instrText>
      </w:r>
      <w:r>
        <w:fldChar w:fldCharType="separate"/>
      </w:r>
      <w:r>
        <w:t>24</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_Toc16022 </w:instrText>
      </w:r>
      <w:r>
        <w:rPr>
          <w:szCs w:val="21"/>
        </w:rPr>
        <w:fldChar w:fldCharType="separate"/>
      </w:r>
      <w:r>
        <w:t>2.2.2 显示快捷项</w:t>
      </w:r>
      <w:r>
        <w:tab/>
      </w:r>
      <w:r>
        <w:fldChar w:fldCharType="begin"/>
      </w:r>
      <w:r>
        <w:instrText xml:space="preserve"> PAGEREF _Toc16022 </w:instrText>
      </w:r>
      <w:r>
        <w:fldChar w:fldCharType="separate"/>
      </w:r>
      <w:r>
        <w:t>24</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_Toc13341 </w:instrText>
      </w:r>
      <w:r>
        <w:rPr>
          <w:szCs w:val="21"/>
        </w:rPr>
        <w:fldChar w:fldCharType="separate"/>
      </w:r>
      <w:r>
        <w:t>2.2.3 其余快捷项</w:t>
      </w:r>
      <w:r>
        <w:tab/>
      </w:r>
      <w:r>
        <w:fldChar w:fldCharType="begin"/>
      </w:r>
      <w:r>
        <w:instrText xml:space="preserve"> PAGEREF _Toc13341 </w:instrText>
      </w:r>
      <w:r>
        <w:fldChar w:fldCharType="separate"/>
      </w:r>
      <w:r>
        <w:t>25</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_Toc30327 </w:instrText>
      </w:r>
      <w:r>
        <w:rPr>
          <w:szCs w:val="21"/>
        </w:rPr>
        <w:fldChar w:fldCharType="separate"/>
      </w:r>
      <w:r>
        <w:t>2.2.4 内核提示项</w:t>
      </w:r>
      <w:r>
        <w:tab/>
      </w:r>
      <w:r>
        <w:fldChar w:fldCharType="begin"/>
      </w:r>
      <w:r>
        <w:instrText xml:space="preserve"> PAGEREF _Toc30327 </w:instrText>
      </w:r>
      <w:r>
        <w:fldChar w:fldCharType="separate"/>
      </w:r>
      <w:r>
        <w:t>25</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_Toc9035 </w:instrText>
      </w:r>
      <w:r>
        <w:rPr>
          <w:szCs w:val="21"/>
        </w:rPr>
        <w:fldChar w:fldCharType="separate"/>
      </w:r>
      <w:r>
        <w:rPr>
          <w:rFonts w:hint="eastAsia"/>
        </w:rPr>
        <w:t>2.3 通道状态区域</w:t>
      </w:r>
      <w:r>
        <w:tab/>
      </w:r>
      <w:r>
        <w:fldChar w:fldCharType="begin"/>
      </w:r>
      <w:r>
        <w:instrText xml:space="preserve"> PAGEREF _Toc9035 </w:instrText>
      </w:r>
      <w:r>
        <w:fldChar w:fldCharType="separate"/>
      </w:r>
      <w:r>
        <w:t>25</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_Toc27416 </w:instrText>
      </w:r>
      <w:r>
        <w:rPr>
          <w:szCs w:val="21"/>
        </w:rPr>
        <w:fldChar w:fldCharType="separate"/>
      </w:r>
      <w:r>
        <w:rPr>
          <w:rFonts w:hint="eastAsia"/>
        </w:rPr>
        <w:t>2.4 事件列表区域</w:t>
      </w:r>
      <w:r>
        <w:tab/>
      </w:r>
      <w:r>
        <w:fldChar w:fldCharType="begin"/>
      </w:r>
      <w:r>
        <w:instrText xml:space="preserve"> PAGEREF _Toc27416 </w:instrText>
      </w:r>
      <w:r>
        <w:fldChar w:fldCharType="separate"/>
      </w:r>
      <w:r>
        <w:t>26</w:t>
      </w:r>
      <w:r>
        <w:fldChar w:fldCharType="end"/>
      </w:r>
      <w:r>
        <w:rPr>
          <w:szCs w:val="21"/>
        </w:rPr>
        <w:fldChar w:fldCharType="end"/>
      </w:r>
    </w:p>
    <w:p>
      <w:pPr>
        <w:pStyle w:val="15"/>
        <w:tabs>
          <w:tab w:val="right" w:leader="dot" w:pos="9753"/>
        </w:tabs>
      </w:pPr>
      <w:r>
        <w:rPr>
          <w:szCs w:val="21"/>
        </w:rPr>
        <w:fldChar w:fldCharType="begin"/>
      </w:r>
      <w:r>
        <w:rPr>
          <w:szCs w:val="21"/>
        </w:rPr>
        <w:instrText xml:space="preserve"> HYPERLINK \l _Toc27393 </w:instrText>
      </w:r>
      <w:r>
        <w:rPr>
          <w:szCs w:val="21"/>
        </w:rPr>
        <w:fldChar w:fldCharType="separate"/>
      </w:r>
      <w:r>
        <w:rPr>
          <w:rFonts w:hint="eastAsia"/>
        </w:rPr>
        <w:t>第三章 软件操作方法</w:t>
      </w:r>
      <w:r>
        <w:tab/>
      </w:r>
      <w:r>
        <w:fldChar w:fldCharType="begin"/>
      </w:r>
      <w:r>
        <w:instrText xml:space="preserve"> PAGEREF _Toc27393 </w:instrText>
      </w:r>
      <w:r>
        <w:fldChar w:fldCharType="separate"/>
      </w:r>
      <w:r>
        <w:t>26</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_Toc24264 </w:instrText>
      </w:r>
      <w:r>
        <w:rPr>
          <w:szCs w:val="21"/>
        </w:rPr>
        <w:fldChar w:fldCharType="separate"/>
      </w:r>
      <w:r>
        <w:rPr>
          <w:rFonts w:hint="eastAsia"/>
        </w:rPr>
        <w:t>3.1 连接内核</w:t>
      </w:r>
      <w:r>
        <w:tab/>
      </w:r>
      <w:r>
        <w:fldChar w:fldCharType="begin"/>
      </w:r>
      <w:r>
        <w:instrText xml:space="preserve"> PAGEREF _Toc24264 </w:instrText>
      </w:r>
      <w:r>
        <w:fldChar w:fldCharType="separate"/>
      </w:r>
      <w:r>
        <w:t>26</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_Toc31903 </w:instrText>
      </w:r>
      <w:r>
        <w:rPr>
          <w:szCs w:val="21"/>
        </w:rPr>
        <w:fldChar w:fldCharType="separate"/>
      </w:r>
      <w:r>
        <w:rPr>
          <w:rFonts w:hint="eastAsia"/>
        </w:rPr>
        <w:t>3.2 智能联机</w:t>
      </w:r>
      <w:r>
        <w:tab/>
      </w:r>
      <w:r>
        <w:fldChar w:fldCharType="begin"/>
      </w:r>
      <w:r>
        <w:instrText xml:space="preserve"> PAGEREF _Toc31903 </w:instrText>
      </w:r>
      <w:r>
        <w:fldChar w:fldCharType="separate"/>
      </w:r>
      <w:r>
        <w:t>27</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_Toc31876 </w:instrText>
      </w:r>
      <w:r>
        <w:rPr>
          <w:szCs w:val="21"/>
        </w:rPr>
        <w:fldChar w:fldCharType="separate"/>
      </w:r>
      <w:r>
        <w:rPr>
          <w:rFonts w:hint="eastAsia"/>
        </w:rPr>
        <w:t>3.3 测试过程编辑</w:t>
      </w:r>
      <w:r>
        <w:tab/>
      </w:r>
      <w:r>
        <w:fldChar w:fldCharType="begin"/>
      </w:r>
      <w:r>
        <w:instrText xml:space="preserve"> PAGEREF _Toc31876 </w:instrText>
      </w:r>
      <w:r>
        <w:fldChar w:fldCharType="separate"/>
      </w:r>
      <w:r>
        <w:t>27</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_Toc25031 </w:instrText>
      </w:r>
      <w:r>
        <w:rPr>
          <w:szCs w:val="21"/>
        </w:rPr>
        <w:fldChar w:fldCharType="separate"/>
      </w:r>
      <w:r>
        <w:rPr>
          <w:rFonts w:hint="eastAsia"/>
        </w:rPr>
        <w:t>3.4 通道选取</w:t>
      </w:r>
      <w:r>
        <w:tab/>
      </w:r>
      <w:r>
        <w:fldChar w:fldCharType="begin"/>
      </w:r>
      <w:r>
        <w:instrText xml:space="preserve"> PAGEREF _Toc25031 </w:instrText>
      </w:r>
      <w:r>
        <w:fldChar w:fldCharType="separate"/>
      </w:r>
      <w:r>
        <w:t>27</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_Toc28572 </w:instrText>
      </w:r>
      <w:r>
        <w:rPr>
          <w:szCs w:val="21"/>
        </w:rPr>
        <w:fldChar w:fldCharType="separate"/>
      </w:r>
      <w:r>
        <w:rPr>
          <w:rFonts w:hint="eastAsia"/>
        </w:rPr>
        <w:t>3.5 通道启停</w:t>
      </w:r>
      <w:r>
        <w:tab/>
      </w:r>
      <w:r>
        <w:fldChar w:fldCharType="begin"/>
      </w:r>
      <w:r>
        <w:instrText xml:space="preserve"> PAGEREF _Toc28572 </w:instrText>
      </w:r>
      <w:r>
        <w:fldChar w:fldCharType="separate"/>
      </w:r>
      <w:r>
        <w:t>28</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_Toc2031 </w:instrText>
      </w:r>
      <w:r>
        <w:rPr>
          <w:szCs w:val="21"/>
        </w:rPr>
        <w:fldChar w:fldCharType="separate"/>
      </w:r>
      <w:r>
        <w:t>3.5.1 启动通道</w:t>
      </w:r>
      <w:r>
        <w:tab/>
      </w:r>
      <w:r>
        <w:fldChar w:fldCharType="begin"/>
      </w:r>
      <w:r>
        <w:instrText xml:space="preserve"> PAGEREF _Toc2031 </w:instrText>
      </w:r>
      <w:r>
        <w:fldChar w:fldCharType="separate"/>
      </w:r>
      <w:r>
        <w:t>28</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_Toc18797 </w:instrText>
      </w:r>
      <w:r>
        <w:rPr>
          <w:szCs w:val="21"/>
        </w:rPr>
        <w:fldChar w:fldCharType="separate"/>
      </w:r>
      <w:r>
        <w:t>3.5.2 停止通道</w:t>
      </w:r>
      <w:r>
        <w:tab/>
      </w:r>
      <w:r>
        <w:fldChar w:fldCharType="begin"/>
      </w:r>
      <w:r>
        <w:instrText xml:space="preserve"> PAGEREF _Toc18797 </w:instrText>
      </w:r>
      <w:r>
        <w:fldChar w:fldCharType="separate"/>
      </w:r>
      <w:r>
        <w:t>29</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_Toc13760 </w:instrText>
      </w:r>
      <w:r>
        <w:rPr>
          <w:szCs w:val="21"/>
        </w:rPr>
        <w:fldChar w:fldCharType="separate"/>
      </w:r>
      <w:r>
        <w:t>3.5.3 续接启动</w:t>
      </w:r>
      <w:r>
        <w:tab/>
      </w:r>
      <w:r>
        <w:fldChar w:fldCharType="begin"/>
      </w:r>
      <w:r>
        <w:instrText xml:space="preserve"> PAGEREF _Toc13760 </w:instrText>
      </w:r>
      <w:r>
        <w:fldChar w:fldCharType="separate"/>
      </w:r>
      <w:r>
        <w:t>29</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_Toc11729 </w:instrText>
      </w:r>
      <w:r>
        <w:rPr>
          <w:szCs w:val="21"/>
        </w:rPr>
        <w:fldChar w:fldCharType="separate"/>
      </w:r>
      <w:r>
        <w:t>3.5.4 强制跳转</w:t>
      </w:r>
      <w:r>
        <w:tab/>
      </w:r>
      <w:r>
        <w:fldChar w:fldCharType="begin"/>
      </w:r>
      <w:r>
        <w:instrText xml:space="preserve"> PAGEREF _Toc11729 </w:instrText>
      </w:r>
      <w:r>
        <w:fldChar w:fldCharType="separate"/>
      </w:r>
      <w:r>
        <w:t>30</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_Toc24627 </w:instrText>
      </w:r>
      <w:r>
        <w:rPr>
          <w:szCs w:val="21"/>
        </w:rPr>
        <w:fldChar w:fldCharType="separate"/>
      </w:r>
      <w:r>
        <w:t>3.5.5 通道变更</w:t>
      </w:r>
      <w:r>
        <w:tab/>
      </w:r>
      <w:r>
        <w:fldChar w:fldCharType="begin"/>
      </w:r>
      <w:r>
        <w:instrText xml:space="preserve"> PAGEREF _Toc24627 </w:instrText>
      </w:r>
      <w:r>
        <w:fldChar w:fldCharType="separate"/>
      </w:r>
      <w:r>
        <w:t>30</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_Toc17467 </w:instrText>
      </w:r>
      <w:r>
        <w:rPr>
          <w:szCs w:val="21"/>
        </w:rPr>
        <w:fldChar w:fldCharType="separate"/>
      </w:r>
      <w:r>
        <w:t>3.5.6 参数重置</w:t>
      </w:r>
      <w:r>
        <w:tab/>
      </w:r>
      <w:r>
        <w:fldChar w:fldCharType="begin"/>
      </w:r>
      <w:r>
        <w:instrText xml:space="preserve"> PAGEREF _Toc17467 </w:instrText>
      </w:r>
      <w:r>
        <w:fldChar w:fldCharType="separate"/>
      </w:r>
      <w:r>
        <w:t>30</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_Toc1481 </w:instrText>
      </w:r>
      <w:r>
        <w:rPr>
          <w:szCs w:val="21"/>
        </w:rPr>
        <w:fldChar w:fldCharType="separate"/>
      </w:r>
      <w:r>
        <w:rPr>
          <w:rFonts w:hint="eastAsia"/>
        </w:rPr>
        <w:t>3.6 高级</w:t>
      </w:r>
      <w:r>
        <w:tab/>
      </w:r>
      <w:r>
        <w:fldChar w:fldCharType="begin"/>
      </w:r>
      <w:r>
        <w:instrText xml:space="preserve"> PAGEREF _Toc1481 </w:instrText>
      </w:r>
      <w:r>
        <w:fldChar w:fldCharType="separate"/>
      </w:r>
      <w:r>
        <w:t>31</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_Toc6814 </w:instrText>
      </w:r>
      <w:r>
        <w:rPr>
          <w:szCs w:val="21"/>
        </w:rPr>
        <w:fldChar w:fldCharType="separate"/>
      </w:r>
      <w:r>
        <w:rPr>
          <w:rFonts w:hint="eastAsia"/>
        </w:rPr>
        <w:t>3.7 通道状态</w:t>
      </w:r>
      <w:r>
        <w:tab/>
      </w:r>
      <w:r>
        <w:fldChar w:fldCharType="begin"/>
      </w:r>
      <w:r>
        <w:instrText xml:space="preserve"> PAGEREF _Toc6814 </w:instrText>
      </w:r>
      <w:r>
        <w:fldChar w:fldCharType="separate"/>
      </w:r>
      <w:r>
        <w:t>33</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_Toc10322 </w:instrText>
      </w:r>
      <w:r>
        <w:rPr>
          <w:szCs w:val="21"/>
        </w:rPr>
        <w:fldChar w:fldCharType="separate"/>
      </w:r>
      <w:r>
        <w:t>3.7.1 实时状态</w:t>
      </w:r>
      <w:r>
        <w:tab/>
      </w:r>
      <w:r>
        <w:fldChar w:fldCharType="begin"/>
      </w:r>
      <w:r>
        <w:instrText xml:space="preserve"> PAGEREF _Toc10322 </w:instrText>
      </w:r>
      <w:r>
        <w:fldChar w:fldCharType="separate"/>
      </w:r>
      <w:r>
        <w:t>33</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_Toc20617 </w:instrText>
      </w:r>
      <w:r>
        <w:rPr>
          <w:szCs w:val="21"/>
        </w:rPr>
        <w:fldChar w:fldCharType="separate"/>
      </w:r>
      <w:r>
        <w:t>3.7.2 查询状态</w:t>
      </w:r>
      <w:r>
        <w:tab/>
      </w:r>
      <w:r>
        <w:fldChar w:fldCharType="begin"/>
      </w:r>
      <w:r>
        <w:instrText xml:space="preserve"> PAGEREF _Toc20617 </w:instrText>
      </w:r>
      <w:r>
        <w:fldChar w:fldCharType="separate"/>
      </w:r>
      <w:r>
        <w:t>33</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_Toc543 </w:instrText>
      </w:r>
      <w:r>
        <w:rPr>
          <w:szCs w:val="21"/>
        </w:rPr>
        <w:fldChar w:fldCharType="separate"/>
      </w:r>
      <w:r>
        <w:t>3.7.3 删除状态</w:t>
      </w:r>
      <w:r>
        <w:tab/>
      </w:r>
      <w:r>
        <w:fldChar w:fldCharType="begin"/>
      </w:r>
      <w:r>
        <w:instrText xml:space="preserve"> PAGEREF _Toc543 </w:instrText>
      </w:r>
      <w:r>
        <w:fldChar w:fldCharType="separate"/>
      </w:r>
      <w:r>
        <w:t>34</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_Toc21532 </w:instrText>
      </w:r>
      <w:r>
        <w:rPr>
          <w:szCs w:val="21"/>
        </w:rPr>
        <w:fldChar w:fldCharType="separate"/>
      </w:r>
      <w:r>
        <w:t>3.7.4 故障通道</w:t>
      </w:r>
      <w:r>
        <w:tab/>
      </w:r>
      <w:r>
        <w:fldChar w:fldCharType="begin"/>
      </w:r>
      <w:r>
        <w:instrText xml:space="preserve"> PAGEREF _Toc21532 </w:instrText>
      </w:r>
      <w:r>
        <w:fldChar w:fldCharType="separate"/>
      </w:r>
      <w:r>
        <w:t>35</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_Toc14741 </w:instrText>
      </w:r>
      <w:r>
        <w:rPr>
          <w:szCs w:val="21"/>
        </w:rPr>
        <w:fldChar w:fldCharType="separate"/>
      </w:r>
      <w:r>
        <w:rPr>
          <w:rFonts w:hint="eastAsia"/>
        </w:rPr>
        <w:t>3.8 活性物质参数</w:t>
      </w:r>
      <w:r>
        <w:tab/>
      </w:r>
      <w:r>
        <w:fldChar w:fldCharType="begin"/>
      </w:r>
      <w:r>
        <w:instrText xml:space="preserve"> PAGEREF _Toc14741 </w:instrText>
      </w:r>
      <w:r>
        <w:fldChar w:fldCharType="separate"/>
      </w:r>
      <w:r>
        <w:t>36</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_Toc1995 </w:instrText>
      </w:r>
      <w:r>
        <w:rPr>
          <w:szCs w:val="21"/>
        </w:rPr>
        <w:fldChar w:fldCharType="separate"/>
      </w:r>
      <w:r>
        <w:rPr>
          <w:rFonts w:hint="eastAsia"/>
        </w:rPr>
        <w:t>3.9 测试数据</w:t>
      </w:r>
      <w:r>
        <w:tab/>
      </w:r>
      <w:r>
        <w:fldChar w:fldCharType="begin"/>
      </w:r>
      <w:r>
        <w:instrText xml:space="preserve"> PAGEREF _Toc1995 </w:instrText>
      </w:r>
      <w:r>
        <w:fldChar w:fldCharType="separate"/>
      </w:r>
      <w:r>
        <w:t>36</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_Toc11893 </w:instrText>
      </w:r>
      <w:r>
        <w:rPr>
          <w:szCs w:val="21"/>
        </w:rPr>
        <w:fldChar w:fldCharType="separate"/>
      </w:r>
      <w:r>
        <w:t>3.9.1 数据备份方案</w:t>
      </w:r>
      <w:r>
        <w:tab/>
      </w:r>
      <w:r>
        <w:fldChar w:fldCharType="begin"/>
      </w:r>
      <w:r>
        <w:instrText xml:space="preserve"> PAGEREF _Toc11893 </w:instrText>
      </w:r>
      <w:r>
        <w:fldChar w:fldCharType="separate"/>
      </w:r>
      <w:r>
        <w:t>36</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_Toc7941 </w:instrText>
      </w:r>
      <w:r>
        <w:rPr>
          <w:szCs w:val="21"/>
        </w:rPr>
        <w:fldChar w:fldCharType="separate"/>
      </w:r>
      <w:r>
        <w:t>3.9.2 数据预约备份</w:t>
      </w:r>
      <w:r>
        <w:tab/>
      </w:r>
      <w:r>
        <w:fldChar w:fldCharType="begin"/>
      </w:r>
      <w:r>
        <w:instrText xml:space="preserve"> PAGEREF _Toc7941 </w:instrText>
      </w:r>
      <w:r>
        <w:fldChar w:fldCharType="separate"/>
      </w:r>
      <w:r>
        <w:t>37</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_Toc5724 </w:instrText>
      </w:r>
      <w:r>
        <w:rPr>
          <w:szCs w:val="21"/>
        </w:rPr>
        <w:fldChar w:fldCharType="separate"/>
      </w:r>
      <w:r>
        <w:t>3.9.3 数据即时备份</w:t>
      </w:r>
      <w:r>
        <w:tab/>
      </w:r>
      <w:r>
        <w:fldChar w:fldCharType="begin"/>
      </w:r>
      <w:r>
        <w:instrText xml:space="preserve"> PAGEREF _Toc5724 </w:instrText>
      </w:r>
      <w:r>
        <w:fldChar w:fldCharType="separate"/>
      </w:r>
      <w:r>
        <w:t>38</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_Toc12596 </w:instrText>
      </w:r>
      <w:r>
        <w:rPr>
          <w:szCs w:val="21"/>
        </w:rPr>
        <w:fldChar w:fldCharType="separate"/>
      </w:r>
      <w:r>
        <w:t>3.9.4 数据定时备份</w:t>
      </w:r>
      <w:r>
        <w:tab/>
      </w:r>
      <w:r>
        <w:fldChar w:fldCharType="begin"/>
      </w:r>
      <w:r>
        <w:instrText xml:space="preserve"> PAGEREF _Toc12596 </w:instrText>
      </w:r>
      <w:r>
        <w:fldChar w:fldCharType="separate"/>
      </w:r>
      <w:r>
        <w:t>38</w:t>
      </w:r>
      <w:r>
        <w:fldChar w:fldCharType="end"/>
      </w:r>
      <w:r>
        <w:rPr>
          <w:szCs w:val="21"/>
        </w:rPr>
        <w:fldChar w:fldCharType="end"/>
      </w:r>
    </w:p>
    <w:p>
      <w:pPr>
        <w:pStyle w:val="9"/>
        <w:tabs>
          <w:tab w:val="right" w:leader="dot" w:pos="9753"/>
        </w:tabs>
      </w:pPr>
      <w:r>
        <w:rPr>
          <w:szCs w:val="21"/>
        </w:rPr>
        <w:fldChar w:fldCharType="begin"/>
      </w:r>
      <w:r>
        <w:rPr>
          <w:szCs w:val="21"/>
        </w:rPr>
        <w:instrText xml:space="preserve"> HYPERLINK \l _Toc2628 </w:instrText>
      </w:r>
      <w:r>
        <w:rPr>
          <w:szCs w:val="21"/>
        </w:rPr>
        <w:fldChar w:fldCharType="separate"/>
      </w:r>
      <w:r>
        <w:t>3.9.5 打开测试数据</w:t>
      </w:r>
      <w:r>
        <w:tab/>
      </w:r>
      <w:r>
        <w:fldChar w:fldCharType="begin"/>
      </w:r>
      <w:r>
        <w:instrText xml:space="preserve"> PAGEREF _Toc2628 </w:instrText>
      </w:r>
      <w:r>
        <w:fldChar w:fldCharType="separate"/>
      </w:r>
      <w:r>
        <w:t>38</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_Toc15803 </w:instrText>
      </w:r>
      <w:r>
        <w:rPr>
          <w:szCs w:val="21"/>
        </w:rPr>
        <w:fldChar w:fldCharType="separate"/>
      </w:r>
      <w:r>
        <w:rPr>
          <w:rFonts w:hint="eastAsia"/>
        </w:rPr>
        <w:t>3.10 动态曲线</w:t>
      </w:r>
      <w:r>
        <w:tab/>
      </w:r>
      <w:r>
        <w:fldChar w:fldCharType="begin"/>
      </w:r>
      <w:r>
        <w:instrText xml:space="preserve"> PAGEREF _Toc15803 </w:instrText>
      </w:r>
      <w:r>
        <w:fldChar w:fldCharType="separate"/>
      </w:r>
      <w:r>
        <w:t>38</w:t>
      </w:r>
      <w:r>
        <w:fldChar w:fldCharType="end"/>
      </w:r>
      <w:r>
        <w:rPr>
          <w:szCs w:val="21"/>
        </w:rPr>
        <w:fldChar w:fldCharType="end"/>
      </w:r>
    </w:p>
    <w:p>
      <w:pPr>
        <w:pStyle w:val="20"/>
        <w:tabs>
          <w:tab w:val="right" w:leader="dot" w:pos="9753"/>
        </w:tabs>
      </w:pPr>
      <w:r>
        <w:rPr>
          <w:szCs w:val="21"/>
        </w:rPr>
        <w:fldChar w:fldCharType="begin"/>
      </w:r>
      <w:r>
        <w:rPr>
          <w:szCs w:val="21"/>
        </w:rPr>
        <w:instrText xml:space="preserve"> HYPERLINK \l _Toc29968 </w:instrText>
      </w:r>
      <w:r>
        <w:rPr>
          <w:szCs w:val="21"/>
        </w:rPr>
        <w:fldChar w:fldCharType="separate"/>
      </w:r>
      <w:r>
        <w:rPr>
          <w:rFonts w:hint="eastAsia"/>
        </w:rPr>
        <w:t>3.11 关联通道</w:t>
      </w:r>
      <w:r>
        <w:tab/>
      </w:r>
      <w:r>
        <w:fldChar w:fldCharType="begin"/>
      </w:r>
      <w:r>
        <w:instrText xml:space="preserve"> PAGEREF _Toc29968 </w:instrText>
      </w:r>
      <w:r>
        <w:fldChar w:fldCharType="separate"/>
      </w:r>
      <w:r>
        <w:t>39</w:t>
      </w:r>
      <w:r>
        <w:fldChar w:fldCharType="end"/>
      </w:r>
      <w:r>
        <w:rPr>
          <w:szCs w:val="21"/>
        </w:rPr>
        <w:fldChar w:fldCharType="end"/>
      </w:r>
    </w:p>
    <w:p>
      <w:pPr>
        <w:pStyle w:val="2"/>
        <w:spacing w:line="240" w:lineRule="auto"/>
        <w:ind w:firstLine="0" w:firstLineChars="0"/>
        <w:jc w:val="center"/>
        <w:rPr>
          <w:color w:val="FF0000"/>
          <w:sz w:val="28"/>
          <w:szCs w:val="28"/>
        </w:rPr>
        <w:sectPr>
          <w:headerReference r:id="rId9" w:type="default"/>
          <w:footerReference r:id="rId10" w:type="default"/>
          <w:pgSz w:w="11907" w:h="16839"/>
          <w:pgMar w:top="1134" w:right="1077" w:bottom="1134" w:left="1077" w:header="567" w:footer="567" w:gutter="0"/>
          <w:pgNumType w:start="1"/>
          <w:cols w:space="720" w:num="1"/>
          <w:docGrid w:type="lines" w:linePitch="340" w:charSpace="0"/>
        </w:sectPr>
      </w:pPr>
      <w:r>
        <w:rPr>
          <w:sz w:val="21"/>
          <w:szCs w:val="21"/>
        </w:rPr>
        <w:fldChar w:fldCharType="end"/>
      </w:r>
      <w:bookmarkEnd w:id="16"/>
      <w:bookmarkEnd w:id="17"/>
      <w:bookmarkStart w:id="18" w:name="OLE_LINK11"/>
    </w:p>
    <w:p>
      <w:pPr>
        <w:pStyle w:val="2"/>
        <w:ind w:firstLine="600"/>
      </w:pPr>
      <w:bookmarkStart w:id="19" w:name="_Toc31856"/>
      <w:r>
        <w:rPr>
          <w:rFonts w:hint="eastAsia"/>
        </w:rPr>
        <w:t>第一章 软件构成与运行机制</w:t>
      </w:r>
      <w:bookmarkEnd w:id="19"/>
    </w:p>
    <w:p>
      <w:pPr>
        <w:ind w:firstLine="420"/>
      </w:pPr>
      <w:r>
        <w:rPr>
          <w:rFonts w:hint="eastAsia"/>
        </w:rPr>
        <w:t>本软件为网络/本地一体化软件。它支持原来的单机版软件所有功能，并且几乎保持了原来的界面风格，也兼容原来的单机版软件所有数据，升级后能保证测试无缝接续。</w:t>
      </w:r>
    </w:p>
    <w:p>
      <w:pPr>
        <w:ind w:firstLine="420"/>
      </w:pPr>
      <w:r>
        <w:rPr>
          <w:rFonts w:hint="eastAsia"/>
        </w:rPr>
        <w:t>本软件支持通过局域网/Internet远程控制，远程用户可以以“访客”、“操作者”或者“管理者”的身份通过网络登陆，实现远程查看、操作控制。</w:t>
      </w:r>
    </w:p>
    <w:p>
      <w:pPr>
        <w:pStyle w:val="3"/>
      </w:pPr>
      <w:bookmarkStart w:id="20" w:name="_Toc464207453"/>
      <w:bookmarkStart w:id="21" w:name="_Toc19306"/>
      <w:r>
        <w:rPr>
          <w:rFonts w:hint="eastAsia"/>
        </w:rPr>
        <w:t xml:space="preserve">1.1 </w:t>
      </w:r>
      <w:bookmarkEnd w:id="20"/>
      <w:r>
        <w:rPr>
          <w:rFonts w:hint="eastAsia"/>
        </w:rPr>
        <w:t>软件构成</w:t>
      </w:r>
      <w:bookmarkEnd w:id="21"/>
    </w:p>
    <w:bookmarkEnd w:id="18"/>
    <w:p>
      <w:pPr>
        <w:ind w:firstLine="420"/>
      </w:pPr>
      <w:bookmarkStart w:id="22" w:name="OLE_LINK40"/>
      <w:bookmarkStart w:id="23" w:name="_Toc464207317"/>
      <w:bookmarkStart w:id="24" w:name="_Toc464207330"/>
      <w:bookmarkStart w:id="25" w:name="OLE_LINK67"/>
      <w:bookmarkStart w:id="26" w:name="_Toc1096"/>
      <w:bookmarkStart w:id="27" w:name="_Toc19742"/>
      <w:r>
        <w:rPr>
          <w:rFonts w:hint="eastAsia"/>
        </w:rPr>
        <w:t>软件由LANDMon.exe（控制界面）、LANDCore.exe（控制内核）和LANDProc.exe（工步编辑软件）3个组件组成：</w:t>
      </w:r>
    </w:p>
    <w:p>
      <w:pPr>
        <w:ind w:firstLine="420"/>
      </w:pPr>
      <w:r>
        <w:rPr>
          <w:rFonts w:hint="eastAsia"/>
        </w:rPr>
        <w:t>●LANDCore完成实际的测试控制；任何时候LANDCore只对连接在当前计算机上的测试设备起作用。</w:t>
      </w:r>
    </w:p>
    <w:p>
      <w:pPr>
        <w:ind w:firstLine="420"/>
      </w:pPr>
      <w:r>
        <w:rPr>
          <w:rFonts w:hint="eastAsia"/>
        </w:rPr>
        <w:t>●LANDMon仅仅是一个提供给用户的监控界面。用户在LANDMon（界面）中的操作，都被提交给LANDCore（内核），由LANDCore来实现对测试控制。</w:t>
      </w:r>
    </w:p>
    <w:p>
      <w:pPr>
        <w:ind w:firstLine="420"/>
      </w:pPr>
      <w:r>
        <w:rPr>
          <w:rFonts w:hint="eastAsia"/>
        </w:rPr>
        <w:t>●LANDProc</w:t>
      </w:r>
      <w:r>
        <w:t>软件名称是工步编辑器</w:t>
      </w:r>
      <w:r>
        <w:rPr>
          <w:rFonts w:hint="eastAsia"/>
        </w:rPr>
        <w:t>，</w:t>
      </w:r>
      <w:r>
        <w:t>它主要的功能是编写测试工步。它是在</w:t>
      </w:r>
      <w:r>
        <w:fldChar w:fldCharType="begin"/>
      </w:r>
      <w:r>
        <w:instrText xml:space="preserve"> HYPERLINK "mk:@MSITStore:D:\\LAND\\LANDProc.chm::/html/Sh_Software.htm" </w:instrText>
      </w:r>
      <w:r>
        <w:fldChar w:fldCharType="separate"/>
      </w:r>
      <w:r>
        <w:rPr>
          <w:rFonts w:hint="eastAsia"/>
        </w:rPr>
        <w:t>LAND</w:t>
      </w:r>
      <w:r>
        <w:rPr>
          <w:rFonts w:hint="eastAsia" w:ascii="宋体" w:hAnsi="宋体" w:eastAsia="宋体" w:cs="宋体"/>
        </w:rPr>
        <w:t>电</w:t>
      </w:r>
      <w:r>
        <w:rPr>
          <w:rStyle w:val="27"/>
          <w:rFonts w:hint="eastAsia" w:ascii="宋体" w:hAnsi="宋体" w:eastAsia="宋体" w:cs="宋体"/>
          <w:color w:val="auto"/>
          <w:szCs w:val="18"/>
          <w:u w:val="none"/>
        </w:rPr>
        <w:t>池测试</w:t>
      </w:r>
      <w:r>
        <w:rPr>
          <w:rStyle w:val="27"/>
          <w:rFonts w:hint="eastAsia" w:ascii="宋体" w:hAnsi="宋体" w:cs="宋体"/>
          <w:color w:val="auto"/>
          <w:szCs w:val="18"/>
          <w:u w:val="none"/>
        </w:rPr>
        <w:t>系统软件</w:t>
      </w:r>
      <w:r>
        <w:rPr>
          <w:rStyle w:val="27"/>
          <w:rFonts w:hint="eastAsia" w:ascii="宋体" w:hAnsi="宋体" w:cs="宋体"/>
          <w:color w:val="auto"/>
          <w:szCs w:val="18"/>
          <w:u w:val="none"/>
        </w:rPr>
        <w:fldChar w:fldCharType="end"/>
      </w:r>
      <w:r>
        <w:t>演变至6.0版时新增加的一个组件。6.0版之前的测试工步编写功能分散在各个组件，功能相对较弱。LANDProc 将测试工步编写、显示、打印等功能集中起来形成一个独立的组件（可以独立运行），功能非常强大；其它组件需要创建或显示测试工步时，会自动加载 LANDProc。</w:t>
      </w:r>
    </w:p>
    <w:p>
      <w:pPr>
        <w:pStyle w:val="3"/>
      </w:pPr>
      <w:bookmarkStart w:id="28" w:name="_Toc30507"/>
      <w:r>
        <w:rPr>
          <w:rFonts w:hint="eastAsia"/>
        </w:rPr>
        <w:t>1.2 安装说明</w:t>
      </w:r>
      <w:bookmarkEnd w:id="28"/>
    </w:p>
    <w:p>
      <w:pPr>
        <w:ind w:firstLine="420"/>
      </w:pPr>
      <w:r>
        <w:rPr>
          <w:rFonts w:hint="eastAsia"/>
        </w:rPr>
        <w:t>安装步骤（绿色软件，拷贝即可）：</w:t>
      </w:r>
    </w:p>
    <w:p>
      <w:pPr>
        <w:pStyle w:val="42"/>
        <w:ind w:left="420" w:firstLine="0" w:firstLineChars="0"/>
      </w:pPr>
      <w:r>
        <w:rPr>
          <w:rFonts w:hint="eastAsia"/>
        </w:rPr>
        <w:t>1、创建或指定一个目录，例如“D:\LAND”；（也可以直接使用“蓝电测试系统软件”的安装目录）；</w:t>
      </w:r>
    </w:p>
    <w:p>
      <w:pPr>
        <w:ind w:firstLine="420"/>
        <w:rPr>
          <w:color w:val="C00000"/>
        </w:rPr>
      </w:pPr>
      <w:r>
        <w:rPr>
          <w:rFonts w:hint="eastAsia"/>
        </w:rPr>
        <w:t>2、如果包含setup.exe文件，将setup.exe执行安装（安装路径选择D:\LAND）；如果不含setup.exe文件，将所有核心程序组件直接拷贝至原来的安装目录，覆盖旧版文件。</w:t>
      </w:r>
    </w:p>
    <w:p>
      <w:pPr>
        <w:ind w:firstLine="420"/>
      </w:pPr>
      <w:r>
        <w:rPr>
          <w:rFonts w:hint="eastAsia"/>
        </w:rPr>
        <w:t>3、最后执行文件LANDMon.exe文件即可。</w:t>
      </w:r>
    </w:p>
    <w:p>
      <w:pPr>
        <w:pStyle w:val="3"/>
      </w:pPr>
      <w:bookmarkStart w:id="29" w:name="_Toc25040"/>
      <w:bookmarkStart w:id="30" w:name="_Toc346203515"/>
      <w:bookmarkStart w:id="31" w:name="_Toc26838"/>
      <w:bookmarkStart w:id="32" w:name="_Toc346263472"/>
      <w:r>
        <w:rPr>
          <w:rFonts w:hint="eastAsia"/>
        </w:rPr>
        <w:t>1.3 软件运行机制</w:t>
      </w:r>
      <w:bookmarkEnd w:id="29"/>
      <w:bookmarkEnd w:id="30"/>
      <w:bookmarkEnd w:id="31"/>
      <w:bookmarkEnd w:id="32"/>
    </w:p>
    <w:p>
      <w:pPr>
        <w:ind w:firstLine="420"/>
      </w:pPr>
      <w:r>
        <w:rPr>
          <w:rFonts w:hint="eastAsia"/>
        </w:rPr>
        <w:t>LANDMon可以连接到本地计算机上的LANDCore，也可以通过局域网/Internet连接到远程计算机上的LANDCore，从而实现对网络/本地的一致化操作。</w:t>
      </w:r>
    </w:p>
    <w:p>
      <w:pPr>
        <w:ind w:firstLine="420"/>
      </w:pPr>
      <w:r>
        <w:rPr>
          <w:rFonts w:hint="eastAsia"/>
        </w:rPr>
        <w:t>用户完成测试需要LANDCore.exe（控制内核）和LANDMon.exe（控制界面）共同完成。其中，LANDCore完成实际的测试控制；LANDMon仅仅是一个提供给用户的监控界面。当然，实际使用时，用户往往只感受到LANDMon即监控界面部分，LANDCore只是在后台默默无闻地运行着。</w:t>
      </w:r>
    </w:p>
    <w:p>
      <w:pPr>
        <w:ind w:firstLine="420"/>
      </w:pPr>
      <w:r>
        <w:rPr>
          <w:rFonts w:hint="eastAsia"/>
        </w:rPr>
        <w:t>LANDMon可以连接本地的LANDCore，此时实现的是本地控制。它表现几乎与以前的单机版软件完全相同。连接本地时，LANDMon会自动调用本地的LANDCore。</w:t>
      </w:r>
    </w:p>
    <w:p>
      <w:pPr>
        <w:ind w:firstLine="420"/>
      </w:pPr>
      <w:r>
        <w:rPr>
          <w:rFonts w:hint="eastAsia"/>
        </w:rPr>
        <w:t>LANDMon也可以连接远程的LANDCore，此时实现的是远程控制。这里的“远程”可以是附近的连接同一个局域网上的其它计算机，也可以是遥远的通过internet连接的其它计算机。</w:t>
      </w:r>
    </w:p>
    <w:p>
      <w:pPr>
        <w:pStyle w:val="4"/>
        <w:rPr>
          <w:rFonts w:hint="default"/>
        </w:rPr>
      </w:pPr>
      <w:bookmarkStart w:id="33" w:name="_Toc346203516"/>
      <w:bookmarkStart w:id="34" w:name="_Toc11392"/>
      <w:bookmarkStart w:id="35" w:name="_Toc346263473"/>
      <w:bookmarkStart w:id="36" w:name="_Toc28759"/>
      <w:r>
        <w:t>1.3.1 从LANDCore角度看</w:t>
      </w:r>
      <w:bookmarkEnd w:id="33"/>
      <w:bookmarkEnd w:id="34"/>
      <w:bookmarkEnd w:id="35"/>
      <w:bookmarkEnd w:id="36"/>
    </w:p>
    <w:p>
      <w:pPr>
        <w:spacing w:line="360" w:lineRule="atLeast"/>
        <w:ind w:left="-15" w:leftChars="-7" w:firstLine="14" w:firstLineChars="7"/>
        <w:rPr>
          <w:rFonts w:ascii="宋体" w:hAnsi="宋体"/>
          <w:color w:val="000000"/>
        </w:rPr>
      </w:pPr>
      <w:r>
        <w:rPr>
          <w:rFonts w:hint="eastAsia" w:ascii="宋体" w:hAnsi="宋体"/>
          <w:color w:val="000000"/>
        </w:rPr>
        <w:t xml:space="preserve">        </w:t>
      </w:r>
      <w:r>
        <w:rPr>
          <w:rFonts w:hint="eastAsia" w:ascii="宋体" w:hAnsi="宋体"/>
          <w:color w:val="000000"/>
        </w:rPr>
        <w:drawing>
          <wp:inline distT="0" distB="0" distL="114300" distR="114300">
            <wp:extent cx="5281930" cy="2401570"/>
            <wp:effectExtent l="0" t="0" r="13970" b="17780"/>
            <wp:docPr id="1" name="图片 1" descr="运行机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运行机制1"/>
                    <pic:cNvPicPr>
                      <a:picLocks noChangeAspect="1"/>
                    </pic:cNvPicPr>
                  </pic:nvPicPr>
                  <pic:blipFill>
                    <a:blip r:embed="rId13" cstate="print"/>
                    <a:srcRect t="-7952" r="617" b="987"/>
                    <a:stretch>
                      <a:fillRect/>
                    </a:stretch>
                  </pic:blipFill>
                  <pic:spPr>
                    <a:xfrm>
                      <a:off x="0" y="0"/>
                      <a:ext cx="5281930" cy="2401570"/>
                    </a:xfrm>
                    <a:prstGeom prst="rect">
                      <a:avLst/>
                    </a:prstGeom>
                    <a:noFill/>
                    <a:ln w="9525">
                      <a:noFill/>
                    </a:ln>
                  </pic:spPr>
                </pic:pic>
              </a:graphicData>
            </a:graphic>
          </wp:inline>
        </w:drawing>
      </w:r>
    </w:p>
    <w:p>
      <w:pPr>
        <w:pStyle w:val="19"/>
      </w:pPr>
      <w:r>
        <w:rPr>
          <w:rFonts w:hint="eastAsia"/>
        </w:rPr>
        <w:t>图1.1  LANDCore角度的网络构成</w:t>
      </w:r>
    </w:p>
    <w:p>
      <w:pPr>
        <w:ind w:firstLine="420"/>
      </w:pPr>
      <w:r>
        <w:rPr>
          <w:rFonts w:hint="eastAsia"/>
        </w:rPr>
        <w:t>除非用户限制，系统允许多个LANDMon同时连接到同一个LANDCore，如图1.1所示。</w:t>
      </w:r>
    </w:p>
    <w:p>
      <w:pPr>
        <w:pStyle w:val="4"/>
        <w:rPr>
          <w:rFonts w:hint="default"/>
        </w:rPr>
      </w:pPr>
      <w:bookmarkStart w:id="37" w:name="_Toc20686"/>
      <w:bookmarkStart w:id="38" w:name="_Toc346263474"/>
      <w:bookmarkStart w:id="39" w:name="_Toc28352"/>
      <w:bookmarkStart w:id="40" w:name="_Toc346203517"/>
      <w:r>
        <w:t>1.3.2 从LANDMon角度看</w:t>
      </w:r>
      <w:bookmarkEnd w:id="37"/>
      <w:bookmarkEnd w:id="38"/>
      <w:bookmarkEnd w:id="39"/>
      <w:bookmarkEnd w:id="40"/>
    </w:p>
    <w:p>
      <w:pPr>
        <w:spacing w:line="360" w:lineRule="atLeast"/>
        <w:ind w:left="-15" w:leftChars="-7" w:firstLine="14" w:firstLineChars="7"/>
        <w:rPr>
          <w:rFonts w:ascii="宋体" w:hAnsi="宋体"/>
          <w:color w:val="000000"/>
        </w:rPr>
      </w:pPr>
      <w:r>
        <w:rPr>
          <w:rFonts w:hint="eastAsia" w:ascii="宋体" w:hAnsi="宋体"/>
          <w:color w:val="000000"/>
        </w:rPr>
        <w:t xml:space="preserve">          </w:t>
      </w:r>
      <w:r>
        <w:rPr>
          <w:rFonts w:hint="eastAsia" w:ascii="宋体" w:hAnsi="宋体"/>
          <w:color w:val="000000"/>
        </w:rPr>
        <w:drawing>
          <wp:inline distT="0" distB="0" distL="114300" distR="114300">
            <wp:extent cx="5370830" cy="2505710"/>
            <wp:effectExtent l="0" t="0" r="1270" b="8255"/>
            <wp:docPr id="18" name="图片 2" descr="运行机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运行机制2"/>
                    <pic:cNvPicPr>
                      <a:picLocks noChangeAspect="1"/>
                    </pic:cNvPicPr>
                  </pic:nvPicPr>
                  <pic:blipFill>
                    <a:blip r:embed="rId14" cstate="print"/>
                    <a:srcRect t="-4350" r="29" b="-851"/>
                    <a:stretch>
                      <a:fillRect/>
                    </a:stretch>
                  </pic:blipFill>
                  <pic:spPr>
                    <a:xfrm>
                      <a:off x="0" y="0"/>
                      <a:ext cx="5370830" cy="2505710"/>
                    </a:xfrm>
                    <a:prstGeom prst="rect">
                      <a:avLst/>
                    </a:prstGeom>
                    <a:noFill/>
                    <a:ln w="9525">
                      <a:noFill/>
                    </a:ln>
                  </pic:spPr>
                </pic:pic>
              </a:graphicData>
            </a:graphic>
          </wp:inline>
        </w:drawing>
      </w:r>
    </w:p>
    <w:p>
      <w:pPr>
        <w:pStyle w:val="19"/>
      </w:pPr>
      <w:r>
        <w:rPr>
          <w:rFonts w:hint="eastAsia"/>
        </w:rPr>
        <w:t>图1.2  LANDMon角度的网络构成</w:t>
      </w:r>
    </w:p>
    <w:p>
      <w:pPr>
        <w:ind w:firstLine="420"/>
      </w:pPr>
      <w:r>
        <w:rPr>
          <w:rFonts w:hint="eastAsia"/>
        </w:rPr>
        <w:t>如图1.2所示，一个LANDMon也可以连接至多个LANDCore，但同一时刻只能保持连接到一个LANDCore；在存在多个可用的LANDCore情况下，LANDMon可以非常便捷地来回切换。</w:t>
      </w:r>
    </w:p>
    <w:p>
      <w:pPr>
        <w:pStyle w:val="3"/>
      </w:pPr>
      <w:bookmarkStart w:id="41" w:name="_Toc346263475"/>
      <w:bookmarkStart w:id="42" w:name="_Toc16757"/>
      <w:bookmarkStart w:id="43" w:name="_Toc346203518"/>
      <w:bookmarkStart w:id="44" w:name="_Toc25847"/>
      <w:bookmarkStart w:id="368" w:name="_GoBack"/>
      <w:bookmarkEnd w:id="368"/>
      <w:r>
        <w:rPr>
          <w:rFonts w:hint="eastAsia"/>
        </w:rPr>
        <w:t>1.4 典型测试布局</w:t>
      </w:r>
      <w:bookmarkEnd w:id="41"/>
      <w:bookmarkEnd w:id="42"/>
      <w:bookmarkEnd w:id="43"/>
      <w:bookmarkEnd w:id="44"/>
    </w:p>
    <w:p>
      <w:pPr>
        <w:pStyle w:val="4"/>
        <w:rPr>
          <w:rFonts w:hint="default"/>
        </w:rPr>
      </w:pPr>
      <w:bookmarkStart w:id="45" w:name="_Toc31081"/>
      <w:bookmarkStart w:id="46" w:name="_Toc346263476"/>
      <w:bookmarkStart w:id="47" w:name="_Toc346203519"/>
      <w:bookmarkStart w:id="48" w:name="_Toc15037"/>
      <w:r>
        <w:t>1.4.1 纯本地方式</w:t>
      </w:r>
      <w:bookmarkEnd w:id="45"/>
      <w:bookmarkEnd w:id="46"/>
      <w:bookmarkEnd w:id="47"/>
      <w:bookmarkEnd w:id="48"/>
    </w:p>
    <w:p>
      <w:pPr>
        <w:spacing w:line="360" w:lineRule="atLeast"/>
        <w:ind w:firstLine="420"/>
        <w:rPr>
          <w:rFonts w:ascii="宋体" w:hAnsi="宋体"/>
          <w:color w:val="000000"/>
        </w:rPr>
      </w:pPr>
      <w:r>
        <w:rPr>
          <w:rFonts w:hint="eastAsia" w:ascii="宋体" w:hAnsi="宋体"/>
          <w:color w:val="000000"/>
        </w:rPr>
        <w:t xml:space="preserve">                 </w:t>
      </w:r>
      <w:r>
        <w:rPr>
          <w:rFonts w:ascii="宋体" w:hAnsi="宋体"/>
          <w:color w:val="000000"/>
        </w:rPr>
        <w:drawing>
          <wp:inline distT="0" distB="0" distL="114300" distR="114300">
            <wp:extent cx="3740785" cy="2058670"/>
            <wp:effectExtent l="0" t="0" r="1206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srcRect t="596" r="60" b="359"/>
                    <a:stretch>
                      <a:fillRect/>
                    </a:stretch>
                  </pic:blipFill>
                  <pic:spPr>
                    <a:xfrm>
                      <a:off x="0" y="0"/>
                      <a:ext cx="3740785" cy="2058670"/>
                    </a:xfrm>
                    <a:prstGeom prst="rect">
                      <a:avLst/>
                    </a:prstGeom>
                    <a:noFill/>
                    <a:ln w="9525">
                      <a:noFill/>
                    </a:ln>
                  </pic:spPr>
                </pic:pic>
              </a:graphicData>
            </a:graphic>
          </wp:inline>
        </w:drawing>
      </w:r>
    </w:p>
    <w:p>
      <w:pPr>
        <w:pStyle w:val="19"/>
      </w:pPr>
      <w:r>
        <w:rPr>
          <w:rFonts w:hint="eastAsia"/>
        </w:rPr>
        <w:t>图1.3  纯文本方式简图</w:t>
      </w:r>
    </w:p>
    <w:p>
      <w:pPr>
        <w:ind w:firstLine="420"/>
      </w:pPr>
      <w:r>
        <w:rPr>
          <w:rFonts w:hint="eastAsia"/>
        </w:rPr>
        <w:t>如图1.3所示，这种方式是纯粹的本地方式。此时，您完全可以将LANDMon和LANDCore视为一个整体来看待。</w:t>
      </w:r>
    </w:p>
    <w:p>
      <w:pPr>
        <w:pStyle w:val="4"/>
        <w:rPr>
          <w:rFonts w:hint="default"/>
        </w:rPr>
      </w:pPr>
      <w:bookmarkStart w:id="49" w:name="_Toc3078"/>
      <w:bookmarkStart w:id="50" w:name="_Toc346203520"/>
      <w:bookmarkStart w:id="51" w:name="_Toc346263477"/>
      <w:bookmarkStart w:id="52" w:name="_Toc10714"/>
      <w:r>
        <w:t>1.4.2 局域网方式</w:t>
      </w:r>
      <w:bookmarkEnd w:id="49"/>
      <w:bookmarkEnd w:id="50"/>
      <w:bookmarkEnd w:id="51"/>
      <w:bookmarkEnd w:id="52"/>
    </w:p>
    <w:p>
      <w:pPr>
        <w:spacing w:line="360" w:lineRule="atLeast"/>
        <w:ind w:left="-15" w:leftChars="-7" w:firstLine="14" w:firstLineChars="7"/>
        <w:jc w:val="center"/>
        <w:rPr>
          <w:rFonts w:ascii="宋体" w:hAnsi="宋体"/>
          <w:color w:val="000000"/>
        </w:rPr>
      </w:pPr>
      <w:r>
        <w:rPr>
          <w:rFonts w:hint="eastAsia" w:ascii="宋体" w:hAnsi="宋体"/>
          <w:color w:val="000000"/>
        </w:rPr>
        <w:drawing>
          <wp:inline distT="0" distB="0" distL="114300" distR="114300">
            <wp:extent cx="3926205" cy="2397125"/>
            <wp:effectExtent l="0" t="0" r="17145" b="31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cstate="print"/>
                    <a:stretch>
                      <a:fillRect/>
                    </a:stretch>
                  </pic:blipFill>
                  <pic:spPr>
                    <a:xfrm>
                      <a:off x="0" y="0"/>
                      <a:ext cx="3926205" cy="2397125"/>
                    </a:xfrm>
                    <a:prstGeom prst="rect">
                      <a:avLst/>
                    </a:prstGeom>
                    <a:noFill/>
                    <a:ln w="9525">
                      <a:noFill/>
                    </a:ln>
                  </pic:spPr>
                </pic:pic>
              </a:graphicData>
            </a:graphic>
          </wp:inline>
        </w:drawing>
      </w:r>
    </w:p>
    <w:p>
      <w:pPr>
        <w:pStyle w:val="19"/>
      </w:pPr>
      <w:r>
        <w:rPr>
          <w:rFonts w:hint="eastAsia"/>
        </w:rPr>
        <w:t>图1.4  局域网方式简图</w:t>
      </w:r>
    </w:p>
    <w:p>
      <w:pPr>
        <w:ind w:firstLine="420"/>
      </w:pPr>
      <w:r>
        <w:rPr>
          <w:rFonts w:hint="eastAsia"/>
        </w:rPr>
        <w:t>如图1.4，只是将测试用的计算机小范围联网，通常为局域网。它的优点是操作人员可以在其中任意一台或其中几台计算机上实现对所有的测试设备的测试操作，避免操作人员在各个计算机之间来回穿梭；并且，允许几个操作人员同时在不同计算机上对某一台计算机上连接的测试设备进行操作测试操作，方便灵活。</w:t>
      </w:r>
    </w:p>
    <w:p>
      <w:pPr>
        <w:pStyle w:val="4"/>
        <w:rPr>
          <w:rFonts w:hint="default"/>
        </w:rPr>
      </w:pPr>
      <w:bookmarkStart w:id="53" w:name="_Toc346203521"/>
      <w:bookmarkStart w:id="54" w:name="_Toc1209"/>
      <w:bookmarkStart w:id="55" w:name="_Toc346263478"/>
      <w:bookmarkStart w:id="56" w:name="_Toc21923"/>
      <w:r>
        <w:t>1.4.3 典型联网方式</w:t>
      </w:r>
      <w:bookmarkEnd w:id="53"/>
      <w:bookmarkEnd w:id="54"/>
      <w:bookmarkEnd w:id="55"/>
      <w:bookmarkEnd w:id="56"/>
    </w:p>
    <w:p>
      <w:pPr>
        <w:spacing w:line="360" w:lineRule="atLeast"/>
        <w:ind w:left="-15" w:leftChars="-7" w:firstLine="14" w:firstLineChars="7"/>
        <w:jc w:val="center"/>
        <w:rPr>
          <w:rFonts w:ascii="宋体" w:hAnsi="宋体"/>
          <w:color w:val="000000"/>
        </w:rPr>
      </w:pPr>
      <w:r>
        <w:rPr>
          <w:rFonts w:hint="eastAsia" w:ascii="宋体" w:hAnsi="宋体"/>
          <w:color w:val="000000"/>
        </w:rPr>
        <w:drawing>
          <wp:inline distT="0" distB="0" distL="114300" distR="114300">
            <wp:extent cx="4723130" cy="1976755"/>
            <wp:effectExtent l="0" t="0" r="1270" b="444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cstate="print"/>
                    <a:srcRect r="2759" b="11336"/>
                    <a:stretch>
                      <a:fillRect/>
                    </a:stretch>
                  </pic:blipFill>
                  <pic:spPr>
                    <a:xfrm>
                      <a:off x="0" y="0"/>
                      <a:ext cx="4723130" cy="1976755"/>
                    </a:xfrm>
                    <a:prstGeom prst="rect">
                      <a:avLst/>
                    </a:prstGeom>
                    <a:noFill/>
                    <a:ln w="9525">
                      <a:noFill/>
                    </a:ln>
                  </pic:spPr>
                </pic:pic>
              </a:graphicData>
            </a:graphic>
          </wp:inline>
        </w:drawing>
      </w:r>
    </w:p>
    <w:p>
      <w:pPr>
        <w:pStyle w:val="19"/>
      </w:pPr>
      <w:r>
        <w:rPr>
          <w:rFonts w:hint="eastAsia"/>
        </w:rPr>
        <w:t>图1.5  典型联网方式简图</w:t>
      </w:r>
    </w:p>
    <w:p>
      <w:pPr>
        <w:ind w:firstLine="420"/>
      </w:pPr>
      <w:r>
        <w:rPr>
          <w:rFonts w:hint="eastAsia"/>
        </w:rPr>
        <w:t>如图1.5，“典型联网方式”在“局域网方式”的基础上增加其它计算机接入许可（用于查看或者测试操作等）。它支持您通过局域网在办公室或者通过Internet在家中或出差外地关注或管理操作您的测试。</w:t>
      </w:r>
    </w:p>
    <w:p>
      <w:pPr>
        <w:pStyle w:val="4"/>
        <w:rPr>
          <w:rFonts w:hint="default"/>
        </w:rPr>
      </w:pPr>
      <w:bookmarkStart w:id="57" w:name="_Toc10545"/>
      <w:bookmarkStart w:id="58" w:name="_Toc346263479"/>
      <w:bookmarkStart w:id="59" w:name="_Toc346203522"/>
      <w:bookmarkStart w:id="60" w:name="_Toc18327"/>
      <w:r>
        <w:t>1.4.4 “最经济”联网方式</w:t>
      </w:r>
      <w:bookmarkEnd w:id="57"/>
      <w:bookmarkEnd w:id="58"/>
      <w:bookmarkEnd w:id="59"/>
      <w:bookmarkEnd w:id="60"/>
    </w:p>
    <w:p>
      <w:pPr>
        <w:spacing w:line="360" w:lineRule="atLeast"/>
        <w:ind w:left="-15" w:leftChars="-7" w:firstLine="14" w:firstLineChars="7"/>
        <w:jc w:val="center"/>
        <w:rPr>
          <w:rFonts w:ascii="宋体" w:hAnsi="宋体"/>
          <w:color w:val="000000"/>
        </w:rPr>
      </w:pPr>
      <w:r>
        <w:rPr>
          <w:rFonts w:ascii="宋体" w:hAnsi="宋体"/>
          <w:color w:val="000000"/>
        </w:rPr>
        <w:drawing>
          <wp:inline distT="0" distB="0" distL="114300" distR="114300">
            <wp:extent cx="4925060" cy="2145665"/>
            <wp:effectExtent l="0" t="0" r="8890" b="6985"/>
            <wp:docPr id="5" name="图片 6" descr="系统结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系统结构4"/>
                    <pic:cNvPicPr>
                      <a:picLocks noChangeAspect="1"/>
                    </pic:cNvPicPr>
                  </pic:nvPicPr>
                  <pic:blipFill>
                    <a:blip r:embed="rId18" cstate="print"/>
                    <a:srcRect r="1097" b="10514"/>
                    <a:stretch>
                      <a:fillRect/>
                    </a:stretch>
                  </pic:blipFill>
                  <pic:spPr>
                    <a:xfrm>
                      <a:off x="0" y="0"/>
                      <a:ext cx="4925060" cy="2145665"/>
                    </a:xfrm>
                    <a:prstGeom prst="rect">
                      <a:avLst/>
                    </a:prstGeom>
                    <a:noFill/>
                    <a:ln w="9525">
                      <a:noFill/>
                    </a:ln>
                  </pic:spPr>
                </pic:pic>
              </a:graphicData>
            </a:graphic>
          </wp:inline>
        </w:drawing>
      </w:r>
    </w:p>
    <w:p>
      <w:pPr>
        <w:pStyle w:val="19"/>
        <w:rPr>
          <w:rFonts w:ascii="宋体" w:hAnsi="宋体"/>
          <w:color w:val="000000"/>
          <w:szCs w:val="18"/>
        </w:rPr>
      </w:pPr>
      <w:r>
        <w:rPr>
          <w:rFonts w:hint="eastAsia"/>
        </w:rPr>
        <w:t>图1.6  “最经济”联网方式简图</w:t>
      </w:r>
    </w:p>
    <w:p>
      <w:pPr>
        <w:ind w:firstLine="420"/>
      </w:pPr>
      <w:r>
        <w:rPr>
          <w:rFonts w:hint="eastAsia"/>
        </w:rPr>
        <w:t>如图1.6，“‘最经济’联网方式”与“典型联网方式”有些类似，但也有明显的不同。通常所有的计算机都处于同一个局域网内部。它的经济性表现在：参与直接控制计算机是精简配置的，即不需要配置显示器、键盘等直接与用户打交道的输入输出设备，它本质上已经退化为“中位机”。测试操作员通过另外的一台或少许的几台计算机进行测试操作。</w:t>
      </w:r>
    </w:p>
    <w:p>
      <w:pPr>
        <w:ind w:firstLine="420"/>
      </w:pPr>
      <w:r>
        <w:rPr>
          <w:rFonts w:hint="eastAsia"/>
        </w:rPr>
        <w:t>事实上，实际使用的测试布局可以任意混合使用上述各种方式。而对于具体的网络布局细节，测试系统则不做任何限制。</w:t>
      </w:r>
    </w:p>
    <w:p>
      <w:pPr>
        <w:pStyle w:val="2"/>
        <w:ind w:firstLine="600"/>
        <w:sectPr>
          <w:footerReference r:id="rId11" w:type="default"/>
          <w:pgSz w:w="11907" w:h="16839"/>
          <w:pgMar w:top="1134" w:right="1077" w:bottom="1134" w:left="1077" w:header="567" w:footer="567" w:gutter="0"/>
          <w:cols w:space="720" w:num="1"/>
          <w:docGrid w:type="lines" w:linePitch="340" w:charSpace="0"/>
        </w:sectPr>
      </w:pPr>
      <w:bookmarkStart w:id="61" w:name="_Toc309827050"/>
      <w:bookmarkStart w:id="62" w:name="_Toc346203523"/>
      <w:bookmarkStart w:id="63" w:name="_Toc309909403"/>
      <w:bookmarkStart w:id="64" w:name="_Toc309908744"/>
      <w:bookmarkStart w:id="65" w:name="_Toc309736559"/>
      <w:bookmarkStart w:id="66" w:name="_Toc309907549"/>
      <w:bookmarkStart w:id="67" w:name="_Toc309374925"/>
      <w:bookmarkStart w:id="68" w:name="_Toc309742572"/>
      <w:bookmarkStart w:id="69" w:name="_Toc310587708"/>
      <w:bookmarkStart w:id="70" w:name="_Toc346263480"/>
      <w:bookmarkStart w:id="71" w:name="_Toc28548"/>
    </w:p>
    <w:p>
      <w:pPr>
        <w:pStyle w:val="2"/>
        <w:ind w:firstLine="600"/>
      </w:pPr>
      <w:bookmarkStart w:id="72" w:name="_Toc12225"/>
      <w:r>
        <w:rPr>
          <w:rFonts w:hint="eastAsia"/>
        </w:rPr>
        <w:t>第二章 软件</w:t>
      </w:r>
      <w:bookmarkEnd w:id="61"/>
      <w:bookmarkEnd w:id="62"/>
      <w:bookmarkEnd w:id="63"/>
      <w:bookmarkEnd w:id="64"/>
      <w:bookmarkEnd w:id="65"/>
      <w:bookmarkEnd w:id="66"/>
      <w:bookmarkEnd w:id="67"/>
      <w:bookmarkEnd w:id="68"/>
      <w:bookmarkEnd w:id="69"/>
      <w:bookmarkEnd w:id="70"/>
      <w:r>
        <w:rPr>
          <w:rFonts w:hint="eastAsia"/>
        </w:rPr>
        <w:t>界面导航</w:t>
      </w:r>
      <w:bookmarkEnd w:id="71"/>
      <w:bookmarkEnd w:id="72"/>
    </w:p>
    <w:p>
      <w:pPr>
        <w:ind w:firstLine="420"/>
      </w:pPr>
      <w:r>
        <w:rPr>
          <w:rFonts w:hint="eastAsia"/>
        </w:rPr>
        <w:t>双击WINDOWS桌面上的“蓝电监控LANDMon”快捷图标（或者依次点击“Windows‘开始’&gt;所有程序&gt;蓝电监控LANDMon”）启动软件。</w:t>
      </w:r>
    </w:p>
    <w:p>
      <w:pPr>
        <w:ind w:firstLine="420"/>
      </w:pPr>
      <w:r>
        <w:rPr>
          <w:rFonts w:hint="eastAsia"/>
        </w:rPr>
        <w:t>LANDMon启动后主界面如图2.1所示。</w:t>
      </w:r>
    </w:p>
    <w:p>
      <w:pPr>
        <w:spacing w:line="240" w:lineRule="auto"/>
        <w:ind w:firstLine="0" w:firstLineChars="0"/>
        <w:rPr>
          <w:rFonts w:ascii="宋体" w:hAnsi="宋体"/>
          <w:color w:val="000000"/>
        </w:rPr>
      </w:pPr>
      <w:r>
        <w:drawing>
          <wp:inline distT="0" distB="0" distL="114300" distR="114300">
            <wp:extent cx="6286500" cy="3090545"/>
            <wp:effectExtent l="0" t="0" r="0" b="1460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9" cstate="print"/>
                    <a:stretch>
                      <a:fillRect/>
                    </a:stretch>
                  </pic:blipFill>
                  <pic:spPr>
                    <a:xfrm>
                      <a:off x="0" y="0"/>
                      <a:ext cx="6286500" cy="3090545"/>
                    </a:xfrm>
                    <a:prstGeom prst="rect">
                      <a:avLst/>
                    </a:prstGeom>
                    <a:noFill/>
                    <a:ln w="9525">
                      <a:noFill/>
                    </a:ln>
                  </pic:spPr>
                </pic:pic>
              </a:graphicData>
            </a:graphic>
          </wp:inline>
        </w:drawing>
      </w:r>
    </w:p>
    <w:p>
      <w:pPr>
        <w:pStyle w:val="19"/>
      </w:pPr>
      <w:r>
        <w:rPr>
          <w:rFonts w:hint="eastAsia"/>
        </w:rPr>
        <w:t xml:space="preserve">图2.1  LANDMon主界面 </w:t>
      </w:r>
      <w:bookmarkStart w:id="73" w:name="_Toc309742573"/>
      <w:bookmarkStart w:id="74" w:name="_Toc309907550"/>
      <w:bookmarkStart w:id="75" w:name="_Toc309827051"/>
      <w:bookmarkStart w:id="76" w:name="_Toc309908745"/>
      <w:bookmarkStart w:id="77" w:name="_Toc309909404"/>
      <w:bookmarkStart w:id="78" w:name="_Toc309374926"/>
      <w:bookmarkStart w:id="79" w:name="_Toc309736560"/>
      <w:bookmarkStart w:id="80" w:name="_Toc310587709"/>
    </w:p>
    <w:p>
      <w:pPr>
        <w:pStyle w:val="3"/>
      </w:pPr>
      <w:bookmarkStart w:id="81" w:name="_Toc346203524"/>
      <w:bookmarkStart w:id="82" w:name="_Toc9063"/>
      <w:bookmarkStart w:id="83" w:name="_Toc8965"/>
      <w:bookmarkStart w:id="84" w:name="_Toc346263481"/>
      <w:r>
        <w:rPr>
          <w:rFonts w:hint="eastAsia"/>
        </w:rPr>
        <w:t>2.1 菜单</w:t>
      </w:r>
      <w:bookmarkEnd w:id="73"/>
      <w:bookmarkEnd w:id="74"/>
      <w:bookmarkEnd w:id="75"/>
      <w:bookmarkEnd w:id="76"/>
      <w:bookmarkEnd w:id="77"/>
      <w:bookmarkEnd w:id="78"/>
      <w:bookmarkEnd w:id="79"/>
      <w:bookmarkEnd w:id="80"/>
      <w:r>
        <w:rPr>
          <w:rFonts w:hint="eastAsia"/>
        </w:rPr>
        <w:t>栏</w:t>
      </w:r>
      <w:bookmarkEnd w:id="81"/>
      <w:bookmarkEnd w:id="82"/>
      <w:bookmarkEnd w:id="83"/>
      <w:bookmarkEnd w:id="84"/>
    </w:p>
    <w:p>
      <w:pPr>
        <w:ind w:firstLine="420"/>
      </w:pPr>
      <w:r>
        <w:rPr>
          <w:rFonts w:hint="eastAsia"/>
        </w:rPr>
        <w:t>菜单栏如图2.2所示。</w:t>
      </w:r>
    </w:p>
    <w:p>
      <w:pPr>
        <w:pStyle w:val="40"/>
        <w:spacing w:line="460" w:lineRule="atLeast"/>
        <w:ind w:firstLine="420"/>
        <w:rPr>
          <w:rFonts w:ascii="宋体" w:hAnsi="宋体"/>
          <w:color w:val="000000"/>
        </w:rPr>
      </w:pPr>
      <w:r>
        <w:drawing>
          <wp:inline distT="0" distB="0" distL="114300" distR="114300">
            <wp:extent cx="5569585" cy="462915"/>
            <wp:effectExtent l="0" t="0" r="12065" b="1333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20" cstate="print"/>
                    <a:srcRect r="713" b="8302"/>
                    <a:stretch>
                      <a:fillRect/>
                    </a:stretch>
                  </pic:blipFill>
                  <pic:spPr>
                    <a:xfrm>
                      <a:off x="0" y="0"/>
                      <a:ext cx="5569585" cy="462915"/>
                    </a:xfrm>
                    <a:prstGeom prst="rect">
                      <a:avLst/>
                    </a:prstGeom>
                    <a:noFill/>
                    <a:ln w="9525">
                      <a:noFill/>
                    </a:ln>
                  </pic:spPr>
                </pic:pic>
              </a:graphicData>
            </a:graphic>
          </wp:inline>
        </w:drawing>
      </w:r>
    </w:p>
    <w:p>
      <w:pPr>
        <w:pStyle w:val="19"/>
      </w:pPr>
      <w:r>
        <w:rPr>
          <w:rFonts w:hint="eastAsia"/>
        </w:rPr>
        <w:t>图2.2  菜单栏</w:t>
      </w:r>
    </w:p>
    <w:p>
      <w:pPr>
        <w:pStyle w:val="4"/>
        <w:rPr>
          <w:rFonts w:hint="default"/>
        </w:rPr>
      </w:pPr>
      <w:bookmarkStart w:id="85" w:name="_Toc20484"/>
      <w:bookmarkStart w:id="86" w:name="_Toc309909405"/>
      <w:bookmarkStart w:id="87" w:name="_Toc20855"/>
      <w:bookmarkStart w:id="88" w:name="_Toc346263482"/>
      <w:bookmarkStart w:id="89" w:name="_Toc309742574"/>
      <w:bookmarkStart w:id="90" w:name="_Toc309908746"/>
      <w:bookmarkStart w:id="91" w:name="_Toc309374927"/>
      <w:bookmarkStart w:id="92" w:name="_Toc346203525"/>
      <w:bookmarkStart w:id="93" w:name="_Toc309827052"/>
      <w:bookmarkStart w:id="94" w:name="_Toc310587710"/>
      <w:bookmarkStart w:id="95" w:name="_Toc309736561"/>
      <w:bookmarkStart w:id="96" w:name="_Toc309907551"/>
      <w:r>
        <w:t>2.1.1 “网络”菜单</w:t>
      </w:r>
      <w:bookmarkEnd w:id="85"/>
      <w:bookmarkEnd w:id="86"/>
      <w:bookmarkEnd w:id="87"/>
      <w:bookmarkEnd w:id="88"/>
      <w:bookmarkEnd w:id="89"/>
      <w:bookmarkEnd w:id="90"/>
      <w:bookmarkEnd w:id="91"/>
      <w:bookmarkEnd w:id="92"/>
      <w:bookmarkEnd w:id="93"/>
      <w:bookmarkEnd w:id="94"/>
      <w:bookmarkEnd w:id="95"/>
      <w:bookmarkEnd w:id="96"/>
    </w:p>
    <w:p>
      <w:pPr>
        <w:ind w:firstLine="420"/>
      </w:pPr>
      <w:r>
        <w:rPr>
          <w:rFonts w:hint="eastAsia"/>
        </w:rPr>
        <w:t>“网络(N)”菜单如图2.3所示。</w:t>
      </w:r>
    </w:p>
    <w:p>
      <w:pPr>
        <w:ind w:firstLine="420"/>
      </w:pPr>
      <w:r>
        <w:rPr>
          <w:rFonts w:hint="eastAsia"/>
        </w:rPr>
        <w:t>其中，菜单项“连接(C)...”与“断开(D)”为一对相反操作，若LANDMon与LANDCore处于断开状态，则“连接(C)...”项激活且“断开”项无效（灰色显示）；反之，则“连接(C)...” 项无效（灰色显示）且“断开”项激活。</w:t>
      </w:r>
    </w:p>
    <w:p>
      <w:pPr>
        <w:spacing w:line="240" w:lineRule="auto"/>
        <w:ind w:firstLine="0" w:firstLineChars="0"/>
        <w:rPr>
          <w:rFonts w:ascii="宋体" w:hAnsi="宋体"/>
          <w:color w:val="000000"/>
        </w:rPr>
      </w:pPr>
      <w:r>
        <w:rPr>
          <w:rFonts w:hint="eastAsia"/>
        </w:rPr>
        <w:t xml:space="preserve">            </w:t>
      </w:r>
      <w:r>
        <w:drawing>
          <wp:inline distT="0" distB="0" distL="114300" distR="114300">
            <wp:extent cx="4523740" cy="2106295"/>
            <wp:effectExtent l="0" t="0" r="10160"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1" cstate="print"/>
                    <a:srcRect r="28655" b="6379"/>
                    <a:stretch>
                      <a:fillRect/>
                    </a:stretch>
                  </pic:blipFill>
                  <pic:spPr>
                    <a:xfrm>
                      <a:off x="0" y="0"/>
                      <a:ext cx="4523740" cy="2106295"/>
                    </a:xfrm>
                    <a:prstGeom prst="rect">
                      <a:avLst/>
                    </a:prstGeom>
                    <a:noFill/>
                    <a:ln w="9525">
                      <a:noFill/>
                    </a:ln>
                  </pic:spPr>
                </pic:pic>
              </a:graphicData>
            </a:graphic>
          </wp:inline>
        </w:drawing>
      </w:r>
    </w:p>
    <w:p>
      <w:pPr>
        <w:pStyle w:val="19"/>
      </w:pPr>
      <w:r>
        <w:rPr>
          <w:rFonts w:hint="eastAsia"/>
        </w:rPr>
        <w:t>图2.3  网络菜单之连接本地内核状态</w:t>
      </w:r>
    </w:p>
    <w:p>
      <w:pPr>
        <w:ind w:firstLine="420"/>
      </w:pPr>
      <w:r>
        <w:rPr>
          <w:rFonts w:hint="eastAsia"/>
        </w:rPr>
        <w:t>当LANDMon与LANDCore（即界面与内核）处于断开状态时，选择“网络(N)&gt;连接(C)...”，弹出图2.4所示的窗口。</w:t>
      </w:r>
    </w:p>
    <w:p>
      <w:pPr>
        <w:pStyle w:val="40"/>
        <w:spacing w:line="360" w:lineRule="atLeast"/>
        <w:ind w:firstLine="420"/>
        <w:rPr>
          <w:rFonts w:ascii="宋体" w:hAnsi="宋体"/>
          <w:color w:val="000000"/>
        </w:rPr>
      </w:pPr>
      <w:r>
        <w:rPr>
          <w:rFonts w:hint="eastAsia"/>
        </w:rPr>
        <w:t xml:space="preserve">                         </w:t>
      </w:r>
      <w:r>
        <w:drawing>
          <wp:inline distT="0" distB="0" distL="114300" distR="114300">
            <wp:extent cx="2445385" cy="1577340"/>
            <wp:effectExtent l="0" t="0" r="12065" b="381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2" cstate="print"/>
                    <a:stretch>
                      <a:fillRect/>
                    </a:stretch>
                  </pic:blipFill>
                  <pic:spPr>
                    <a:xfrm>
                      <a:off x="0" y="0"/>
                      <a:ext cx="2445385" cy="1577340"/>
                    </a:xfrm>
                    <a:prstGeom prst="rect">
                      <a:avLst/>
                    </a:prstGeom>
                    <a:noFill/>
                    <a:ln w="9525">
                      <a:noFill/>
                    </a:ln>
                  </pic:spPr>
                </pic:pic>
              </a:graphicData>
            </a:graphic>
          </wp:inline>
        </w:drawing>
      </w:r>
    </w:p>
    <w:p>
      <w:pPr>
        <w:pStyle w:val="19"/>
      </w:pPr>
      <w:r>
        <w:rPr>
          <w:rFonts w:hint="eastAsia"/>
        </w:rPr>
        <w:t xml:space="preserve">图2.4  </w:t>
      </w:r>
      <w:r>
        <w:t>“</w:t>
      </w:r>
      <w:r>
        <w:rPr>
          <w:rFonts w:hint="eastAsia"/>
        </w:rPr>
        <w:t>连接</w:t>
      </w:r>
      <w:r>
        <w:t>”</w:t>
      </w:r>
      <w:r>
        <w:rPr>
          <w:rFonts w:hint="eastAsia"/>
        </w:rPr>
        <w:t>窗口</w:t>
      </w:r>
    </w:p>
    <w:p>
      <w:pPr>
        <w:ind w:firstLine="420"/>
      </w:pPr>
      <w:r>
        <w:rPr>
          <w:rFonts w:hint="eastAsia"/>
        </w:rPr>
        <w:t>这里，如果选中“自动连接”复选框，则下次运行LANDMon时，将自动按当前的设置建立连接。</w:t>
      </w:r>
    </w:p>
    <w:p>
      <w:pPr>
        <w:ind w:firstLine="420"/>
      </w:pPr>
      <w:r>
        <w:rPr>
          <w:rFonts w:hint="eastAsia"/>
        </w:rPr>
        <w:t>●选择“本地”，直接点击“连接”按钮，可将LANDMon与本地内核（LANDCore）相连。</w:t>
      </w:r>
    </w:p>
    <w:p>
      <w:pPr>
        <w:ind w:firstLine="420"/>
      </w:pPr>
      <w:r>
        <w:rPr>
          <w:rFonts w:hint="eastAsia"/>
        </w:rPr>
        <w:t>此时，“网络菜单”下的“察看本地连接(L)...”、“设置本地密码(P)...”和“本地接受远程连接(A)...” 项激活，“远程管理”下所有的菜单项无效（灰色显示），如图2.5所示。</w:t>
      </w:r>
    </w:p>
    <w:p>
      <w:pPr>
        <w:spacing w:line="240" w:lineRule="auto"/>
        <w:ind w:firstLine="420"/>
        <w:rPr>
          <w:rFonts w:ascii="宋体" w:hAnsi="宋体"/>
          <w:color w:val="000000"/>
        </w:rPr>
      </w:pPr>
      <w:r>
        <w:rPr>
          <w:rFonts w:hint="eastAsia"/>
        </w:rPr>
        <w:t xml:space="preserve">     </w:t>
      </w:r>
      <w:r>
        <w:drawing>
          <wp:inline distT="0" distB="0" distL="114300" distR="114300">
            <wp:extent cx="4844415" cy="2468245"/>
            <wp:effectExtent l="0" t="0" r="13335" b="825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3" cstate="print"/>
                    <a:stretch>
                      <a:fillRect/>
                    </a:stretch>
                  </pic:blipFill>
                  <pic:spPr>
                    <a:xfrm>
                      <a:off x="0" y="0"/>
                      <a:ext cx="4844415" cy="2468245"/>
                    </a:xfrm>
                    <a:prstGeom prst="rect">
                      <a:avLst/>
                    </a:prstGeom>
                    <a:noFill/>
                    <a:ln w="9525">
                      <a:noFill/>
                    </a:ln>
                  </pic:spPr>
                </pic:pic>
              </a:graphicData>
            </a:graphic>
          </wp:inline>
        </w:drawing>
      </w:r>
    </w:p>
    <w:p>
      <w:pPr>
        <w:pStyle w:val="19"/>
      </w:pPr>
      <w:r>
        <w:rPr>
          <w:rFonts w:hint="eastAsia"/>
        </w:rPr>
        <w:t>图2.5  连接本地LANDCore时的网络菜单</w:t>
      </w:r>
    </w:p>
    <w:p>
      <w:pPr>
        <w:ind w:firstLine="420"/>
      </w:pPr>
      <w:r>
        <w:rPr>
          <w:rFonts w:hint="eastAsia"/>
        </w:rPr>
        <w:t>●选择“网络（TCP/IP）”，可通过TCP/IP协议将LANDMon与远程内核，即远程计算机中的控制内核（LANDCore）相连接。</w:t>
      </w:r>
    </w:p>
    <w:p>
      <w:pPr>
        <w:ind w:firstLine="420"/>
      </w:pPr>
      <w:r>
        <w:rPr>
          <w:rFonts w:hint="eastAsia"/>
        </w:rPr>
        <w:t>登录（连接）到远程内核时，需要进行身份验证。身份验证对话框如图2.6所示。</w:t>
      </w:r>
    </w:p>
    <w:p>
      <w:pPr>
        <w:spacing w:line="240" w:lineRule="auto"/>
        <w:ind w:firstLine="420"/>
        <w:rPr>
          <w:rFonts w:ascii="宋体" w:hAnsi="宋体"/>
          <w:color w:val="000000"/>
        </w:rPr>
      </w:pPr>
      <w:r>
        <w:rPr>
          <w:rFonts w:hint="eastAsia"/>
        </w:rPr>
        <w:t xml:space="preserve">                            </w:t>
      </w:r>
      <w:r>
        <w:drawing>
          <wp:inline distT="0" distB="0" distL="114300" distR="114300">
            <wp:extent cx="2328545" cy="2466975"/>
            <wp:effectExtent l="0" t="0" r="14605" b="952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4" cstate="print"/>
                    <a:stretch>
                      <a:fillRect/>
                    </a:stretch>
                  </pic:blipFill>
                  <pic:spPr>
                    <a:xfrm>
                      <a:off x="0" y="0"/>
                      <a:ext cx="2328545" cy="2466975"/>
                    </a:xfrm>
                    <a:prstGeom prst="rect">
                      <a:avLst/>
                    </a:prstGeom>
                    <a:noFill/>
                    <a:ln w="9525">
                      <a:noFill/>
                    </a:ln>
                  </pic:spPr>
                </pic:pic>
              </a:graphicData>
            </a:graphic>
          </wp:inline>
        </w:drawing>
      </w:r>
    </w:p>
    <w:p>
      <w:pPr>
        <w:pStyle w:val="19"/>
      </w:pPr>
      <w:r>
        <w:rPr>
          <w:rFonts w:hint="eastAsia"/>
        </w:rPr>
        <w:t>图2.6  连接远程内核</w:t>
      </w:r>
    </w:p>
    <w:p>
      <w:pPr>
        <w:ind w:firstLine="420"/>
      </w:pPr>
      <w:r>
        <w:rPr>
          <w:rFonts w:hint="eastAsia"/>
        </w:rPr>
        <w:t>如果远程计算机与本地计算机处于同一局域网内，则在“连接到”框内指定远程计算机时，可以键入其“主机名”，也可以键入其“IP地址”；</w:t>
      </w:r>
    </w:p>
    <w:p>
      <w:pPr>
        <w:ind w:firstLine="420"/>
      </w:pPr>
      <w:r>
        <w:rPr>
          <w:rFonts w:hint="eastAsia"/>
        </w:rPr>
        <w:t>如果远程计算机与本地计算机不在同一局域网内，则只能通过Internet建立远程连接，即“连接到”框内只能键入远程计算机的IP地址。</w:t>
      </w:r>
    </w:p>
    <w:p>
      <w:pPr>
        <w:ind w:firstLine="420"/>
      </w:pPr>
      <w:r>
        <w:rPr>
          <w:rFonts w:hint="eastAsia"/>
        </w:rPr>
        <w:t>特别提示：LANDMon在初次加载网络接口时，如果防火墙弹出询问窗口，请选择“解除阻止”或者“允许”等同意方面的选择项，允许软件访问网络(即使只在局域网内使用)。</w:t>
      </w:r>
    </w:p>
    <w:p>
      <w:pPr>
        <w:ind w:firstLine="420"/>
      </w:pPr>
      <w:r>
        <w:rPr>
          <w:rFonts w:hint="eastAsia"/>
        </w:rPr>
        <w:t>远程连接建立后的 “远程管理”菜单如图2.7所示。</w:t>
      </w:r>
    </w:p>
    <w:p>
      <w:pPr>
        <w:spacing w:line="240" w:lineRule="auto"/>
        <w:ind w:firstLine="420"/>
      </w:pPr>
      <w:r>
        <w:rPr>
          <w:rFonts w:hint="eastAsia"/>
        </w:rPr>
        <w:t xml:space="preserve">                     </w:t>
      </w:r>
      <w:r>
        <w:drawing>
          <wp:inline distT="0" distB="0" distL="114300" distR="114300">
            <wp:extent cx="2797810" cy="2078990"/>
            <wp:effectExtent l="0" t="0" r="2540" b="1651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5" cstate="print"/>
                    <a:srcRect r="27850" b="1755"/>
                    <a:stretch>
                      <a:fillRect/>
                    </a:stretch>
                  </pic:blipFill>
                  <pic:spPr>
                    <a:xfrm>
                      <a:off x="0" y="0"/>
                      <a:ext cx="2797810" cy="2078990"/>
                    </a:xfrm>
                    <a:prstGeom prst="rect">
                      <a:avLst/>
                    </a:prstGeom>
                    <a:noFill/>
                    <a:ln w="9525">
                      <a:noFill/>
                    </a:ln>
                  </pic:spPr>
                </pic:pic>
              </a:graphicData>
            </a:graphic>
          </wp:inline>
        </w:drawing>
      </w:r>
    </w:p>
    <w:p>
      <w:pPr>
        <w:pStyle w:val="19"/>
      </w:pPr>
      <w:r>
        <w:rPr>
          <w:rFonts w:hint="eastAsia"/>
        </w:rPr>
        <w:t>图2.7  远程连接建立后的“远程管理”菜单</w:t>
      </w:r>
    </w:p>
    <w:p>
      <w:pPr>
        <w:ind w:firstLine="420"/>
      </w:pPr>
      <w:r>
        <w:rPr>
          <w:rFonts w:hint="eastAsia"/>
        </w:rPr>
        <w:t>●“断开”菜单：当LANDMon与LANDCore处于连接状态时，点击“网络(N)&gt;断开(D)”可断开LANDMon与LANDCore之间的连接。</w:t>
      </w:r>
    </w:p>
    <w:p>
      <w:pPr>
        <w:ind w:firstLine="420"/>
      </w:pPr>
      <w:r>
        <w:rPr>
          <w:rFonts w:hint="eastAsia"/>
        </w:rPr>
        <w:t>●“察看本地信息”菜单：选择“网络(N)&gt;察看本地信息(I)...”，可查看本地计算机名、IP地址、网络类型等信息。如图2.8所示。</w:t>
      </w:r>
    </w:p>
    <w:p>
      <w:pPr>
        <w:spacing w:line="360" w:lineRule="atLeast"/>
        <w:ind w:firstLine="0" w:firstLineChars="0"/>
        <w:rPr>
          <w:rFonts w:ascii="宋体" w:hAnsi="宋体"/>
          <w:color w:val="000000"/>
        </w:rPr>
      </w:pPr>
      <w:r>
        <w:rPr>
          <w:rFonts w:hint="eastAsia"/>
        </w:rPr>
        <w:t xml:space="preserve">                     </w:t>
      </w:r>
      <w:r>
        <w:drawing>
          <wp:inline distT="0" distB="0" distL="114300" distR="114300">
            <wp:extent cx="3401060" cy="1927860"/>
            <wp:effectExtent l="0" t="0" r="8890" b="1524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6" cstate="print"/>
                    <a:stretch>
                      <a:fillRect/>
                    </a:stretch>
                  </pic:blipFill>
                  <pic:spPr>
                    <a:xfrm>
                      <a:off x="0" y="0"/>
                      <a:ext cx="3401060" cy="1927860"/>
                    </a:xfrm>
                    <a:prstGeom prst="rect">
                      <a:avLst/>
                    </a:prstGeom>
                    <a:noFill/>
                    <a:ln w="9525">
                      <a:noFill/>
                    </a:ln>
                  </pic:spPr>
                </pic:pic>
              </a:graphicData>
            </a:graphic>
          </wp:inline>
        </w:drawing>
      </w:r>
    </w:p>
    <w:p>
      <w:pPr>
        <w:pStyle w:val="19"/>
      </w:pPr>
      <w:r>
        <w:rPr>
          <w:rFonts w:hint="eastAsia"/>
        </w:rPr>
        <w:t>图2.8  “主机信息”窗口</w:t>
      </w:r>
    </w:p>
    <w:p>
      <w:pPr>
        <w:ind w:firstLine="420"/>
      </w:pPr>
      <w:r>
        <w:rPr>
          <w:rFonts w:hint="eastAsia"/>
        </w:rPr>
        <w:t>●“察看本地连接”菜单：选择“网络(N)&gt;察看本地连接(L)...”，可查看本地及建立连接的远程计算机信息，包括远程计算机名、IP地址、登录权限等信息，如图2.9所示。</w:t>
      </w:r>
    </w:p>
    <w:p>
      <w:pPr>
        <w:spacing w:line="360" w:lineRule="atLeast"/>
        <w:ind w:left="-15" w:leftChars="-7" w:firstLine="14" w:firstLineChars="7"/>
        <w:jc w:val="center"/>
        <w:rPr>
          <w:rFonts w:ascii="宋体" w:hAnsi="宋体"/>
          <w:color w:val="000000"/>
        </w:rPr>
      </w:pPr>
      <w:r>
        <w:drawing>
          <wp:inline distT="0" distB="0" distL="114300" distR="114300">
            <wp:extent cx="2138045" cy="1903730"/>
            <wp:effectExtent l="0" t="0" r="14605" b="127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7" cstate="print"/>
                    <a:stretch>
                      <a:fillRect/>
                    </a:stretch>
                  </pic:blipFill>
                  <pic:spPr>
                    <a:xfrm>
                      <a:off x="0" y="0"/>
                      <a:ext cx="2138045" cy="1903730"/>
                    </a:xfrm>
                    <a:prstGeom prst="rect">
                      <a:avLst/>
                    </a:prstGeom>
                    <a:noFill/>
                    <a:ln w="9525">
                      <a:noFill/>
                    </a:ln>
                  </pic:spPr>
                </pic:pic>
              </a:graphicData>
            </a:graphic>
          </wp:inline>
        </w:drawing>
      </w:r>
    </w:p>
    <w:p>
      <w:pPr>
        <w:pStyle w:val="19"/>
      </w:pPr>
      <w:r>
        <w:rPr>
          <w:rFonts w:hint="eastAsia"/>
        </w:rPr>
        <w:t>图2.9  “察看连接”窗口</w:t>
      </w:r>
    </w:p>
    <w:p>
      <w:pPr>
        <w:ind w:firstLine="420"/>
      </w:pPr>
      <w:r>
        <w:rPr>
          <w:rFonts w:hint="eastAsia"/>
        </w:rPr>
        <w:t>●“设置本地密码”菜单：选择“网络(N)&gt;设置本地密码(L)...”，可以设置“来宾”、“操作员”和“管理员”各身份对应的登录密码，如图2.10所示。</w:t>
      </w:r>
    </w:p>
    <w:p>
      <w:pPr>
        <w:spacing w:line="360" w:lineRule="atLeast"/>
        <w:ind w:left="-15" w:leftChars="-7" w:firstLine="14" w:firstLineChars="7"/>
        <w:jc w:val="center"/>
        <w:rPr>
          <w:rFonts w:ascii="宋体" w:hAnsi="宋体"/>
          <w:color w:val="000000"/>
        </w:rPr>
      </w:pPr>
      <w:r>
        <w:drawing>
          <wp:inline distT="0" distB="0" distL="114300" distR="114300">
            <wp:extent cx="2017395" cy="1491615"/>
            <wp:effectExtent l="0" t="0" r="1905" b="1333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28" cstate="print"/>
                    <a:stretch>
                      <a:fillRect/>
                    </a:stretch>
                  </pic:blipFill>
                  <pic:spPr>
                    <a:xfrm>
                      <a:off x="0" y="0"/>
                      <a:ext cx="2017395" cy="1491615"/>
                    </a:xfrm>
                    <a:prstGeom prst="rect">
                      <a:avLst/>
                    </a:prstGeom>
                    <a:noFill/>
                    <a:ln w="9525">
                      <a:noFill/>
                    </a:ln>
                  </pic:spPr>
                </pic:pic>
              </a:graphicData>
            </a:graphic>
          </wp:inline>
        </w:drawing>
      </w:r>
    </w:p>
    <w:p>
      <w:pPr>
        <w:pStyle w:val="19"/>
      </w:pPr>
      <w:r>
        <w:rPr>
          <w:rFonts w:hint="eastAsia"/>
        </w:rPr>
        <w:t>图2.10  “设置登陆密码”窗口</w:t>
      </w:r>
    </w:p>
    <w:p>
      <w:pPr>
        <w:ind w:firstLine="420"/>
      </w:pPr>
      <w:r>
        <w:rPr>
          <w:rFonts w:hint="eastAsia"/>
        </w:rPr>
        <w:t>系统设置的初始密码分别为：来宾，“111111”；操作员，“222222”；管理员，“123456”。</w:t>
      </w:r>
    </w:p>
    <w:p>
      <w:pPr>
        <w:ind w:firstLine="420"/>
      </w:pPr>
      <w:r>
        <w:rPr>
          <w:rFonts w:hint="eastAsia"/>
        </w:rPr>
        <w:t>●“本地接受远程连接”菜单：通过“网络(N)&gt;本地接受远程连接(A)”开关，可以设定本机是否接受远程计算机连接。</w:t>
      </w:r>
    </w:p>
    <w:p>
      <w:pPr>
        <w:ind w:firstLine="420"/>
      </w:pPr>
      <w:r>
        <w:rPr>
          <w:rFonts w:hint="eastAsia"/>
        </w:rPr>
        <w:t>当本地LANDMon与远程LANDCore相连时，“网络(N)&gt;远程管理(R)”的所有子菜单项全部被激活，如图2.11所示。</w:t>
      </w:r>
    </w:p>
    <w:p>
      <w:pPr>
        <w:spacing w:line="360" w:lineRule="atLeast"/>
        <w:ind w:left="-15" w:leftChars="-7" w:firstLine="14" w:firstLineChars="7"/>
        <w:rPr>
          <w:rFonts w:ascii="宋体" w:hAnsi="宋体"/>
          <w:color w:val="000000"/>
        </w:rPr>
      </w:pPr>
      <w:r>
        <w:rPr>
          <w:rFonts w:hint="eastAsia"/>
        </w:rPr>
        <w:t xml:space="preserve">      </w:t>
      </w:r>
      <w:r>
        <w:drawing>
          <wp:inline distT="0" distB="0" distL="114300" distR="114300">
            <wp:extent cx="5370830" cy="2277745"/>
            <wp:effectExtent l="0" t="0" r="1270" b="825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9" cstate="print"/>
                    <a:srcRect l="6248" t="9538" r="57072" b="63504"/>
                    <a:stretch>
                      <a:fillRect/>
                    </a:stretch>
                  </pic:blipFill>
                  <pic:spPr>
                    <a:xfrm>
                      <a:off x="0" y="0"/>
                      <a:ext cx="5370830" cy="2277745"/>
                    </a:xfrm>
                    <a:prstGeom prst="rect">
                      <a:avLst/>
                    </a:prstGeom>
                    <a:noFill/>
                    <a:ln w="9525">
                      <a:noFill/>
                    </a:ln>
                  </pic:spPr>
                </pic:pic>
              </a:graphicData>
            </a:graphic>
          </wp:inline>
        </w:drawing>
      </w:r>
    </w:p>
    <w:p>
      <w:pPr>
        <w:pStyle w:val="19"/>
      </w:pPr>
      <w:r>
        <w:rPr>
          <w:rFonts w:hint="eastAsia"/>
        </w:rPr>
        <w:t>图2.11  网络菜单之“远程管理”</w:t>
      </w:r>
    </w:p>
    <w:p>
      <w:pPr>
        <w:ind w:firstLine="420"/>
      </w:pPr>
      <w:bookmarkStart w:id="97" w:name="_Toc310587711"/>
      <w:bookmarkStart w:id="98" w:name="_Toc309908747"/>
      <w:bookmarkStart w:id="99" w:name="_Toc309827053"/>
      <w:bookmarkStart w:id="100" w:name="_Toc346203526"/>
      <w:bookmarkStart w:id="101" w:name="_Toc309736562"/>
      <w:bookmarkStart w:id="102" w:name="_Toc309909406"/>
      <w:bookmarkStart w:id="103" w:name="_Toc309907552"/>
      <w:bookmarkStart w:id="104" w:name="_Toc309742575"/>
      <w:bookmarkStart w:id="105" w:name="_Toc309374928"/>
      <w:bookmarkStart w:id="106" w:name="_Toc346263483"/>
      <w:r>
        <w:rPr>
          <w:rFonts w:hint="eastAsia"/>
        </w:rPr>
        <w:t>这些子菜单项主要用来管理“中位机”，其功能与前文所述的“察看本地信息(I)...”、“察看本地连接(L)...”、“设置本地密码(P)...”完全对应，只不过后者针对远程，前者是针对本地。</w:t>
      </w:r>
    </w:p>
    <w:p>
      <w:pPr>
        <w:ind w:firstLine="420"/>
      </w:pPr>
      <w:r>
        <w:rPr>
          <w:rFonts w:hint="eastAsia"/>
        </w:rPr>
        <w:t>“远程管理(R)”只支持以“管理员”的身份登录，否则操作会被拒绝，如图2.12所示。</w:t>
      </w:r>
    </w:p>
    <w:p>
      <w:pPr>
        <w:pStyle w:val="40"/>
        <w:spacing w:line="240" w:lineRule="auto"/>
        <w:ind w:firstLine="420"/>
        <w:rPr>
          <w:rFonts w:ascii="宋体" w:hAnsi="宋体"/>
          <w:color w:val="000000"/>
        </w:rPr>
      </w:pPr>
      <w:r>
        <w:rPr>
          <w:rFonts w:hint="eastAsia"/>
        </w:rPr>
        <w:t xml:space="preserve">                            </w:t>
      </w:r>
      <w:r>
        <w:drawing>
          <wp:inline distT="0" distB="0" distL="114300" distR="114300">
            <wp:extent cx="1988820" cy="1500505"/>
            <wp:effectExtent l="0" t="0" r="11430" b="4445"/>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30" cstate="print"/>
                    <a:stretch>
                      <a:fillRect/>
                    </a:stretch>
                  </pic:blipFill>
                  <pic:spPr>
                    <a:xfrm>
                      <a:off x="0" y="0"/>
                      <a:ext cx="1988820" cy="1500505"/>
                    </a:xfrm>
                    <a:prstGeom prst="rect">
                      <a:avLst/>
                    </a:prstGeom>
                    <a:noFill/>
                    <a:ln w="9525">
                      <a:noFill/>
                    </a:ln>
                  </pic:spPr>
                </pic:pic>
              </a:graphicData>
            </a:graphic>
          </wp:inline>
        </w:drawing>
      </w:r>
    </w:p>
    <w:p>
      <w:pPr>
        <w:pStyle w:val="19"/>
      </w:pPr>
      <w:r>
        <w:rPr>
          <w:rFonts w:hint="eastAsia"/>
        </w:rPr>
        <w:t>图2.12  “超越权限提示”窗口</w:t>
      </w:r>
    </w:p>
    <w:p>
      <w:pPr>
        <w:ind w:firstLine="420"/>
      </w:pPr>
      <w:r>
        <w:rPr>
          <w:rFonts w:hint="eastAsia"/>
        </w:rPr>
        <w:t>“网络(N)&gt;远程管理(R)&gt;察看远程信息(I)...”：此操作用于察看内核主机（主要指“中位机”）的计算机名、IP等信息，如图2.13所示。</w:t>
      </w:r>
    </w:p>
    <w:p>
      <w:pPr>
        <w:pStyle w:val="40"/>
        <w:spacing w:line="240" w:lineRule="auto"/>
        <w:ind w:firstLine="0" w:firstLineChars="0"/>
        <w:rPr>
          <w:rFonts w:ascii="宋体" w:hAnsi="宋体"/>
          <w:color w:val="000000"/>
        </w:rPr>
      </w:pPr>
      <w:r>
        <w:rPr>
          <w:rFonts w:hint="eastAsia"/>
        </w:rPr>
        <w:t xml:space="preserve">                      </w:t>
      </w:r>
      <w:r>
        <w:drawing>
          <wp:inline distT="0" distB="0" distL="114300" distR="114300">
            <wp:extent cx="3375660" cy="1913890"/>
            <wp:effectExtent l="0" t="0" r="15240" b="1016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31" cstate="print"/>
                    <a:stretch>
                      <a:fillRect/>
                    </a:stretch>
                  </pic:blipFill>
                  <pic:spPr>
                    <a:xfrm>
                      <a:off x="0" y="0"/>
                      <a:ext cx="3375660" cy="1913890"/>
                    </a:xfrm>
                    <a:prstGeom prst="rect">
                      <a:avLst/>
                    </a:prstGeom>
                    <a:noFill/>
                    <a:ln w="9525">
                      <a:noFill/>
                    </a:ln>
                  </pic:spPr>
                </pic:pic>
              </a:graphicData>
            </a:graphic>
          </wp:inline>
        </w:drawing>
      </w:r>
    </w:p>
    <w:p>
      <w:pPr>
        <w:pStyle w:val="19"/>
      </w:pPr>
      <w:r>
        <w:rPr>
          <w:rFonts w:hint="eastAsia"/>
        </w:rPr>
        <w:t>图2.13  “远程内核主机信息”窗口</w:t>
      </w:r>
    </w:p>
    <w:p>
      <w:pPr>
        <w:ind w:firstLine="420"/>
      </w:pPr>
      <w:r>
        <w:rPr>
          <w:rFonts w:hint="eastAsia"/>
        </w:rPr>
        <w:t>“网络(N)&gt;远程管理(R)&gt;察看远程连接(R)...”：此操作用于察看内核主机（主要指“中位机”）成功接受连接的主机信息，如图2.14所示。</w:t>
      </w:r>
    </w:p>
    <w:p>
      <w:pPr>
        <w:pStyle w:val="40"/>
        <w:spacing w:line="240" w:lineRule="auto"/>
        <w:ind w:firstLine="0" w:firstLineChars="0"/>
        <w:rPr>
          <w:rFonts w:ascii="宋体" w:hAnsi="宋体"/>
          <w:color w:val="000000"/>
        </w:rPr>
      </w:pPr>
      <w:r>
        <w:rPr>
          <w:rFonts w:hint="eastAsia"/>
        </w:rPr>
        <w:t xml:space="preserve">               </w:t>
      </w:r>
      <w:r>
        <w:drawing>
          <wp:inline distT="0" distB="0" distL="114300" distR="114300">
            <wp:extent cx="4109085" cy="1915160"/>
            <wp:effectExtent l="0" t="0" r="5715" b="889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32" cstate="print"/>
                    <a:stretch>
                      <a:fillRect/>
                    </a:stretch>
                  </pic:blipFill>
                  <pic:spPr>
                    <a:xfrm>
                      <a:off x="0" y="0"/>
                      <a:ext cx="4109085" cy="1915160"/>
                    </a:xfrm>
                    <a:prstGeom prst="rect">
                      <a:avLst/>
                    </a:prstGeom>
                    <a:noFill/>
                    <a:ln w="9525">
                      <a:noFill/>
                    </a:ln>
                  </pic:spPr>
                </pic:pic>
              </a:graphicData>
            </a:graphic>
          </wp:inline>
        </w:drawing>
      </w:r>
    </w:p>
    <w:p>
      <w:pPr>
        <w:pStyle w:val="19"/>
      </w:pPr>
      <w:r>
        <w:rPr>
          <w:rFonts w:hint="eastAsia"/>
        </w:rPr>
        <w:t>图2.14  “与远程内核主机相连的所有主机信息”窗口</w:t>
      </w:r>
    </w:p>
    <w:p>
      <w:pPr>
        <w:ind w:firstLine="420"/>
      </w:pPr>
      <w:r>
        <w:rPr>
          <w:rFonts w:hint="eastAsia"/>
        </w:rPr>
        <w:t>“网络(N)&gt;远程管理(R)&gt;设置远程密码(P)...”：此操作用于设置内核主机（主要指“中位机”）的登陆密码。“设置登录密码”对话框如图2.10所示。</w:t>
      </w:r>
    </w:p>
    <w:p>
      <w:pPr>
        <w:ind w:firstLine="420"/>
      </w:pPr>
      <w:r>
        <w:rPr>
          <w:rFonts w:hint="eastAsia"/>
        </w:rPr>
        <w:t>“远程管理(R)&gt;选择关机/重启(U)...”：此操作除必须以“管理员”的身份登录外，还附加了远程计算机必须被设置为“中位机”状态这一条件。</w:t>
      </w:r>
    </w:p>
    <w:p>
      <w:pPr>
        <w:pStyle w:val="4"/>
        <w:rPr>
          <w:rFonts w:hint="default"/>
        </w:rPr>
      </w:pPr>
      <w:bookmarkStart w:id="107" w:name="_Toc17393"/>
      <w:bookmarkStart w:id="108" w:name="_Toc8625"/>
      <w:r>
        <w:t>2.1.2 “测试”菜单</w:t>
      </w:r>
      <w:bookmarkEnd w:id="97"/>
      <w:bookmarkEnd w:id="98"/>
      <w:bookmarkEnd w:id="99"/>
      <w:bookmarkEnd w:id="100"/>
      <w:bookmarkEnd w:id="101"/>
      <w:bookmarkEnd w:id="102"/>
      <w:bookmarkEnd w:id="103"/>
      <w:bookmarkEnd w:id="104"/>
      <w:bookmarkEnd w:id="105"/>
      <w:bookmarkEnd w:id="106"/>
      <w:bookmarkEnd w:id="107"/>
      <w:bookmarkEnd w:id="108"/>
    </w:p>
    <w:p>
      <w:pPr>
        <w:ind w:firstLine="420"/>
        <w:rPr>
          <w:rFonts w:ascii="宋体" w:hAnsi="宋体"/>
          <w:color w:val="000000"/>
        </w:rPr>
      </w:pPr>
      <w:r>
        <w:rPr>
          <w:rFonts w:hint="eastAsia"/>
        </w:rPr>
        <w:t>“测试”菜单如图2.15所示。</w:t>
      </w:r>
    </w:p>
    <w:p>
      <w:pPr>
        <w:pStyle w:val="40"/>
        <w:spacing w:line="460" w:lineRule="atLeast"/>
        <w:ind w:firstLine="420"/>
        <w:rPr>
          <w:rFonts w:ascii="宋体" w:hAnsi="宋体"/>
          <w:color w:val="000000"/>
        </w:rPr>
      </w:pPr>
      <w:r>
        <w:rPr>
          <w:rFonts w:hint="eastAsia"/>
        </w:rPr>
        <w:t xml:space="preserve">                </w:t>
      </w:r>
      <w:r>
        <w:drawing>
          <wp:inline distT="0" distB="0" distL="114300" distR="114300">
            <wp:extent cx="3212465" cy="1265555"/>
            <wp:effectExtent l="0" t="0" r="6985" b="1079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33" cstate="print"/>
                    <a:srcRect r="-400" b="30440"/>
                    <a:stretch>
                      <a:fillRect/>
                    </a:stretch>
                  </pic:blipFill>
                  <pic:spPr>
                    <a:xfrm>
                      <a:off x="0" y="0"/>
                      <a:ext cx="3212465" cy="1265555"/>
                    </a:xfrm>
                    <a:prstGeom prst="rect">
                      <a:avLst/>
                    </a:prstGeom>
                    <a:noFill/>
                    <a:ln w="9525">
                      <a:noFill/>
                    </a:ln>
                  </pic:spPr>
                </pic:pic>
              </a:graphicData>
            </a:graphic>
          </wp:inline>
        </w:drawing>
      </w:r>
    </w:p>
    <w:p>
      <w:pPr>
        <w:pStyle w:val="19"/>
      </w:pPr>
      <w:r>
        <w:rPr>
          <w:rFonts w:hint="eastAsia"/>
        </w:rPr>
        <w:t>图2.15  测试菜单</w:t>
      </w:r>
    </w:p>
    <w:p>
      <w:pPr>
        <w:ind w:firstLine="420"/>
      </w:pPr>
      <w:r>
        <w:rPr>
          <w:rFonts w:hint="eastAsia"/>
        </w:rPr>
        <w:t>“测试(T)&gt;过程名列表管理(L)...”：如图2.16所示，在“过程名列表”对话框中，只有选中列表框内的某项时，按钮“编辑...”、“复制”、“删除”、“上移”和“下移”才被激活。</w:t>
      </w:r>
    </w:p>
    <w:p>
      <w:pPr>
        <w:pStyle w:val="40"/>
        <w:spacing w:beforeLines="50" w:line="360" w:lineRule="atLeast"/>
        <w:ind w:firstLine="420"/>
        <w:rPr>
          <w:rFonts w:ascii="宋体" w:hAnsi="宋体"/>
          <w:color w:val="000000"/>
        </w:rPr>
      </w:pPr>
      <w:r>
        <w:rPr>
          <w:rFonts w:hint="eastAsia"/>
        </w:rPr>
        <w:t xml:space="preserve">                       </w:t>
      </w:r>
      <w:r>
        <w:drawing>
          <wp:inline distT="0" distB="0" distL="114300" distR="114300">
            <wp:extent cx="2512695" cy="3862070"/>
            <wp:effectExtent l="0" t="0" r="1905" b="508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34" cstate="print"/>
                    <a:stretch>
                      <a:fillRect/>
                    </a:stretch>
                  </pic:blipFill>
                  <pic:spPr>
                    <a:xfrm>
                      <a:off x="0" y="0"/>
                      <a:ext cx="2512695" cy="3862070"/>
                    </a:xfrm>
                    <a:prstGeom prst="rect">
                      <a:avLst/>
                    </a:prstGeom>
                    <a:noFill/>
                    <a:ln w="9525">
                      <a:noFill/>
                    </a:ln>
                  </pic:spPr>
                </pic:pic>
              </a:graphicData>
            </a:graphic>
          </wp:inline>
        </w:drawing>
      </w:r>
    </w:p>
    <w:p>
      <w:pPr>
        <w:pStyle w:val="19"/>
      </w:pPr>
      <w:r>
        <w:rPr>
          <w:rFonts w:hint="eastAsia"/>
        </w:rPr>
        <w:t>图2.16  “过程名列表”窗口</w:t>
      </w:r>
    </w:p>
    <w:p>
      <w:pPr>
        <w:ind w:firstLine="420"/>
      </w:pPr>
      <w:r>
        <w:rPr>
          <w:rFonts w:hint="eastAsia"/>
        </w:rPr>
        <w:t>●“编辑”按钮：编辑当前选择的“测试过程”。</w:t>
      </w:r>
    </w:p>
    <w:p>
      <w:pPr>
        <w:ind w:firstLine="420"/>
      </w:pPr>
      <w:r>
        <w:rPr>
          <w:rFonts w:hint="eastAsia"/>
        </w:rPr>
        <w:t>●“复制”按钮：复制当前选择的“测试过程”。在一个已有的“测试过程”基础简单编辑修改，更简单快捷。</w:t>
      </w:r>
    </w:p>
    <w:p>
      <w:pPr>
        <w:ind w:firstLine="420"/>
      </w:pPr>
      <w:r>
        <w:rPr>
          <w:rFonts w:hint="eastAsia"/>
        </w:rPr>
        <w:t>●“删除”按钮：删除当前选择的“测试过程”。</w:t>
      </w:r>
    </w:p>
    <w:p>
      <w:pPr>
        <w:ind w:firstLine="420"/>
      </w:pPr>
      <w:r>
        <w:rPr>
          <w:rFonts w:hint="eastAsia"/>
        </w:rPr>
        <w:t>●“上移”/“下移”按钮：调整当前选择“测试过程”在列表中的排列位置。</w:t>
      </w:r>
    </w:p>
    <w:p>
      <w:pPr>
        <w:ind w:firstLine="420"/>
      </w:pPr>
      <w:r>
        <w:rPr>
          <w:rFonts w:hint="eastAsia"/>
        </w:rPr>
        <w:t>●“调入...”/“存盘...”按钮：调入模板组（含多个“测试过程”）文件，或者将列表中的所有的“测试过程”打包存盘为一个模板组文件。</w:t>
      </w:r>
    </w:p>
    <w:p>
      <w:pPr>
        <w:ind w:firstLine="420"/>
      </w:pPr>
      <w:r>
        <w:rPr>
          <w:rFonts w:hint="eastAsia"/>
        </w:rPr>
        <w:t>●“新建...”按钮：新建一个新的“测试过程”，如图2.17所示，点击“新建”，LANDProc.exe(工步编辑软件)会被激活打开，在蓝电测试软件V7.0版本中，编辑“测试过程”的操作全部在工步编辑软件中完成，具体使用方法详见工步编辑软件LANDProc使用说明部分。</w:t>
      </w:r>
    </w:p>
    <w:p>
      <w:pPr>
        <w:ind w:firstLine="420"/>
      </w:pPr>
      <w:r>
        <w:rPr>
          <w:rFonts w:hint="eastAsia"/>
        </w:rPr>
        <w:t>●“关闭”按钮：关闭当前的“测试名列表管理”窗口。</w:t>
      </w:r>
    </w:p>
    <w:p>
      <w:pPr>
        <w:pStyle w:val="40"/>
        <w:spacing w:line="360" w:lineRule="atLeast"/>
        <w:ind w:firstLine="0" w:firstLineChars="0"/>
        <w:rPr>
          <w:rFonts w:ascii="宋体" w:hAnsi="宋体"/>
          <w:color w:val="000000"/>
          <w:sz w:val="18"/>
          <w:szCs w:val="18"/>
        </w:rPr>
      </w:pPr>
      <w:r>
        <w:drawing>
          <wp:inline distT="0" distB="0" distL="114300" distR="114300">
            <wp:extent cx="6183630" cy="3408680"/>
            <wp:effectExtent l="0" t="0" r="7620" b="127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35" cstate="print"/>
                    <a:stretch>
                      <a:fillRect/>
                    </a:stretch>
                  </pic:blipFill>
                  <pic:spPr>
                    <a:xfrm>
                      <a:off x="0" y="0"/>
                      <a:ext cx="6183630" cy="3408680"/>
                    </a:xfrm>
                    <a:prstGeom prst="rect">
                      <a:avLst/>
                    </a:prstGeom>
                    <a:noFill/>
                    <a:ln w="9525">
                      <a:noFill/>
                    </a:ln>
                  </pic:spPr>
                </pic:pic>
              </a:graphicData>
            </a:graphic>
          </wp:inline>
        </w:drawing>
      </w:r>
    </w:p>
    <w:p>
      <w:pPr>
        <w:pStyle w:val="19"/>
      </w:pPr>
      <w:r>
        <w:rPr>
          <w:rFonts w:hint="eastAsia"/>
        </w:rPr>
        <w:t>图2.17  “工步编辑软件”主界面</w:t>
      </w:r>
    </w:p>
    <w:p>
      <w:pPr>
        <w:ind w:firstLine="420"/>
      </w:pPr>
      <w:r>
        <w:rPr>
          <w:rFonts w:hint="eastAsia"/>
        </w:rPr>
        <w:t>“测试(T)&gt;智能联机(F)”：执行一次智能联机。</w:t>
      </w:r>
    </w:p>
    <w:p>
      <w:pPr>
        <w:ind w:firstLine="420"/>
      </w:pPr>
      <w:r>
        <w:rPr>
          <w:rFonts w:hint="eastAsia"/>
        </w:rPr>
        <w:t>这里，智能联机之“智能”体现在：智能识别串口号及串口传送波特率；下位机能在上位机的统一协调下，主动登记注册，因而智能联机的速度非常快。</w:t>
      </w:r>
    </w:p>
    <w:p>
      <w:pPr>
        <w:ind w:firstLine="420"/>
      </w:pPr>
      <w:r>
        <w:rPr>
          <w:rFonts w:hint="eastAsia"/>
        </w:rPr>
        <w:t>“测试(T)&gt;联机结果(B)...”：显示测试设备的连接的计算机COM端口，以及设备的具体量程、版本等信息，如图2.18所示。</w:t>
      </w:r>
    </w:p>
    <w:p>
      <w:pPr>
        <w:spacing w:line="240" w:lineRule="auto"/>
        <w:ind w:firstLine="420"/>
        <w:rPr>
          <w:rFonts w:ascii="宋体" w:hAnsi="宋体"/>
          <w:color w:val="000000"/>
        </w:rPr>
      </w:pPr>
      <w:r>
        <w:rPr>
          <w:rFonts w:hint="eastAsia"/>
        </w:rPr>
        <w:t xml:space="preserve">   </w:t>
      </w:r>
      <w:r>
        <w:drawing>
          <wp:inline distT="0" distB="0" distL="114300" distR="114300">
            <wp:extent cx="5200015" cy="36576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cstate="print"/>
                    <a:stretch>
                      <a:fillRect/>
                    </a:stretch>
                  </pic:blipFill>
                  <pic:spPr>
                    <a:xfrm>
                      <a:off x="0" y="0"/>
                      <a:ext cx="5200015" cy="3657600"/>
                    </a:xfrm>
                    <a:prstGeom prst="rect">
                      <a:avLst/>
                    </a:prstGeom>
                    <a:noFill/>
                    <a:ln w="9525">
                      <a:noFill/>
                    </a:ln>
                  </pic:spPr>
                </pic:pic>
              </a:graphicData>
            </a:graphic>
          </wp:inline>
        </w:drawing>
      </w:r>
    </w:p>
    <w:p>
      <w:pPr>
        <w:pStyle w:val="19"/>
      </w:pPr>
      <w:r>
        <w:rPr>
          <w:rFonts w:hint="eastAsia"/>
        </w:rPr>
        <w:t>图2.18  “联机结果”窗口</w:t>
      </w:r>
    </w:p>
    <w:p>
      <w:pPr>
        <w:ind w:firstLine="420"/>
      </w:pPr>
      <w:r>
        <w:rPr>
          <w:rFonts w:hint="eastAsia"/>
        </w:rPr>
        <w:t xml:space="preserve"> “测试(T)&gt;退出(X)”：退出LANDMon控制软件。</w:t>
      </w:r>
    </w:p>
    <w:p>
      <w:pPr>
        <w:pStyle w:val="4"/>
        <w:rPr>
          <w:rFonts w:hint="default"/>
        </w:rPr>
      </w:pPr>
      <w:bookmarkStart w:id="109" w:name="_Toc309736563"/>
      <w:bookmarkStart w:id="110" w:name="_Toc309374929"/>
      <w:bookmarkStart w:id="111" w:name="_Toc309827054"/>
      <w:bookmarkStart w:id="112" w:name="_Toc309908748"/>
      <w:bookmarkStart w:id="113" w:name="_Toc310587712"/>
      <w:bookmarkStart w:id="114" w:name="_Toc21789"/>
      <w:bookmarkStart w:id="115" w:name="_Toc309907553"/>
      <w:bookmarkStart w:id="116" w:name="_Toc346203527"/>
      <w:bookmarkStart w:id="117" w:name="_Toc346263484"/>
      <w:bookmarkStart w:id="118" w:name="_Toc309742576"/>
      <w:bookmarkStart w:id="119" w:name="_Toc28534"/>
      <w:bookmarkStart w:id="120" w:name="_Toc309909407"/>
      <w:r>
        <w:t>2.1.3 “数据”菜单</w:t>
      </w:r>
      <w:bookmarkEnd w:id="109"/>
      <w:bookmarkEnd w:id="110"/>
      <w:bookmarkEnd w:id="111"/>
      <w:bookmarkEnd w:id="112"/>
      <w:bookmarkEnd w:id="113"/>
      <w:bookmarkEnd w:id="114"/>
      <w:bookmarkEnd w:id="115"/>
      <w:bookmarkEnd w:id="116"/>
      <w:bookmarkEnd w:id="117"/>
      <w:bookmarkEnd w:id="118"/>
      <w:bookmarkEnd w:id="119"/>
      <w:bookmarkEnd w:id="120"/>
      <w:r>
        <w:tab/>
      </w:r>
    </w:p>
    <w:p>
      <w:pPr>
        <w:ind w:firstLine="420"/>
      </w:pPr>
      <w:r>
        <w:rPr>
          <w:rFonts w:hint="eastAsia"/>
        </w:rPr>
        <w:t>如图2.19所示，“数据(D)”菜单只有“定时备份(B)...”一个菜单项。</w:t>
      </w:r>
    </w:p>
    <w:p>
      <w:pPr>
        <w:pStyle w:val="40"/>
        <w:spacing w:before="120" w:line="360" w:lineRule="atLeast"/>
        <w:ind w:firstLine="420"/>
        <w:rPr>
          <w:rFonts w:ascii="宋体" w:hAnsi="宋体"/>
          <w:color w:val="000000"/>
        </w:rPr>
      </w:pPr>
      <w:r>
        <w:rPr>
          <w:rFonts w:hint="eastAsia"/>
        </w:rPr>
        <w:t xml:space="preserve">    </w:t>
      </w:r>
      <w:r>
        <w:drawing>
          <wp:inline distT="0" distB="0" distL="114300" distR="114300">
            <wp:extent cx="4923790" cy="800100"/>
            <wp:effectExtent l="0" t="0" r="10160" b="0"/>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pic:cNvPicPr>
                      <a:picLocks noChangeAspect="1"/>
                    </pic:cNvPicPr>
                  </pic:nvPicPr>
                  <pic:blipFill>
                    <a:blip r:embed="rId37" cstate="print"/>
                    <a:stretch>
                      <a:fillRect/>
                    </a:stretch>
                  </pic:blipFill>
                  <pic:spPr>
                    <a:xfrm>
                      <a:off x="0" y="0"/>
                      <a:ext cx="4923790" cy="800100"/>
                    </a:xfrm>
                    <a:prstGeom prst="rect">
                      <a:avLst/>
                    </a:prstGeom>
                    <a:noFill/>
                    <a:ln w="9525">
                      <a:noFill/>
                    </a:ln>
                  </pic:spPr>
                </pic:pic>
              </a:graphicData>
            </a:graphic>
          </wp:inline>
        </w:drawing>
      </w:r>
    </w:p>
    <w:p>
      <w:pPr>
        <w:pStyle w:val="19"/>
      </w:pPr>
      <w:r>
        <w:rPr>
          <w:rFonts w:hint="eastAsia"/>
        </w:rPr>
        <w:t>图2.19  数据菜单</w:t>
      </w:r>
    </w:p>
    <w:p>
      <w:pPr>
        <w:ind w:firstLine="420"/>
      </w:pPr>
      <w:r>
        <w:rPr>
          <w:rFonts w:hint="eastAsia"/>
        </w:rPr>
        <w:t>“数据(D)&gt;定时备份(B)...”：“定时数据备份”窗口如图2.20所示，通过设置时间间隔来自动强制更新（或兑换）已预约的数据备份，它仅对已经设置“预约备份”的通道有效。</w:t>
      </w:r>
    </w:p>
    <w:p>
      <w:pPr>
        <w:spacing w:line="360" w:lineRule="atLeast"/>
        <w:ind w:left="-15" w:leftChars="-7" w:firstLine="14" w:firstLineChars="7"/>
        <w:jc w:val="center"/>
        <w:rPr>
          <w:rFonts w:ascii="宋体" w:hAnsi="宋体"/>
          <w:color w:val="000000"/>
        </w:rPr>
      </w:pPr>
      <w:r>
        <w:drawing>
          <wp:inline distT="0" distB="0" distL="114300" distR="114300">
            <wp:extent cx="2717800" cy="1713865"/>
            <wp:effectExtent l="0" t="0" r="6350" b="635"/>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38" cstate="print"/>
                    <a:stretch>
                      <a:fillRect/>
                    </a:stretch>
                  </pic:blipFill>
                  <pic:spPr>
                    <a:xfrm>
                      <a:off x="0" y="0"/>
                      <a:ext cx="2717800" cy="1713865"/>
                    </a:xfrm>
                    <a:prstGeom prst="rect">
                      <a:avLst/>
                    </a:prstGeom>
                    <a:noFill/>
                    <a:ln w="9525">
                      <a:noFill/>
                    </a:ln>
                  </pic:spPr>
                </pic:pic>
              </a:graphicData>
            </a:graphic>
          </wp:inline>
        </w:drawing>
      </w:r>
    </w:p>
    <w:p>
      <w:pPr>
        <w:pStyle w:val="19"/>
      </w:pPr>
      <w:r>
        <w:rPr>
          <w:rFonts w:hint="eastAsia"/>
        </w:rPr>
        <w:t>图2.20  “定时数据备份”窗口</w:t>
      </w:r>
    </w:p>
    <w:p>
      <w:pPr>
        <w:pStyle w:val="4"/>
        <w:rPr>
          <w:rFonts w:hint="default"/>
        </w:rPr>
      </w:pPr>
      <w:bookmarkStart w:id="121" w:name="_Toc14652"/>
      <w:bookmarkStart w:id="122" w:name="_Toc346203528"/>
      <w:bookmarkStart w:id="123" w:name="_Toc309827055"/>
      <w:bookmarkStart w:id="124" w:name="_Toc27185"/>
      <w:bookmarkStart w:id="125" w:name="_Toc309374930"/>
      <w:bookmarkStart w:id="126" w:name="_Toc310587713"/>
      <w:bookmarkStart w:id="127" w:name="_Toc346263485"/>
      <w:bookmarkStart w:id="128" w:name="_Toc309908749"/>
      <w:bookmarkStart w:id="129" w:name="_Toc309742577"/>
      <w:bookmarkStart w:id="130" w:name="_Toc309907554"/>
      <w:bookmarkStart w:id="131" w:name="_Toc309736564"/>
      <w:bookmarkStart w:id="132" w:name="_Toc309909408"/>
      <w:r>
        <w:t>2.1.4 “容量”菜单</w:t>
      </w:r>
      <w:bookmarkEnd w:id="121"/>
      <w:bookmarkEnd w:id="122"/>
      <w:bookmarkEnd w:id="123"/>
      <w:bookmarkEnd w:id="124"/>
      <w:bookmarkEnd w:id="125"/>
      <w:bookmarkEnd w:id="126"/>
      <w:bookmarkEnd w:id="127"/>
      <w:bookmarkEnd w:id="128"/>
      <w:bookmarkEnd w:id="129"/>
      <w:bookmarkEnd w:id="130"/>
      <w:bookmarkEnd w:id="131"/>
      <w:bookmarkEnd w:id="132"/>
    </w:p>
    <w:p>
      <w:pPr>
        <w:ind w:firstLine="420"/>
      </w:pPr>
      <w:bookmarkStart w:id="133" w:name="_Toc346263486"/>
      <w:bookmarkStart w:id="134" w:name="_Toc346203529"/>
      <w:bookmarkStart w:id="135" w:name="_Toc309742578"/>
      <w:bookmarkStart w:id="136" w:name="_Toc309736565"/>
      <w:bookmarkStart w:id="137" w:name="_Toc309908750"/>
      <w:bookmarkStart w:id="138" w:name="_Toc309374931"/>
      <w:bookmarkStart w:id="139" w:name="_Toc309827056"/>
      <w:bookmarkStart w:id="140" w:name="_Toc309907555"/>
      <w:bookmarkStart w:id="141" w:name="_Toc309909409"/>
      <w:bookmarkStart w:id="142" w:name="_Toc310587714"/>
      <w:r>
        <w:rPr>
          <w:rFonts w:hint="eastAsia"/>
        </w:rPr>
        <w:t>如图2.21所示，“容量(C)”菜单只有“容量分选(C)...”一个菜单项。</w:t>
      </w:r>
    </w:p>
    <w:p>
      <w:pPr>
        <w:pStyle w:val="40"/>
        <w:spacing w:before="120" w:line="360" w:lineRule="atLeast"/>
        <w:ind w:firstLine="420"/>
        <w:rPr>
          <w:rFonts w:ascii="宋体" w:hAnsi="宋体"/>
          <w:color w:val="000000"/>
        </w:rPr>
      </w:pPr>
      <w:r>
        <w:drawing>
          <wp:inline distT="0" distB="0" distL="114300" distR="114300">
            <wp:extent cx="5009515" cy="781050"/>
            <wp:effectExtent l="0" t="0" r="635" b="0"/>
            <wp:docPr id="5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pic:cNvPicPr>
                      <a:picLocks noChangeAspect="1"/>
                    </pic:cNvPicPr>
                  </pic:nvPicPr>
                  <pic:blipFill>
                    <a:blip r:embed="rId39" cstate="print"/>
                    <a:stretch>
                      <a:fillRect/>
                    </a:stretch>
                  </pic:blipFill>
                  <pic:spPr>
                    <a:xfrm>
                      <a:off x="0" y="0"/>
                      <a:ext cx="5009515" cy="781050"/>
                    </a:xfrm>
                    <a:prstGeom prst="rect">
                      <a:avLst/>
                    </a:prstGeom>
                    <a:noFill/>
                    <a:ln w="9525">
                      <a:noFill/>
                    </a:ln>
                  </pic:spPr>
                </pic:pic>
              </a:graphicData>
            </a:graphic>
          </wp:inline>
        </w:drawing>
      </w:r>
    </w:p>
    <w:p>
      <w:pPr>
        <w:pStyle w:val="19"/>
      </w:pPr>
      <w:r>
        <w:rPr>
          <w:rFonts w:hint="eastAsia"/>
        </w:rPr>
        <w:t>图2.21  容量菜单</w:t>
      </w:r>
    </w:p>
    <w:p>
      <w:pPr>
        <w:ind w:firstLine="420"/>
      </w:pPr>
      <w:r>
        <w:rPr>
          <w:rFonts w:hint="eastAsia"/>
        </w:rPr>
        <w:t>“容量(C)&gt;容量分选(C)...”：“容量分选”窗口如图2.22所示。</w:t>
      </w:r>
    </w:p>
    <w:p>
      <w:pPr>
        <w:spacing w:line="360" w:lineRule="atLeast"/>
        <w:ind w:left="-15" w:leftChars="-7" w:firstLine="14" w:firstLineChars="7"/>
        <w:jc w:val="center"/>
        <w:rPr>
          <w:rFonts w:ascii="宋体" w:hAnsi="宋体"/>
          <w:color w:val="000000"/>
        </w:rPr>
      </w:pPr>
      <w:r>
        <w:drawing>
          <wp:inline distT="0" distB="0" distL="114300" distR="114300">
            <wp:extent cx="4706620" cy="3777615"/>
            <wp:effectExtent l="0" t="0" r="17780" b="13335"/>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pic:cNvPicPr>
                      <a:picLocks noChangeAspect="1"/>
                    </pic:cNvPicPr>
                  </pic:nvPicPr>
                  <pic:blipFill>
                    <a:blip r:embed="rId40" cstate="print"/>
                    <a:stretch>
                      <a:fillRect/>
                    </a:stretch>
                  </pic:blipFill>
                  <pic:spPr>
                    <a:xfrm>
                      <a:off x="0" y="0"/>
                      <a:ext cx="4706620" cy="3777615"/>
                    </a:xfrm>
                    <a:prstGeom prst="rect">
                      <a:avLst/>
                    </a:prstGeom>
                    <a:noFill/>
                    <a:ln w="9525">
                      <a:noFill/>
                    </a:ln>
                  </pic:spPr>
                </pic:pic>
              </a:graphicData>
            </a:graphic>
          </wp:inline>
        </w:drawing>
      </w:r>
    </w:p>
    <w:p>
      <w:pPr>
        <w:pStyle w:val="19"/>
      </w:pPr>
      <w:r>
        <w:rPr>
          <w:rFonts w:hint="eastAsia"/>
        </w:rPr>
        <w:t>图2.22  “容量分选”窗口</w:t>
      </w:r>
    </w:p>
    <w:p>
      <w:pPr>
        <w:ind w:firstLine="420"/>
      </w:pPr>
      <w:r>
        <w:rPr>
          <w:rFonts w:hint="eastAsia"/>
        </w:rPr>
        <w:t>左侧的“容量分选标准”列表中，默认为等分梯度。双击其中任意一行，可以编辑其两端的分段值，从而实现任意分段。</w:t>
      </w:r>
    </w:p>
    <w:p>
      <w:pPr>
        <w:ind w:firstLine="420"/>
      </w:pPr>
      <w:r>
        <w:rPr>
          <w:rFonts w:hint="eastAsia"/>
        </w:rPr>
        <w:t>单击“新建标准...”按钮，弹出图2.23所示的“自动生成分选标准”对话框，通过对话框设置分选容量的下界、上界及间隔。单击“确定”按钮，将按照当前分选标准，对所有通道（对应的电池）执行容量分选。</w:t>
      </w:r>
    </w:p>
    <w:p>
      <w:pPr>
        <w:pStyle w:val="40"/>
        <w:spacing w:before="120" w:line="360" w:lineRule="atLeast"/>
        <w:ind w:firstLine="420"/>
        <w:rPr>
          <w:rFonts w:ascii="宋体" w:hAnsi="宋体"/>
          <w:color w:val="000000"/>
        </w:rPr>
      </w:pPr>
      <w:r>
        <w:rPr>
          <w:rFonts w:hint="eastAsia"/>
        </w:rPr>
        <w:t xml:space="preserve">                           </w:t>
      </w:r>
      <w:r>
        <w:drawing>
          <wp:inline distT="0" distB="0" distL="114300" distR="114300">
            <wp:extent cx="2065020" cy="1628140"/>
            <wp:effectExtent l="0" t="0" r="11430" b="10160"/>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41" cstate="print"/>
                    <a:stretch>
                      <a:fillRect/>
                    </a:stretch>
                  </pic:blipFill>
                  <pic:spPr>
                    <a:xfrm>
                      <a:off x="0" y="0"/>
                      <a:ext cx="2065020" cy="1628140"/>
                    </a:xfrm>
                    <a:prstGeom prst="rect">
                      <a:avLst/>
                    </a:prstGeom>
                    <a:noFill/>
                    <a:ln w="9525">
                      <a:noFill/>
                    </a:ln>
                  </pic:spPr>
                </pic:pic>
              </a:graphicData>
            </a:graphic>
          </wp:inline>
        </w:drawing>
      </w:r>
    </w:p>
    <w:p>
      <w:pPr>
        <w:pStyle w:val="19"/>
      </w:pPr>
      <w:r>
        <w:rPr>
          <w:rFonts w:hint="eastAsia"/>
        </w:rPr>
        <w:t>图2.23  “容量分选自动生成标准”窗口</w:t>
      </w:r>
    </w:p>
    <w:p>
      <w:pPr>
        <w:ind w:firstLine="420"/>
      </w:pPr>
      <w:r>
        <w:rPr>
          <w:rFonts w:hint="eastAsia"/>
        </w:rPr>
        <w:t>选择“容量分选&gt;点亮通道指示灯”，则可以根据设备通道指示灯来摘取电池，非常便捷。</w:t>
      </w:r>
    </w:p>
    <w:p>
      <w:pPr>
        <w:pStyle w:val="4"/>
        <w:rPr>
          <w:rFonts w:hint="default"/>
        </w:rPr>
      </w:pPr>
      <w:bookmarkStart w:id="143" w:name="_Toc14169"/>
      <w:bookmarkStart w:id="144" w:name="_Toc25306"/>
      <w:r>
        <w:t>2.1.5 “查看”菜单</w:t>
      </w:r>
      <w:bookmarkEnd w:id="133"/>
      <w:bookmarkEnd w:id="134"/>
      <w:bookmarkEnd w:id="135"/>
      <w:bookmarkEnd w:id="136"/>
      <w:bookmarkEnd w:id="137"/>
      <w:bookmarkEnd w:id="138"/>
      <w:bookmarkEnd w:id="139"/>
      <w:bookmarkEnd w:id="140"/>
      <w:bookmarkEnd w:id="141"/>
      <w:bookmarkEnd w:id="142"/>
      <w:bookmarkEnd w:id="143"/>
      <w:bookmarkEnd w:id="144"/>
    </w:p>
    <w:p>
      <w:pPr>
        <w:ind w:firstLine="420"/>
      </w:pPr>
      <w:r>
        <w:rPr>
          <w:rFonts w:hint="eastAsia"/>
        </w:rPr>
        <w:t>“查看(V)”菜单用于管理软件主界面的显示，如图2.24所示。</w:t>
      </w:r>
    </w:p>
    <w:p>
      <w:pPr>
        <w:spacing w:line="240" w:lineRule="auto"/>
        <w:ind w:firstLine="0" w:firstLineChars="0"/>
        <w:jc w:val="center"/>
        <w:rPr>
          <w:rFonts w:ascii="宋体" w:hAnsi="宋体"/>
          <w:color w:val="000000"/>
        </w:rPr>
      </w:pPr>
      <w:r>
        <w:rPr>
          <w:rFonts w:hint="eastAsia" w:ascii="宋体" w:hAnsi="宋体"/>
          <w:color w:val="000000"/>
        </w:rPr>
        <w:t xml:space="preserve"> </w:t>
      </w:r>
    </w:p>
    <w:p>
      <w:pPr>
        <w:spacing w:line="240" w:lineRule="auto"/>
        <w:ind w:firstLine="0" w:firstLineChars="0"/>
        <w:rPr>
          <w:rFonts w:ascii="宋体" w:hAnsi="宋体"/>
          <w:color w:val="000000"/>
        </w:rPr>
      </w:pPr>
      <w:r>
        <w:rPr>
          <w:rFonts w:hint="eastAsia"/>
        </w:rPr>
        <w:t xml:space="preserve">        </w:t>
      </w:r>
      <w:r>
        <w:drawing>
          <wp:inline distT="0" distB="0" distL="114300" distR="114300">
            <wp:extent cx="5034280" cy="1466215"/>
            <wp:effectExtent l="0" t="0" r="13970"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2" cstate="print"/>
                    <a:srcRect r="746" b="6204"/>
                    <a:stretch>
                      <a:fillRect/>
                    </a:stretch>
                  </pic:blipFill>
                  <pic:spPr>
                    <a:xfrm>
                      <a:off x="0" y="0"/>
                      <a:ext cx="5034280" cy="1466215"/>
                    </a:xfrm>
                    <a:prstGeom prst="rect">
                      <a:avLst/>
                    </a:prstGeom>
                    <a:noFill/>
                    <a:ln w="9525">
                      <a:noFill/>
                    </a:ln>
                  </pic:spPr>
                </pic:pic>
              </a:graphicData>
            </a:graphic>
          </wp:inline>
        </w:drawing>
      </w:r>
    </w:p>
    <w:p>
      <w:pPr>
        <w:pStyle w:val="19"/>
      </w:pPr>
      <w:r>
        <w:rPr>
          <w:rFonts w:hint="eastAsia"/>
        </w:rPr>
        <w:t>图2.24  查看菜单</w:t>
      </w:r>
    </w:p>
    <w:p>
      <w:pPr>
        <w:ind w:firstLine="420"/>
      </w:pPr>
      <w:r>
        <w:rPr>
          <w:rFonts w:hint="eastAsia"/>
        </w:rPr>
        <w:t>“查看(V)&gt;工具栏(T)”：显示或隐藏工具栏，缺省值</w:t>
      </w:r>
      <w:r>
        <w:rPr>
          <w:rFonts w:hint="eastAsia" w:ascii="宋体" w:hAnsi="宋体" w:cs="宋体"/>
        </w:rPr>
        <w:t>(默认值)</w:t>
      </w:r>
      <w:r>
        <w:rPr>
          <w:rFonts w:hint="eastAsia"/>
        </w:rPr>
        <w:t>为显示状态。</w:t>
      </w:r>
    </w:p>
    <w:p>
      <w:pPr>
        <w:ind w:firstLine="420"/>
      </w:pPr>
      <w:r>
        <w:rPr>
          <w:rFonts w:hint="eastAsia"/>
        </w:rPr>
        <w:t>“查看(V)&gt;状态栏(S)”：显示或隐藏状态栏，缺省值为显示状态。</w:t>
      </w:r>
    </w:p>
    <w:p>
      <w:pPr>
        <w:ind w:firstLine="420"/>
      </w:pPr>
      <w:r>
        <w:rPr>
          <w:rFonts w:hint="eastAsia"/>
        </w:rPr>
        <w:t>“查看(V)&gt;事件列表(E)”：显示或隐藏事件列表区域，缺省值为显示状态。事件列表区域用于显示自启动LANDMon起，各重要的操作执行事件提示。</w:t>
      </w:r>
    </w:p>
    <w:p>
      <w:pPr>
        <w:ind w:firstLine="420"/>
      </w:pPr>
      <w:r>
        <w:rPr>
          <w:rFonts w:hint="eastAsia"/>
        </w:rPr>
        <w:t>“查看(V)&gt;电池编号窗口(N)”：如图2.25所示，“电池编号窗格”</w:t>
      </w:r>
      <w:r>
        <w:t>允许用户</w:t>
      </w:r>
      <w:r>
        <w:rPr>
          <w:rFonts w:hint="eastAsia"/>
        </w:rPr>
        <w:t>对</w:t>
      </w:r>
      <w:r>
        <w:t>每个实际被测电池</w:t>
      </w:r>
      <w:r>
        <w:rPr>
          <w:rFonts w:hint="eastAsia"/>
        </w:rPr>
        <w:t>单元</w:t>
      </w:r>
      <w:r>
        <w:t>的</w:t>
      </w:r>
      <w:r>
        <w:rPr>
          <w:rFonts w:hint="eastAsia"/>
        </w:rPr>
        <w:t>通道编号或命名，</w:t>
      </w:r>
      <w:r>
        <w:t>以</w:t>
      </w:r>
      <w:r>
        <w:rPr>
          <w:rFonts w:hint="eastAsia"/>
        </w:rPr>
        <w:t>用于对</w:t>
      </w:r>
      <w:r>
        <w:t>数据文件的管理和日后查询。</w:t>
      </w:r>
    </w:p>
    <w:p>
      <w:pPr>
        <w:ind w:firstLine="420"/>
      </w:pPr>
      <w:r>
        <w:rPr>
          <w:rFonts w:hint="eastAsia"/>
        </w:rPr>
        <w:t>电池编号相当于给</w:t>
      </w:r>
      <w:r>
        <w:t>被测电池</w:t>
      </w:r>
      <w:r>
        <w:rPr>
          <w:rFonts w:hint="eastAsia"/>
        </w:rPr>
        <w:t>贴一个标签，它将被自动写入其测试数据文件中。</w:t>
      </w:r>
    </w:p>
    <w:p>
      <w:pPr>
        <w:ind w:firstLine="420"/>
      </w:pPr>
      <w:r>
        <w:t>每个电池编号最多不能超过23个字符长度</w:t>
      </w:r>
      <w:r>
        <w:rPr>
          <w:rFonts w:hint="eastAsia"/>
        </w:rPr>
        <w:t>，</w:t>
      </w:r>
      <w:r>
        <w:t>可以手工输入，也可以通过</w:t>
      </w:r>
      <w:r>
        <w:fldChar w:fldCharType="begin"/>
      </w:r>
      <w:r>
        <w:instrText xml:space="preserve"> HYPERLINK "http://www.51scanner.com/" </w:instrText>
      </w:r>
      <w:r>
        <w:fldChar w:fldCharType="separate"/>
      </w:r>
      <w:r>
        <w:t>条码扫描器</w:t>
      </w:r>
      <w:r>
        <w:fldChar w:fldCharType="end"/>
      </w:r>
      <w:r>
        <w:rPr>
          <w:rFonts w:hint="eastAsia"/>
        </w:rPr>
        <w:t>批量</w:t>
      </w:r>
      <w:r>
        <w:t>输入，还可以通过文本文件（.T</w:t>
      </w:r>
      <w:r>
        <w:rPr>
          <w:rFonts w:hint="eastAsia"/>
        </w:rPr>
        <w:t>XT</w:t>
      </w:r>
      <w:r>
        <w:t>）导入。</w:t>
      </w:r>
    </w:p>
    <w:p>
      <w:pPr>
        <w:ind w:firstLine="420"/>
      </w:pPr>
      <w:r>
        <w:t>输入后的电池编号首先显示在“编号列表”中。</w:t>
      </w:r>
      <w:r>
        <w:rPr>
          <w:rFonts w:hint="eastAsia"/>
        </w:rPr>
        <w:t>用户</w:t>
      </w:r>
      <w:r>
        <w:t>可以选择其中任意一个，用鼠标拖拽到测试通道上（不管通道是否工作）即可；也可以一次选择一批，用鼠标拖拽到测试通道上后，软件自动从指定通道开始，依次顺序填入。</w:t>
      </w:r>
    </w:p>
    <w:p>
      <w:pPr>
        <w:spacing w:line="240" w:lineRule="auto"/>
        <w:ind w:firstLine="0" w:firstLineChars="0"/>
      </w:pPr>
      <w:r>
        <w:rPr>
          <w:rFonts w:hint="eastAsia"/>
        </w:rPr>
        <w:t xml:space="preserve">   </w:t>
      </w:r>
      <w:r>
        <w:drawing>
          <wp:inline distT="0" distB="0" distL="114300" distR="114300">
            <wp:extent cx="5751195" cy="3604895"/>
            <wp:effectExtent l="0" t="0" r="1905" b="1460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43" cstate="print"/>
                    <a:stretch>
                      <a:fillRect/>
                    </a:stretch>
                  </pic:blipFill>
                  <pic:spPr>
                    <a:xfrm>
                      <a:off x="0" y="0"/>
                      <a:ext cx="5751195" cy="3604895"/>
                    </a:xfrm>
                    <a:prstGeom prst="rect">
                      <a:avLst/>
                    </a:prstGeom>
                    <a:noFill/>
                    <a:ln w="9525">
                      <a:noFill/>
                    </a:ln>
                  </pic:spPr>
                </pic:pic>
              </a:graphicData>
            </a:graphic>
          </wp:inline>
        </w:drawing>
      </w:r>
    </w:p>
    <w:p>
      <w:pPr>
        <w:spacing w:line="240" w:lineRule="auto"/>
        <w:ind w:firstLine="0" w:firstLineChars="0"/>
        <w:jc w:val="center"/>
      </w:pPr>
      <w:r>
        <w:rPr>
          <w:rFonts w:hint="eastAsia"/>
        </w:rPr>
        <w:t>图2.25  显示“电池编号”窗格时的主界面</w:t>
      </w:r>
    </w:p>
    <w:p>
      <w:pPr>
        <w:ind w:firstLine="420"/>
      </w:pPr>
      <w:r>
        <w:t>由于历史原因，</w:t>
      </w:r>
      <w:r>
        <w:rPr>
          <w:rFonts w:hint="eastAsia"/>
        </w:rPr>
        <w:t>蓝电</w:t>
      </w:r>
      <w:r>
        <w:t>电池测试软件</w:t>
      </w:r>
      <w:r>
        <w:rPr>
          <w:rFonts w:hint="eastAsia"/>
        </w:rPr>
        <w:t>的</w:t>
      </w:r>
      <w:r>
        <w:t>电池编号</w:t>
      </w:r>
      <w:r>
        <w:rPr>
          <w:rFonts w:hint="eastAsia"/>
        </w:rPr>
        <w:t>在早期</w:t>
      </w:r>
      <w:r>
        <w:t>作为“通道标注”使用，基于</w:t>
      </w:r>
      <w:r>
        <w:rPr>
          <w:rFonts w:hint="eastAsia"/>
        </w:rPr>
        <w:t>向下</w:t>
      </w:r>
      <w:r>
        <w:t>兼容考虑，每个通道被写入的电池编号会被自动记忆，即如果在一个通道上开始一个新的测试，</w:t>
      </w:r>
      <w:r>
        <w:rPr>
          <w:rFonts w:hint="eastAsia"/>
        </w:rPr>
        <w:t>那么</w:t>
      </w:r>
      <w:r>
        <w:t>原来的电池编号会被自动继承过来----除非</w:t>
      </w:r>
      <w:r>
        <w:rPr>
          <w:rFonts w:hint="eastAsia"/>
        </w:rPr>
        <w:t>用户</w:t>
      </w:r>
      <w:r>
        <w:t>特别地清除或改变它。这样处理的确也带来一些好处，例如，某些场合下，的确可以借用电池编号用标识通道。</w:t>
      </w:r>
    </w:p>
    <w:p>
      <w:pPr>
        <w:ind w:firstLine="420"/>
      </w:pPr>
      <w:r>
        <w:rPr>
          <w:rFonts w:hint="eastAsia"/>
        </w:rPr>
        <w:t>点击“电池编号窗格”的“</w:t>
      </w:r>
      <w:r>
        <w:t>从通道读出</w:t>
      </w:r>
      <w:r>
        <w:rPr>
          <w:rFonts w:hint="eastAsia"/>
        </w:rPr>
        <w:t>”按钮，可以</w:t>
      </w:r>
      <w:r>
        <w:t>将当前所有通道的</w:t>
      </w:r>
      <w:r>
        <w:rPr>
          <w:rFonts w:hint="eastAsia"/>
        </w:rPr>
        <w:t>“</w:t>
      </w:r>
      <w:r>
        <w:t>电池标号</w:t>
      </w:r>
      <w:r>
        <w:rPr>
          <w:rFonts w:hint="eastAsia"/>
        </w:rPr>
        <w:t>”</w:t>
      </w:r>
      <w:r>
        <w:t>读入到</w:t>
      </w:r>
      <w:r>
        <w:rPr>
          <w:rFonts w:hint="eastAsia"/>
        </w:rPr>
        <w:t>“</w:t>
      </w:r>
      <w:r>
        <w:t>编号列表</w:t>
      </w:r>
      <w:r>
        <w:rPr>
          <w:rFonts w:hint="eastAsia"/>
        </w:rPr>
        <w:t>”</w:t>
      </w:r>
      <w:r>
        <w:t>中。</w:t>
      </w:r>
    </w:p>
    <w:p>
      <w:pPr>
        <w:pStyle w:val="4"/>
        <w:rPr>
          <w:rFonts w:hint="default"/>
        </w:rPr>
      </w:pPr>
      <w:bookmarkStart w:id="145" w:name="_Toc10595"/>
      <w:bookmarkStart w:id="146" w:name="_Toc346263487"/>
      <w:bookmarkStart w:id="147" w:name="_Toc310587715"/>
      <w:bookmarkStart w:id="148" w:name="_Toc309907556"/>
      <w:bookmarkStart w:id="149" w:name="_Toc346203530"/>
      <w:bookmarkStart w:id="150" w:name="_Toc16222"/>
      <w:bookmarkStart w:id="151" w:name="_Toc309908751"/>
      <w:bookmarkStart w:id="152" w:name="_Toc309742579"/>
      <w:bookmarkStart w:id="153" w:name="_Toc309909410"/>
      <w:bookmarkStart w:id="154" w:name="_Toc309827057"/>
      <w:bookmarkStart w:id="155" w:name="_Toc309736566"/>
      <w:bookmarkStart w:id="156" w:name="_Toc309374932"/>
      <w:r>
        <w:t>2.1.6 “选项”菜单</w:t>
      </w:r>
      <w:bookmarkEnd w:id="145"/>
      <w:bookmarkEnd w:id="146"/>
      <w:bookmarkEnd w:id="147"/>
      <w:bookmarkEnd w:id="148"/>
      <w:bookmarkEnd w:id="149"/>
      <w:bookmarkEnd w:id="150"/>
      <w:bookmarkEnd w:id="151"/>
      <w:bookmarkEnd w:id="152"/>
      <w:bookmarkEnd w:id="153"/>
      <w:bookmarkEnd w:id="154"/>
      <w:bookmarkEnd w:id="155"/>
      <w:bookmarkEnd w:id="156"/>
    </w:p>
    <w:p>
      <w:pPr>
        <w:ind w:firstLine="420"/>
      </w:pPr>
      <w:bookmarkStart w:id="157" w:name="_Toc309909411"/>
      <w:bookmarkStart w:id="158" w:name="_Toc309374933"/>
      <w:bookmarkStart w:id="159" w:name="_Toc309736567"/>
      <w:bookmarkStart w:id="160" w:name="_Toc309907557"/>
      <w:bookmarkStart w:id="161" w:name="_Toc309827058"/>
      <w:bookmarkStart w:id="162" w:name="_Toc346263488"/>
      <w:bookmarkStart w:id="163" w:name="_Toc309742580"/>
      <w:bookmarkStart w:id="164" w:name="_Toc309908752"/>
      <w:bookmarkStart w:id="165" w:name="_Toc346203531"/>
      <w:bookmarkStart w:id="166" w:name="_Toc310587716"/>
      <w:r>
        <w:rPr>
          <w:rFonts w:hint="eastAsia"/>
        </w:rPr>
        <w:t>“选项(O)”菜单如图2.26所示，“编辑通道关联(E)...”、“通道关联导出(O)...”、“通道关联导入(I)...”和“设置仿真单元(E)</w:t>
      </w:r>
      <w:r>
        <w:t>...</w:t>
      </w:r>
      <w:r>
        <w:rPr>
          <w:rFonts w:hint="eastAsia"/>
        </w:rPr>
        <w:t>”仅在激活辅助通道后才有效。</w:t>
      </w:r>
    </w:p>
    <w:p>
      <w:pPr>
        <w:spacing w:line="240" w:lineRule="auto"/>
        <w:ind w:firstLine="420"/>
        <w:rPr>
          <w:rFonts w:ascii="宋体" w:hAnsi="宋体"/>
          <w:color w:val="000000"/>
        </w:rPr>
      </w:pPr>
      <w:r>
        <w:rPr>
          <w:rFonts w:hint="eastAsia"/>
        </w:rPr>
        <w:t xml:space="preserve">    </w:t>
      </w:r>
      <w:r>
        <w:drawing>
          <wp:inline distT="0" distB="0" distL="114300" distR="114300">
            <wp:extent cx="5012055" cy="1666240"/>
            <wp:effectExtent l="0" t="0" r="17145" b="1016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44" cstate="print"/>
                    <a:stretch>
                      <a:fillRect/>
                    </a:stretch>
                  </pic:blipFill>
                  <pic:spPr>
                    <a:xfrm>
                      <a:off x="0" y="0"/>
                      <a:ext cx="5012055" cy="1666240"/>
                    </a:xfrm>
                    <a:prstGeom prst="rect">
                      <a:avLst/>
                    </a:prstGeom>
                    <a:noFill/>
                    <a:ln w="9525">
                      <a:noFill/>
                    </a:ln>
                  </pic:spPr>
                </pic:pic>
              </a:graphicData>
            </a:graphic>
          </wp:inline>
        </w:drawing>
      </w:r>
    </w:p>
    <w:p>
      <w:pPr>
        <w:pStyle w:val="19"/>
      </w:pPr>
      <w:r>
        <w:rPr>
          <w:rFonts w:hint="eastAsia"/>
        </w:rPr>
        <w:t>图2.26  选项菜单</w:t>
      </w:r>
    </w:p>
    <w:p>
      <w:pPr>
        <w:ind w:firstLine="420"/>
      </w:pPr>
      <w:r>
        <w:rPr>
          <w:rFonts w:hint="eastAsia"/>
        </w:rPr>
        <w:t>“选项(O)&gt;报警设置(A)...”：“报警设置”窗口如图2.27所示，主要用于设置测试中出现指定的情况时，提醒用户。</w:t>
      </w:r>
    </w:p>
    <w:p>
      <w:pPr>
        <w:spacing w:line="360" w:lineRule="atLeast"/>
        <w:ind w:left="-15" w:leftChars="-7" w:firstLine="14" w:firstLineChars="7"/>
        <w:jc w:val="center"/>
        <w:rPr>
          <w:rFonts w:ascii="宋体" w:hAnsi="宋体"/>
          <w:color w:val="000000"/>
        </w:rPr>
      </w:pPr>
      <w:r>
        <w:drawing>
          <wp:inline distT="0" distB="0" distL="114300" distR="114300">
            <wp:extent cx="1666240" cy="1936750"/>
            <wp:effectExtent l="0" t="0" r="10160" b="6350"/>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7"/>
                    <pic:cNvPicPr>
                      <a:picLocks noChangeAspect="1"/>
                    </pic:cNvPicPr>
                  </pic:nvPicPr>
                  <pic:blipFill>
                    <a:blip r:embed="rId45" cstate="print"/>
                    <a:stretch>
                      <a:fillRect/>
                    </a:stretch>
                  </pic:blipFill>
                  <pic:spPr>
                    <a:xfrm>
                      <a:off x="0" y="0"/>
                      <a:ext cx="1666240" cy="1936750"/>
                    </a:xfrm>
                    <a:prstGeom prst="rect">
                      <a:avLst/>
                    </a:prstGeom>
                    <a:noFill/>
                    <a:ln w="9525">
                      <a:noFill/>
                    </a:ln>
                  </pic:spPr>
                </pic:pic>
              </a:graphicData>
            </a:graphic>
          </wp:inline>
        </w:drawing>
      </w:r>
    </w:p>
    <w:p>
      <w:pPr>
        <w:pStyle w:val="19"/>
      </w:pPr>
      <w:r>
        <w:rPr>
          <w:rFonts w:hint="eastAsia"/>
        </w:rPr>
        <w:t>图2.27  “报警设置”窗口</w:t>
      </w:r>
    </w:p>
    <w:p>
      <w:pPr>
        <w:ind w:firstLine="420"/>
      </w:pPr>
      <w:r>
        <w:rPr>
          <w:rFonts w:hint="eastAsia"/>
        </w:rPr>
        <w:t>“选项(O)&gt;显示设置(D)...”：如图2.28所示，“显示设置”对话框主要用来控制通道状态区域的显示方式。其中：</w:t>
      </w:r>
    </w:p>
    <w:p>
      <w:pPr>
        <w:ind w:firstLine="420"/>
      </w:pPr>
      <w:r>
        <w:rPr>
          <w:rFonts w:hint="eastAsia"/>
        </w:rPr>
        <w:sym w:font="Wingdings 2" w:char="00F6"/>
      </w:r>
      <w:r>
        <w:rPr>
          <w:rFonts w:hint="eastAsia"/>
        </w:rPr>
        <w:t>“</w:t>
      </w:r>
      <w:r>
        <w:t>经典通道编号</w:t>
      </w:r>
      <w:r>
        <w:rPr>
          <w:rFonts w:hint="eastAsia"/>
        </w:rPr>
        <w:t>”：各单元的通道均从1开始编排，此时，定位一个通道需要（单元编号，通道）两个信息，例如003_7。它本质上使用的是二维定位方法。</w:t>
      </w:r>
    </w:p>
    <w:p>
      <w:pPr>
        <w:ind w:firstLine="420"/>
      </w:pPr>
      <w:r>
        <w:rPr>
          <w:rFonts w:hint="eastAsia"/>
        </w:rPr>
        <w:sym w:font="Wingdings 2" w:char="00F6"/>
      </w:r>
      <w:r>
        <w:rPr>
          <w:rFonts w:hint="eastAsia"/>
        </w:rPr>
        <w:t>“通道整体编号”：通过一个简单的算式将二维坐标映射为一维坐标，即线性定位。它试图实现将所有通道按照1#、2#、3#、4#、5#、6#、7#、8#、9#、10#、11#...顺序统一编号。这里，使用“试图”一词的原因是软件不一定能绝对保证“顺序”，例如，当出现某个单元的通道数与其它单元不相同时。</w:t>
      </w:r>
    </w:p>
    <w:p>
      <w:pPr>
        <w:ind w:firstLine="420"/>
      </w:pPr>
      <w:r>
        <w:rPr>
          <w:rFonts w:hint="eastAsia"/>
        </w:rPr>
        <w:sym w:font="Wingdings 2" w:char="00F6"/>
      </w:r>
      <w:r>
        <w:rPr>
          <w:rFonts w:hint="eastAsia"/>
        </w:rPr>
        <w:t>“单元</w:t>
      </w:r>
      <w:r>
        <w:t>逻辑分组</w:t>
      </w:r>
      <w:r>
        <w:rPr>
          <w:rFonts w:hint="eastAsia"/>
        </w:rPr>
        <w:t>”：通常用于测试设备很多时的情况，比如同一台计算机驱动好几个机柜时，可以将分组对应一个机柜，这样，计算机显示与实际的物理设备有相似的分组规律，操作不容易出错。</w:t>
      </w:r>
    </w:p>
    <w:p>
      <w:pPr>
        <w:spacing w:line="360" w:lineRule="atLeast"/>
        <w:ind w:left="-15" w:leftChars="-7" w:firstLine="14" w:firstLineChars="7"/>
        <w:jc w:val="center"/>
        <w:rPr>
          <w:rFonts w:ascii="宋体" w:hAnsi="宋体"/>
          <w:color w:val="000000"/>
        </w:rPr>
      </w:pPr>
      <w:r>
        <w:drawing>
          <wp:inline distT="0" distB="0" distL="114300" distR="114300">
            <wp:extent cx="2620010" cy="2738120"/>
            <wp:effectExtent l="0" t="0" r="8890" b="5080"/>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pic:cNvPicPr>
                  </pic:nvPicPr>
                  <pic:blipFill>
                    <a:blip r:embed="rId46" cstate="print"/>
                    <a:stretch>
                      <a:fillRect/>
                    </a:stretch>
                  </pic:blipFill>
                  <pic:spPr>
                    <a:xfrm>
                      <a:off x="0" y="0"/>
                      <a:ext cx="2620010" cy="2738120"/>
                    </a:xfrm>
                    <a:prstGeom prst="rect">
                      <a:avLst/>
                    </a:prstGeom>
                    <a:noFill/>
                    <a:ln w="9525">
                      <a:noFill/>
                    </a:ln>
                  </pic:spPr>
                </pic:pic>
              </a:graphicData>
            </a:graphic>
          </wp:inline>
        </w:drawing>
      </w:r>
    </w:p>
    <w:p>
      <w:pPr>
        <w:pStyle w:val="19"/>
      </w:pPr>
      <w:r>
        <w:rPr>
          <w:rFonts w:hint="eastAsia"/>
        </w:rPr>
        <w:t>图2.28  “显示设置”窗口</w:t>
      </w:r>
    </w:p>
    <w:p>
      <w:pPr>
        <w:ind w:firstLine="420"/>
      </w:pPr>
      <w:r>
        <w:t>“</w:t>
      </w:r>
      <w:r>
        <w:rPr>
          <w:rFonts w:hint="eastAsia"/>
        </w:rPr>
        <w:t>选项(O)&gt;编辑通道关联(E)...”：如图2.29所示,“</w:t>
      </w:r>
      <w:r>
        <w:t>编辑通道关联</w:t>
      </w:r>
      <w:r>
        <w:rPr>
          <w:rFonts w:hint="eastAsia"/>
        </w:rPr>
        <w:t>”</w:t>
      </w:r>
      <w:r>
        <w:t>对话框是一个非模</w:t>
      </w:r>
      <w:r>
        <w:rPr>
          <w:rFonts w:hint="eastAsia"/>
        </w:rPr>
        <w:t>态</w:t>
      </w:r>
      <w:r>
        <w:t>对话框，即它允许不关闭该对话框而进行别的操作。这时，用户可以使用鼠标在主界面内选择主通道，然后选择需要关联的辅助通道，用户的选择结果会自动显示在</w:t>
      </w:r>
      <w:r>
        <w:rPr>
          <w:rFonts w:hint="eastAsia"/>
        </w:rPr>
        <w:t>“</w:t>
      </w:r>
      <w:r>
        <w:t>编辑通道关联</w:t>
      </w:r>
      <w:r>
        <w:rPr>
          <w:rFonts w:hint="eastAsia"/>
        </w:rPr>
        <w:t>”</w:t>
      </w:r>
      <w:r>
        <w:t>对话框中</w:t>
      </w:r>
      <w:r>
        <w:rPr>
          <w:rFonts w:hint="eastAsia"/>
        </w:rPr>
        <w:t>；</w:t>
      </w:r>
      <w:r>
        <w:t>用户也可以使用键盘</w:t>
      </w:r>
      <w:r>
        <w:rPr>
          <w:rFonts w:hint="eastAsia"/>
        </w:rPr>
        <w:t>在“</w:t>
      </w:r>
      <w:r>
        <w:t>编辑通道关联</w:t>
      </w:r>
      <w:r>
        <w:rPr>
          <w:rFonts w:hint="eastAsia"/>
        </w:rPr>
        <w:t>”</w:t>
      </w:r>
      <w:r>
        <w:t>对话框中直接编辑，增加或删除辅助通道。</w:t>
      </w:r>
    </w:p>
    <w:p>
      <w:pPr>
        <w:spacing w:line="240" w:lineRule="auto"/>
        <w:ind w:firstLine="0" w:firstLineChars="0"/>
        <w:rPr>
          <w:rFonts w:ascii="宋体" w:hAnsi="宋体"/>
          <w:color w:val="000000"/>
        </w:rPr>
      </w:pPr>
      <w:r>
        <w:drawing>
          <wp:inline distT="0" distB="0" distL="114300" distR="114300">
            <wp:extent cx="6192520" cy="3375025"/>
            <wp:effectExtent l="0" t="0" r="17780" b="1587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47" cstate="print"/>
                    <a:stretch>
                      <a:fillRect/>
                    </a:stretch>
                  </pic:blipFill>
                  <pic:spPr>
                    <a:xfrm>
                      <a:off x="0" y="0"/>
                      <a:ext cx="6192520" cy="3375025"/>
                    </a:xfrm>
                    <a:prstGeom prst="rect">
                      <a:avLst/>
                    </a:prstGeom>
                    <a:noFill/>
                    <a:ln w="9525">
                      <a:noFill/>
                    </a:ln>
                  </pic:spPr>
                </pic:pic>
              </a:graphicData>
            </a:graphic>
          </wp:inline>
        </w:drawing>
      </w:r>
    </w:p>
    <w:p>
      <w:pPr>
        <w:pStyle w:val="19"/>
      </w:pPr>
      <w:r>
        <w:rPr>
          <w:rFonts w:hint="eastAsia"/>
        </w:rPr>
        <w:t>图2.29  “编辑通道关联”展例</w:t>
      </w:r>
    </w:p>
    <w:p>
      <w:pPr>
        <w:spacing w:line="240" w:lineRule="auto"/>
        <w:ind w:firstLine="420"/>
      </w:pPr>
    </w:p>
    <w:p>
      <w:pPr>
        <w:ind w:firstLine="420"/>
      </w:pPr>
      <w:r>
        <w:t>设置完成后，</w:t>
      </w:r>
      <w:r>
        <w:rPr>
          <w:rFonts w:hint="eastAsia"/>
        </w:rPr>
        <w:t>点击“</w:t>
      </w:r>
      <w:r>
        <w:t>写入关联配置</w:t>
      </w:r>
      <w:r>
        <w:rPr>
          <w:rFonts w:hint="eastAsia"/>
        </w:rPr>
        <w:t>”</w:t>
      </w:r>
      <w:r>
        <w:t>按钮保存结果。未进行保存的视为放弃</w:t>
      </w:r>
      <w:r>
        <w:rPr>
          <w:rFonts w:hint="eastAsia"/>
        </w:rPr>
        <w:t>，</w:t>
      </w:r>
      <w:r>
        <w:t>已经保存的关联配置即</w:t>
      </w:r>
      <w:r>
        <w:rPr>
          <w:rFonts w:hint="eastAsia"/>
        </w:rPr>
        <w:t>刻</w:t>
      </w:r>
      <w:r>
        <w:t>生效，并且能够在软件下次重新启动时自动导入。</w:t>
      </w:r>
      <w:r>
        <w:rPr>
          <w:rFonts w:hint="eastAsia"/>
        </w:rPr>
        <w:t>这里，1</w:t>
      </w:r>
      <w:r>
        <w:t>个主通道最多可以关联32个辅助通道</w:t>
      </w:r>
      <w:r>
        <w:rPr>
          <w:rFonts w:hint="eastAsia"/>
        </w:rPr>
        <w:t>，</w:t>
      </w:r>
      <w:r>
        <w:t>一个辅助通道则可以被任意个数的主通道关联。</w:t>
      </w:r>
    </w:p>
    <w:p>
      <w:pPr>
        <w:ind w:firstLine="420"/>
      </w:pPr>
      <w:r>
        <w:t>软件不允许更改一个正在工作的主通道的关联配置。</w:t>
      </w:r>
    </w:p>
    <w:p>
      <w:pPr>
        <w:ind w:firstLine="420"/>
      </w:pPr>
      <w:r>
        <w:rPr>
          <w:rFonts w:hint="eastAsia"/>
        </w:rPr>
        <w:t>“选项(O)&gt;通道关联导出(O)...”：</w:t>
      </w:r>
      <w:r>
        <w:t>将全部主通道的</w:t>
      </w:r>
      <w:r>
        <w:rPr>
          <w:rFonts w:hint="eastAsia"/>
        </w:rPr>
        <w:t>所有</w:t>
      </w:r>
      <w:r>
        <w:t>关联信息</w:t>
      </w:r>
      <w:r>
        <w:rPr>
          <w:rFonts w:hint="eastAsia"/>
        </w:rPr>
        <w:t>以文本文件方式（.TXT）存盘</w:t>
      </w:r>
      <w:r>
        <w:t>。</w:t>
      </w:r>
    </w:p>
    <w:p>
      <w:pPr>
        <w:ind w:firstLine="420"/>
      </w:pPr>
      <w:r>
        <w:rPr>
          <w:rFonts w:hint="eastAsia"/>
        </w:rPr>
        <w:t>“选项(O)&gt;通道关联导入(I)...”：将磁盘上保存的</w:t>
      </w:r>
      <w:r>
        <w:t>全部主通道的</w:t>
      </w:r>
      <w:r>
        <w:rPr>
          <w:rFonts w:hint="eastAsia"/>
        </w:rPr>
        <w:t>所有</w:t>
      </w:r>
      <w:r>
        <w:t>关联信息</w:t>
      </w:r>
      <w:r>
        <w:rPr>
          <w:rFonts w:hint="eastAsia"/>
        </w:rPr>
        <w:t>导入。</w:t>
      </w:r>
    </w:p>
    <w:p>
      <w:pPr>
        <w:ind w:firstLine="420"/>
      </w:pPr>
      <w:r>
        <w:rPr>
          <w:rFonts w:hint="eastAsia" w:ascii="宋体" w:hAnsi="宋体" w:cs="宋体"/>
        </w:rPr>
        <w:t>“</w:t>
      </w:r>
      <w:r>
        <w:rPr>
          <w:rFonts w:hint="eastAsia"/>
        </w:rPr>
        <w:t>选项(O)&gt;设置仿真单元(E)...</w:t>
      </w:r>
      <w:r>
        <w:rPr>
          <w:rFonts w:hint="eastAsia" w:ascii="宋体" w:hAnsi="宋体" w:cs="宋体"/>
        </w:rPr>
        <w:t>”</w:t>
      </w:r>
      <w:r>
        <w:rPr>
          <w:rFonts w:hint="eastAsia"/>
        </w:rPr>
        <w:t>：</w:t>
      </w:r>
      <w:r>
        <w:t>“设置仿真单元”的含义是将一个单元上的所有主通道仿真为</w:t>
      </w:r>
      <w:r>
        <w:rPr>
          <w:rFonts w:hint="eastAsia"/>
        </w:rPr>
        <w:t>“电压”</w:t>
      </w:r>
      <w:r>
        <w:t>辅助通道（因为电压检测</w:t>
      </w:r>
      <w:r>
        <w:rPr>
          <w:rFonts w:hint="eastAsia"/>
        </w:rPr>
        <w:t>本身</w:t>
      </w:r>
      <w:r>
        <w:t>是主通道功能的一部分）</w:t>
      </w:r>
      <w:r>
        <w:rPr>
          <w:rFonts w:hint="eastAsia"/>
        </w:rPr>
        <w:t>。如图2.30所示。</w:t>
      </w:r>
      <w:r>
        <w:t>这里有一个隐含的限制：只有通道个数等于8的单元才允许仿真。</w:t>
      </w:r>
    </w:p>
    <w:p>
      <w:pPr>
        <w:spacing w:line="240" w:lineRule="auto"/>
        <w:ind w:firstLine="420"/>
        <w:rPr>
          <w:rFonts w:ascii="宋体" w:hAnsi="宋体"/>
          <w:color w:val="000000"/>
        </w:rPr>
      </w:pPr>
      <w:r>
        <w:rPr>
          <w:rFonts w:hint="eastAsia"/>
        </w:rPr>
        <w:t xml:space="preserve">                  </w:t>
      </w:r>
      <w:r>
        <w:drawing>
          <wp:inline distT="0" distB="0" distL="114300" distR="114300">
            <wp:extent cx="3290570" cy="2204085"/>
            <wp:effectExtent l="0" t="0" r="5080" b="571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48" cstate="print"/>
                    <a:stretch>
                      <a:fillRect/>
                    </a:stretch>
                  </pic:blipFill>
                  <pic:spPr>
                    <a:xfrm>
                      <a:off x="0" y="0"/>
                      <a:ext cx="3290570" cy="2204085"/>
                    </a:xfrm>
                    <a:prstGeom prst="rect">
                      <a:avLst/>
                    </a:prstGeom>
                    <a:noFill/>
                    <a:ln w="9525">
                      <a:noFill/>
                    </a:ln>
                  </pic:spPr>
                </pic:pic>
              </a:graphicData>
            </a:graphic>
          </wp:inline>
        </w:drawing>
      </w:r>
    </w:p>
    <w:p>
      <w:pPr>
        <w:pStyle w:val="19"/>
      </w:pPr>
      <w:r>
        <w:rPr>
          <w:rFonts w:hint="eastAsia"/>
        </w:rPr>
        <w:t>图2.30  “设置仿真单元”窗口</w:t>
      </w:r>
    </w:p>
    <w:p>
      <w:pPr>
        <w:pStyle w:val="4"/>
        <w:rPr>
          <w:rFonts w:hint="default"/>
        </w:rPr>
      </w:pPr>
      <w:bookmarkStart w:id="167" w:name="_Toc21012"/>
      <w:bookmarkStart w:id="168" w:name="_Toc19399"/>
      <w:r>
        <w:t>2.1.7 “工具”菜单</w:t>
      </w:r>
      <w:bookmarkEnd w:id="157"/>
      <w:bookmarkEnd w:id="158"/>
      <w:bookmarkEnd w:id="159"/>
      <w:bookmarkEnd w:id="160"/>
      <w:bookmarkEnd w:id="161"/>
      <w:bookmarkEnd w:id="162"/>
      <w:bookmarkEnd w:id="163"/>
      <w:bookmarkEnd w:id="164"/>
      <w:bookmarkEnd w:id="165"/>
      <w:bookmarkEnd w:id="166"/>
      <w:bookmarkEnd w:id="167"/>
      <w:bookmarkEnd w:id="168"/>
      <w:r>
        <w:tab/>
      </w:r>
    </w:p>
    <w:p>
      <w:pPr>
        <w:ind w:firstLine="420"/>
      </w:pPr>
      <w:r>
        <w:rPr>
          <w:rFonts w:hint="eastAsia"/>
        </w:rPr>
        <w:t>“工具(L)”菜单如图2.31所示。</w:t>
      </w:r>
    </w:p>
    <w:p>
      <w:pPr>
        <w:spacing w:line="240" w:lineRule="auto"/>
        <w:ind w:firstLine="420"/>
        <w:rPr>
          <w:rFonts w:ascii="宋体" w:hAnsi="宋体"/>
          <w:color w:val="000000"/>
        </w:rPr>
      </w:pPr>
      <w:r>
        <w:rPr>
          <w:rFonts w:hint="eastAsia"/>
        </w:rPr>
        <w:t xml:space="preserve">   </w:t>
      </w:r>
      <w:r>
        <w:drawing>
          <wp:inline distT="0" distB="0" distL="114300" distR="114300">
            <wp:extent cx="5126355" cy="1829435"/>
            <wp:effectExtent l="0" t="0" r="17145" b="184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49" cstate="print"/>
                    <a:srcRect r="346" b="1739"/>
                    <a:stretch>
                      <a:fillRect/>
                    </a:stretch>
                  </pic:blipFill>
                  <pic:spPr>
                    <a:xfrm>
                      <a:off x="0" y="0"/>
                      <a:ext cx="5126355" cy="1829435"/>
                    </a:xfrm>
                    <a:prstGeom prst="rect">
                      <a:avLst/>
                    </a:prstGeom>
                    <a:noFill/>
                    <a:ln w="9525">
                      <a:noFill/>
                    </a:ln>
                  </pic:spPr>
                </pic:pic>
              </a:graphicData>
            </a:graphic>
          </wp:inline>
        </w:drawing>
      </w:r>
    </w:p>
    <w:p>
      <w:pPr>
        <w:pStyle w:val="19"/>
      </w:pPr>
      <w:r>
        <w:rPr>
          <w:rFonts w:hint="eastAsia"/>
        </w:rPr>
        <w:t>图2.31  工具菜单</w:t>
      </w:r>
    </w:p>
    <w:p>
      <w:pPr>
        <w:ind w:firstLine="420"/>
      </w:pPr>
      <w:r>
        <w:rPr>
          <w:rFonts w:hint="eastAsia"/>
        </w:rPr>
        <w:t>“工具(L)&gt;变更通道(S)...”：此操作</w:t>
      </w:r>
      <w:r>
        <w:t>将一个通道上未完成的测试改换至另一个通道上继续进行，而数据文件自动接续</w:t>
      </w:r>
      <w:r>
        <w:rPr>
          <w:rFonts w:hint="eastAsia"/>
        </w:rPr>
        <w:t>，如图2.32所示。</w:t>
      </w:r>
    </w:p>
    <w:p>
      <w:pPr>
        <w:spacing w:line="240" w:lineRule="auto"/>
        <w:ind w:left="-15" w:leftChars="-7" w:firstLine="14" w:firstLineChars="7"/>
        <w:jc w:val="center"/>
        <w:rPr>
          <w:rFonts w:ascii="宋体" w:hAnsi="宋体"/>
          <w:color w:val="000000"/>
        </w:rPr>
      </w:pPr>
      <w:r>
        <w:drawing>
          <wp:inline distT="0" distB="0" distL="114300" distR="114300">
            <wp:extent cx="2117725" cy="1235075"/>
            <wp:effectExtent l="0" t="0" r="15875" b="317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50" cstate="print"/>
                    <a:stretch>
                      <a:fillRect/>
                    </a:stretch>
                  </pic:blipFill>
                  <pic:spPr>
                    <a:xfrm>
                      <a:off x="0" y="0"/>
                      <a:ext cx="2117725" cy="1235075"/>
                    </a:xfrm>
                    <a:prstGeom prst="rect">
                      <a:avLst/>
                    </a:prstGeom>
                    <a:noFill/>
                    <a:ln w="9525">
                      <a:noFill/>
                    </a:ln>
                  </pic:spPr>
                </pic:pic>
              </a:graphicData>
            </a:graphic>
          </wp:inline>
        </w:drawing>
      </w:r>
    </w:p>
    <w:p>
      <w:pPr>
        <w:pStyle w:val="19"/>
      </w:pPr>
      <w:r>
        <w:rPr>
          <w:rFonts w:hint="eastAsia"/>
        </w:rPr>
        <w:t>图2.32  “变更通道”窗口</w:t>
      </w:r>
    </w:p>
    <w:p>
      <w:pPr>
        <w:ind w:firstLine="420"/>
      </w:pPr>
      <w:r>
        <w:rPr>
          <w:rFonts w:hint="eastAsia"/>
        </w:rPr>
        <w:t>“工具(L)&gt;精度校准(C)...”：此操作只是以“嵌入态”方式激活精度校准软件（</w:t>
      </w:r>
      <w:r>
        <w:t>LANDCali</w:t>
      </w:r>
      <w:r>
        <w:rPr>
          <w:rFonts w:hint="eastAsia"/>
        </w:rPr>
        <w:t>）。精度校准软件（</w:t>
      </w:r>
      <w:r>
        <w:t>LANDCali</w:t>
      </w:r>
      <w:r>
        <w:rPr>
          <w:rFonts w:hint="eastAsia"/>
        </w:rPr>
        <w:t>）是蓝电电池测试系统软件的一个组件，它实现对测试设备的精度校准等功能。“嵌入态”方式允许用户“边测试，边校准”，即用户可以直接对一个机箱的（任意）通道进行校准，而完全不会影响同一个机箱上其它通道以及其它机箱的测试。</w:t>
      </w:r>
    </w:p>
    <w:p>
      <w:pPr>
        <w:ind w:firstLine="420"/>
      </w:pPr>
      <w:r>
        <w:rPr>
          <w:rFonts w:hint="eastAsia"/>
        </w:rPr>
        <w:t>“工具(L)&gt;查看系统备份(L)...”：此操作用于查看测试设备硬件系统核心参数在主机中的备份情况。如图2.33所示。</w:t>
      </w:r>
    </w:p>
    <w:p>
      <w:pPr>
        <w:spacing w:line="240" w:lineRule="auto"/>
        <w:ind w:firstLine="0" w:firstLineChars="0"/>
        <w:rPr>
          <w:rFonts w:ascii="宋体" w:hAnsi="宋体"/>
          <w:color w:val="000000"/>
        </w:rPr>
      </w:pPr>
      <w:r>
        <w:rPr>
          <w:rFonts w:hint="eastAsia"/>
        </w:rPr>
        <w:t xml:space="preserve">               </w:t>
      </w:r>
      <w:r>
        <w:drawing>
          <wp:inline distT="0" distB="0" distL="114300" distR="114300">
            <wp:extent cx="4281805" cy="3586480"/>
            <wp:effectExtent l="0" t="0" r="4445" b="13970"/>
            <wp:docPr id="83" name="图片 9" descr="7V1~6_36UI[1MPM)VP~9P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descr="7V1~6_36UI[1MPM)VP~9PDP"/>
                    <pic:cNvPicPr>
                      <a:picLocks noChangeAspect="1"/>
                    </pic:cNvPicPr>
                  </pic:nvPicPr>
                  <pic:blipFill>
                    <a:blip r:embed="rId51" cstate="print"/>
                    <a:stretch>
                      <a:fillRect/>
                    </a:stretch>
                  </pic:blipFill>
                  <pic:spPr>
                    <a:xfrm>
                      <a:off x="0" y="0"/>
                      <a:ext cx="4281805" cy="3586480"/>
                    </a:xfrm>
                    <a:prstGeom prst="rect">
                      <a:avLst/>
                    </a:prstGeom>
                    <a:noFill/>
                    <a:ln w="9525">
                      <a:noFill/>
                    </a:ln>
                  </pic:spPr>
                </pic:pic>
              </a:graphicData>
            </a:graphic>
          </wp:inline>
        </w:drawing>
      </w:r>
      <w:r>
        <w:rPr>
          <w:rFonts w:hint="eastAsia" w:ascii="宋体" w:hAnsi="宋体"/>
          <w:color w:val="000000"/>
        </w:rPr>
        <w:t xml:space="preserve"> </w:t>
      </w:r>
    </w:p>
    <w:p>
      <w:pPr>
        <w:pStyle w:val="19"/>
      </w:pPr>
      <w:r>
        <w:rPr>
          <w:rFonts w:hint="eastAsia"/>
        </w:rPr>
        <w:t>图2.33  “查看系统备份数据”窗口</w:t>
      </w:r>
    </w:p>
    <w:p>
      <w:pPr>
        <w:ind w:firstLine="420"/>
      </w:pPr>
      <w:r>
        <w:rPr>
          <w:rFonts w:hint="eastAsia"/>
        </w:rPr>
        <w:t>“工具(L)&gt;系统扫描∕恢复(R)...”：有了主机中硬件参数备份，就可以在系统硬件参数遭遇破坏时，快速恢复系统。如图2.34所示，执行一次系统扫描，获得的“系统扫描结果”窗口如图2.35所示。</w:t>
      </w:r>
    </w:p>
    <w:p>
      <w:pPr>
        <w:pStyle w:val="40"/>
        <w:spacing w:line="240" w:lineRule="auto"/>
        <w:ind w:firstLine="420"/>
        <w:rPr>
          <w:rFonts w:ascii="宋体" w:hAnsi="宋体"/>
          <w:color w:val="000000"/>
        </w:rPr>
      </w:pPr>
      <w:r>
        <w:rPr>
          <w:rFonts w:hint="eastAsia"/>
        </w:rPr>
        <w:t xml:space="preserve">                         </w:t>
      </w:r>
      <w:r>
        <w:drawing>
          <wp:inline distT="0" distB="0" distL="114300" distR="114300">
            <wp:extent cx="2297430" cy="1036955"/>
            <wp:effectExtent l="0" t="0" r="7620" b="1079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52" cstate="print"/>
                    <a:stretch>
                      <a:fillRect/>
                    </a:stretch>
                  </pic:blipFill>
                  <pic:spPr>
                    <a:xfrm>
                      <a:off x="0" y="0"/>
                      <a:ext cx="2297430" cy="1036955"/>
                    </a:xfrm>
                    <a:prstGeom prst="rect">
                      <a:avLst/>
                    </a:prstGeom>
                    <a:noFill/>
                    <a:ln w="9525">
                      <a:noFill/>
                    </a:ln>
                  </pic:spPr>
                </pic:pic>
              </a:graphicData>
            </a:graphic>
          </wp:inline>
        </w:drawing>
      </w:r>
    </w:p>
    <w:p>
      <w:pPr>
        <w:pStyle w:val="19"/>
      </w:pPr>
      <w:r>
        <w:rPr>
          <w:rFonts w:hint="eastAsia"/>
        </w:rPr>
        <w:t>图2.34  “系统扫描”窗口</w:t>
      </w:r>
    </w:p>
    <w:p>
      <w:pPr>
        <w:spacing w:line="240" w:lineRule="auto"/>
        <w:ind w:firstLine="420"/>
        <w:rPr>
          <w:rFonts w:ascii="宋体" w:hAnsi="宋体"/>
          <w:color w:val="000000"/>
        </w:rPr>
      </w:pPr>
      <w:r>
        <w:rPr>
          <w:rFonts w:hint="eastAsia"/>
        </w:rPr>
        <w:t xml:space="preserve">           </w:t>
      </w:r>
      <w:r>
        <w:drawing>
          <wp:inline distT="0" distB="0" distL="114300" distR="114300">
            <wp:extent cx="4117340" cy="3564255"/>
            <wp:effectExtent l="0" t="0" r="16510" b="1714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53" cstate="print"/>
                    <a:stretch>
                      <a:fillRect/>
                    </a:stretch>
                  </pic:blipFill>
                  <pic:spPr>
                    <a:xfrm>
                      <a:off x="0" y="0"/>
                      <a:ext cx="4117340" cy="3564255"/>
                    </a:xfrm>
                    <a:prstGeom prst="rect">
                      <a:avLst/>
                    </a:prstGeom>
                    <a:noFill/>
                    <a:ln w="9525">
                      <a:noFill/>
                    </a:ln>
                  </pic:spPr>
                </pic:pic>
              </a:graphicData>
            </a:graphic>
          </wp:inline>
        </w:drawing>
      </w:r>
    </w:p>
    <w:p>
      <w:pPr>
        <w:pStyle w:val="19"/>
      </w:pPr>
      <w:r>
        <w:rPr>
          <w:rFonts w:hint="eastAsia"/>
        </w:rPr>
        <w:t>图2.35  “系统扫描结果”窗口</w:t>
      </w:r>
    </w:p>
    <w:p>
      <w:pPr>
        <w:ind w:firstLine="420"/>
      </w:pPr>
      <w:r>
        <w:rPr>
          <w:rFonts w:hint="eastAsia"/>
        </w:rPr>
        <w:t>从“系统扫描结果”窗口可以看到，每一个扫描记录对应一个单元编号，扫描记录有详细的提示。对于有疑问的记录，前面标记有“＊”以示区别。对有疑问的扫描记录，用户可以执行“重试”（按钮）以重新扫描对应的单元编号，或直接执行“恢复”（按钮）以修复对应</w:t>
      </w:r>
      <w:r>
        <w:t>ID</w:t>
      </w:r>
      <w:r>
        <w:rPr>
          <w:rFonts w:hint="eastAsia"/>
        </w:rPr>
        <w:t>号的设备。</w:t>
      </w:r>
    </w:p>
    <w:p>
      <w:pPr>
        <w:ind w:firstLine="420"/>
        <w:rPr>
          <w:rFonts w:ascii="宋体" w:hAnsi="宋体"/>
          <w:color w:val="000000"/>
        </w:rPr>
      </w:pPr>
      <w:r>
        <w:rPr>
          <w:rFonts w:hint="eastAsia"/>
        </w:rPr>
        <w:t>“工具(L)&gt;收集设备信息(L)...”：此操作用于收集所有的测试设备硬件信息并存盘，通常用于设备维修，图2.36所示的窗口提示执行此操作共收集了多少个设备信息，点击提示框的“确定”按钮后打开“另存为”对话框对设备信息进行保存。</w:t>
      </w:r>
    </w:p>
    <w:p>
      <w:pPr>
        <w:pStyle w:val="40"/>
        <w:spacing w:line="240" w:lineRule="auto"/>
        <w:ind w:firstLine="420"/>
        <w:rPr>
          <w:rFonts w:ascii="宋体" w:hAnsi="宋体"/>
          <w:color w:val="000000"/>
        </w:rPr>
      </w:pPr>
      <w:r>
        <w:rPr>
          <w:rFonts w:hint="eastAsia"/>
        </w:rPr>
        <w:t xml:space="preserve">                        </w:t>
      </w:r>
      <w:r>
        <w:drawing>
          <wp:inline distT="0" distB="0" distL="114300" distR="114300">
            <wp:extent cx="2397760" cy="1494155"/>
            <wp:effectExtent l="0" t="0" r="2540" b="1079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54" cstate="print"/>
                    <a:stretch>
                      <a:fillRect/>
                    </a:stretch>
                  </pic:blipFill>
                  <pic:spPr>
                    <a:xfrm>
                      <a:off x="0" y="0"/>
                      <a:ext cx="2397760" cy="1494155"/>
                    </a:xfrm>
                    <a:prstGeom prst="rect">
                      <a:avLst/>
                    </a:prstGeom>
                    <a:noFill/>
                    <a:ln w="9525">
                      <a:noFill/>
                    </a:ln>
                  </pic:spPr>
                </pic:pic>
              </a:graphicData>
            </a:graphic>
          </wp:inline>
        </w:drawing>
      </w:r>
    </w:p>
    <w:p>
      <w:pPr>
        <w:pStyle w:val="19"/>
      </w:pPr>
      <w:r>
        <w:rPr>
          <w:rFonts w:hint="eastAsia"/>
        </w:rPr>
        <w:t>图2.36  “收集设备信息”提示窗口</w:t>
      </w:r>
    </w:p>
    <w:p>
      <w:pPr>
        <w:ind w:firstLine="420"/>
      </w:pPr>
      <w:r>
        <w:rPr>
          <w:rFonts w:hint="eastAsia"/>
        </w:rPr>
        <w:t>“工具(L)&gt;列举通信端口(E)</w:t>
      </w:r>
      <w:r>
        <w:t>.</w:t>
      </w:r>
      <w:r>
        <w:rPr>
          <w:rFonts w:hint="eastAsia"/>
        </w:rPr>
        <w:t>..”：在图2.37所示的窗口中点击“列举”按钮，即可执行一次搜索操作。搜索本机可用的RS232通信端口，并在窗口中显示出来，告知用户本机当前可用通信端口的具体使用情况</w:t>
      </w:r>
      <w:r>
        <w:t>。</w:t>
      </w:r>
    </w:p>
    <w:p>
      <w:pPr>
        <w:pStyle w:val="40"/>
        <w:spacing w:line="240" w:lineRule="auto"/>
        <w:ind w:firstLine="420"/>
        <w:rPr>
          <w:rFonts w:ascii="宋体" w:hAnsi="宋体"/>
          <w:color w:val="000000"/>
        </w:rPr>
      </w:pPr>
      <w:r>
        <w:rPr>
          <w:rFonts w:hint="eastAsia"/>
        </w:rPr>
        <w:t xml:space="preserve">                     </w:t>
      </w:r>
      <w:r>
        <w:drawing>
          <wp:inline distT="0" distB="0" distL="114300" distR="114300">
            <wp:extent cx="2899410" cy="2127250"/>
            <wp:effectExtent l="0" t="0" r="15240" b="635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55" cstate="print"/>
                    <a:stretch>
                      <a:fillRect/>
                    </a:stretch>
                  </pic:blipFill>
                  <pic:spPr>
                    <a:xfrm>
                      <a:off x="0" y="0"/>
                      <a:ext cx="2899410" cy="2127250"/>
                    </a:xfrm>
                    <a:prstGeom prst="rect">
                      <a:avLst/>
                    </a:prstGeom>
                    <a:noFill/>
                    <a:ln w="9525">
                      <a:noFill/>
                    </a:ln>
                  </pic:spPr>
                </pic:pic>
              </a:graphicData>
            </a:graphic>
          </wp:inline>
        </w:drawing>
      </w:r>
    </w:p>
    <w:p>
      <w:pPr>
        <w:pStyle w:val="19"/>
      </w:pPr>
      <w:r>
        <w:rPr>
          <w:rFonts w:hint="eastAsia"/>
        </w:rPr>
        <w:t>图2.37  “列举通信端口”窗口</w:t>
      </w:r>
    </w:p>
    <w:p>
      <w:pPr>
        <w:pStyle w:val="4"/>
        <w:rPr>
          <w:rFonts w:hint="default"/>
        </w:rPr>
      </w:pPr>
      <w:bookmarkStart w:id="169" w:name="_Toc20418"/>
      <w:bookmarkStart w:id="170" w:name="_Toc346263489"/>
      <w:bookmarkStart w:id="171" w:name="_Toc346203532"/>
      <w:bookmarkStart w:id="172" w:name="_Toc309908753"/>
      <w:bookmarkStart w:id="173" w:name="_Toc309827059"/>
      <w:bookmarkStart w:id="174" w:name="_Toc309736568"/>
      <w:bookmarkStart w:id="175" w:name="_Toc309374934"/>
      <w:bookmarkStart w:id="176" w:name="_Toc310587717"/>
      <w:bookmarkStart w:id="177" w:name="_Toc8287"/>
      <w:bookmarkStart w:id="178" w:name="_Toc309907558"/>
      <w:bookmarkStart w:id="179" w:name="_Toc309909412"/>
      <w:bookmarkStart w:id="180" w:name="_Toc309742581"/>
      <w:r>
        <w:t>2.1.8 “帮助”菜单</w:t>
      </w:r>
      <w:bookmarkEnd w:id="169"/>
      <w:bookmarkEnd w:id="170"/>
      <w:bookmarkEnd w:id="171"/>
      <w:bookmarkEnd w:id="172"/>
      <w:bookmarkEnd w:id="173"/>
      <w:bookmarkEnd w:id="174"/>
      <w:bookmarkEnd w:id="175"/>
      <w:bookmarkEnd w:id="176"/>
      <w:bookmarkEnd w:id="177"/>
      <w:bookmarkEnd w:id="178"/>
      <w:bookmarkEnd w:id="179"/>
      <w:bookmarkEnd w:id="180"/>
    </w:p>
    <w:p>
      <w:pPr>
        <w:ind w:firstLine="420"/>
      </w:pPr>
      <w:bookmarkStart w:id="181" w:name="_Toc309827060"/>
      <w:bookmarkStart w:id="182" w:name="_Toc309742582"/>
      <w:bookmarkStart w:id="183" w:name="_Toc346203533"/>
      <w:bookmarkStart w:id="184" w:name="_Toc310587718"/>
      <w:bookmarkStart w:id="185" w:name="_Toc309908754"/>
      <w:bookmarkStart w:id="186" w:name="_Toc309907559"/>
      <w:bookmarkStart w:id="187" w:name="_Toc309736569"/>
      <w:bookmarkStart w:id="188" w:name="_Toc309374935"/>
      <w:bookmarkStart w:id="189" w:name="_Toc309909413"/>
      <w:bookmarkStart w:id="190" w:name="_Toc346263490"/>
      <w:r>
        <w:rPr>
          <w:rFonts w:hint="eastAsia"/>
        </w:rPr>
        <w:t>“帮助(H)”菜单如图2.38所示。</w:t>
      </w:r>
    </w:p>
    <w:p>
      <w:pPr>
        <w:spacing w:line="240" w:lineRule="auto"/>
        <w:ind w:firstLine="420"/>
        <w:rPr>
          <w:rFonts w:ascii="宋体" w:hAnsi="宋体"/>
          <w:color w:val="000000"/>
        </w:rPr>
      </w:pPr>
      <w:r>
        <w:drawing>
          <wp:inline distT="0" distB="0" distL="114300" distR="114300">
            <wp:extent cx="5516880" cy="1367155"/>
            <wp:effectExtent l="0" t="0" r="7620" b="444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56" cstate="print"/>
                    <a:srcRect r="833" b="2755"/>
                    <a:stretch>
                      <a:fillRect/>
                    </a:stretch>
                  </pic:blipFill>
                  <pic:spPr>
                    <a:xfrm>
                      <a:off x="0" y="0"/>
                      <a:ext cx="5516880" cy="1367155"/>
                    </a:xfrm>
                    <a:prstGeom prst="rect">
                      <a:avLst/>
                    </a:prstGeom>
                    <a:noFill/>
                    <a:ln w="9525">
                      <a:noFill/>
                    </a:ln>
                  </pic:spPr>
                </pic:pic>
              </a:graphicData>
            </a:graphic>
          </wp:inline>
        </w:drawing>
      </w:r>
    </w:p>
    <w:p>
      <w:pPr>
        <w:pStyle w:val="19"/>
      </w:pPr>
      <w:r>
        <w:rPr>
          <w:rFonts w:hint="eastAsia"/>
        </w:rPr>
        <w:t>图2.38  帮助菜单</w:t>
      </w:r>
    </w:p>
    <w:p>
      <w:pPr>
        <w:ind w:firstLine="420"/>
      </w:pPr>
      <w:r>
        <w:rPr>
          <w:rFonts w:hint="eastAsia"/>
        </w:rPr>
        <w:t>“帮助(H)&gt;关于LANDMon(A)...”：执行此操作弹出图2.39所示的“关于LANDMon”窗口，显示本软件的版本、版权等信息。</w:t>
      </w:r>
    </w:p>
    <w:p>
      <w:pPr>
        <w:spacing w:line="240" w:lineRule="auto"/>
        <w:ind w:firstLine="420"/>
        <w:rPr>
          <w:rFonts w:ascii="宋体" w:hAnsi="宋体"/>
          <w:color w:val="000000"/>
        </w:rPr>
      </w:pPr>
      <w:r>
        <w:rPr>
          <w:rFonts w:hint="eastAsia"/>
        </w:rPr>
        <w:t xml:space="preserve">                     </w:t>
      </w:r>
      <w:r>
        <w:drawing>
          <wp:inline distT="0" distB="0" distL="114300" distR="114300">
            <wp:extent cx="2932430" cy="1278890"/>
            <wp:effectExtent l="0" t="0" r="1270" b="16510"/>
            <wp:docPr id="6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9"/>
                    <pic:cNvPicPr>
                      <a:picLocks noChangeAspect="1"/>
                    </pic:cNvPicPr>
                  </pic:nvPicPr>
                  <pic:blipFill>
                    <a:blip r:embed="rId57" cstate="print"/>
                    <a:stretch>
                      <a:fillRect/>
                    </a:stretch>
                  </pic:blipFill>
                  <pic:spPr>
                    <a:xfrm>
                      <a:off x="0" y="0"/>
                      <a:ext cx="2932430" cy="1278890"/>
                    </a:xfrm>
                    <a:prstGeom prst="rect">
                      <a:avLst/>
                    </a:prstGeom>
                    <a:noFill/>
                    <a:ln w="9525">
                      <a:noFill/>
                    </a:ln>
                  </pic:spPr>
                </pic:pic>
              </a:graphicData>
            </a:graphic>
          </wp:inline>
        </w:drawing>
      </w:r>
    </w:p>
    <w:p>
      <w:pPr>
        <w:pStyle w:val="19"/>
      </w:pPr>
      <w:r>
        <w:rPr>
          <w:rFonts w:hint="eastAsia"/>
        </w:rPr>
        <w:t>图2.39  “关于LANDMon”窗口</w:t>
      </w:r>
    </w:p>
    <w:p>
      <w:pPr>
        <w:ind w:firstLine="420"/>
      </w:pPr>
      <w:r>
        <w:rPr>
          <w:rFonts w:hint="eastAsia"/>
        </w:rPr>
        <w:t>“帮助(H)&gt;LANHE.sys信息(L)”：执行此操作弹出图2.40所示的“LANHE.sys信息”窗口，显示本软件的文件版本、数据生成时间、数据最近更新至、提示等信息。</w:t>
      </w:r>
    </w:p>
    <w:p>
      <w:pPr>
        <w:spacing w:line="240" w:lineRule="auto"/>
        <w:ind w:firstLine="420"/>
      </w:pPr>
      <w:r>
        <w:rPr>
          <w:rFonts w:hint="eastAsia"/>
        </w:rPr>
        <w:t xml:space="preserve">                  </w:t>
      </w:r>
      <w:r>
        <w:drawing>
          <wp:inline distT="0" distB="0" distL="114300" distR="114300">
            <wp:extent cx="3239135" cy="1442720"/>
            <wp:effectExtent l="0" t="0" r="18415" b="508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58" cstate="print"/>
                    <a:stretch>
                      <a:fillRect/>
                    </a:stretch>
                  </pic:blipFill>
                  <pic:spPr>
                    <a:xfrm>
                      <a:off x="0" y="0"/>
                      <a:ext cx="3239135" cy="1442720"/>
                    </a:xfrm>
                    <a:prstGeom prst="rect">
                      <a:avLst/>
                    </a:prstGeom>
                    <a:noFill/>
                    <a:ln w="9525">
                      <a:noFill/>
                    </a:ln>
                  </pic:spPr>
                </pic:pic>
              </a:graphicData>
            </a:graphic>
          </wp:inline>
        </w:drawing>
      </w:r>
    </w:p>
    <w:p>
      <w:pPr>
        <w:pStyle w:val="19"/>
      </w:pPr>
      <w:r>
        <w:rPr>
          <w:rFonts w:hint="eastAsia"/>
        </w:rPr>
        <w:t>图2.40  “LANHE.sys信息”窗口</w:t>
      </w:r>
    </w:p>
    <w:p>
      <w:pPr>
        <w:ind w:firstLine="420"/>
      </w:pPr>
      <w:r>
        <w:rPr>
          <w:rFonts w:hint="eastAsia"/>
        </w:rPr>
        <w:t>“帮助(H)&gt;系统设备管理器(D)...”：执行此操作将调出</w:t>
      </w:r>
      <w:r>
        <w:t>WINDOWS</w:t>
      </w:r>
      <w:r>
        <w:rPr>
          <w:rFonts w:hint="eastAsia"/>
        </w:rPr>
        <w:t>系统</w:t>
      </w:r>
      <w:r>
        <w:t>Device Manager</w:t>
      </w:r>
      <w:r>
        <w:rPr>
          <w:rFonts w:hint="eastAsia"/>
        </w:rPr>
        <w:t>，显示计算机的设备管理器信息。</w:t>
      </w:r>
    </w:p>
    <w:p>
      <w:pPr>
        <w:ind w:firstLine="420"/>
      </w:pPr>
      <w:r>
        <w:rPr>
          <w:rFonts w:hint="eastAsia"/>
        </w:rPr>
        <w:t>“帮助(H)&gt;系统信息(I)...”：执行此操作将调出</w:t>
      </w:r>
      <w:r>
        <w:t>WINDOWS</w:t>
      </w:r>
      <w:r>
        <w:rPr>
          <w:rFonts w:hint="eastAsia"/>
        </w:rPr>
        <w:t>系统SystemInfo，显示计算机软硬件系统信息。</w:t>
      </w:r>
    </w:p>
    <w:p>
      <w:pPr>
        <w:pStyle w:val="3"/>
      </w:pPr>
      <w:bookmarkStart w:id="191" w:name="_Toc21219"/>
      <w:bookmarkStart w:id="192" w:name="_Toc22028"/>
      <w:r>
        <w:rPr>
          <w:rFonts w:hint="eastAsia"/>
        </w:rPr>
        <w:t>2.2 工具栏</w:t>
      </w:r>
      <w:bookmarkEnd w:id="181"/>
      <w:bookmarkEnd w:id="182"/>
      <w:bookmarkEnd w:id="183"/>
      <w:bookmarkEnd w:id="184"/>
      <w:bookmarkEnd w:id="185"/>
      <w:bookmarkEnd w:id="186"/>
      <w:bookmarkEnd w:id="187"/>
      <w:bookmarkEnd w:id="188"/>
      <w:bookmarkEnd w:id="189"/>
      <w:bookmarkEnd w:id="190"/>
      <w:bookmarkEnd w:id="191"/>
      <w:bookmarkEnd w:id="192"/>
    </w:p>
    <w:p>
      <w:pPr>
        <w:ind w:firstLine="420"/>
      </w:pPr>
      <w:r>
        <w:rPr>
          <w:rFonts w:hint="eastAsia"/>
        </w:rPr>
        <w:t>工具栏如图2.41所示，频繁使用的菜单项以图标的方式出现在工具栏里，方便用户。</w:t>
      </w:r>
    </w:p>
    <w:p>
      <w:pPr>
        <w:ind w:firstLine="0" w:firstLineChars="0"/>
        <w:rPr>
          <w:rFonts w:ascii="宋体" w:hAnsi="宋体"/>
          <w:color w:val="000000"/>
        </w:rPr>
      </w:pPr>
      <w:r>
        <w:drawing>
          <wp:inline distT="0" distB="0" distL="114300" distR="114300">
            <wp:extent cx="6473825" cy="277495"/>
            <wp:effectExtent l="0" t="0" r="3175" b="825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59" cstate="print"/>
                    <a:srcRect l="1364" t="7009" r="626" b="5374"/>
                    <a:stretch>
                      <a:fillRect/>
                    </a:stretch>
                  </pic:blipFill>
                  <pic:spPr>
                    <a:xfrm>
                      <a:off x="0" y="0"/>
                      <a:ext cx="6473825" cy="277495"/>
                    </a:xfrm>
                    <a:prstGeom prst="rect">
                      <a:avLst/>
                    </a:prstGeom>
                    <a:noFill/>
                    <a:ln w="9525">
                      <a:noFill/>
                    </a:ln>
                  </pic:spPr>
                </pic:pic>
              </a:graphicData>
            </a:graphic>
          </wp:inline>
        </w:drawing>
      </w:r>
    </w:p>
    <w:p>
      <w:pPr>
        <w:pStyle w:val="19"/>
      </w:pPr>
      <w:r>
        <w:rPr>
          <w:rFonts w:hint="eastAsia"/>
        </w:rPr>
        <w:t>图2.41  工具栏</w:t>
      </w:r>
    </w:p>
    <w:p>
      <w:pPr>
        <w:pStyle w:val="4"/>
        <w:rPr>
          <w:rFonts w:hint="default"/>
        </w:rPr>
      </w:pPr>
      <w:bookmarkStart w:id="193" w:name="_Toc309907560"/>
      <w:bookmarkStart w:id="194" w:name="_Toc27316"/>
      <w:bookmarkStart w:id="195" w:name="_Toc346263491"/>
      <w:bookmarkStart w:id="196" w:name="_Toc30678"/>
      <w:bookmarkStart w:id="197" w:name="_Toc309909414"/>
      <w:bookmarkStart w:id="198" w:name="_Toc309374936"/>
      <w:bookmarkStart w:id="199" w:name="_Toc309742583"/>
      <w:bookmarkStart w:id="200" w:name="_Toc346203534"/>
      <w:bookmarkStart w:id="201" w:name="_Toc309736570"/>
      <w:bookmarkStart w:id="202" w:name="_Toc310587719"/>
      <w:bookmarkStart w:id="203" w:name="_Toc309827061"/>
      <w:bookmarkStart w:id="204" w:name="_Toc309908755"/>
      <w:r>
        <w:t>2.2.1 连接快捷项</w:t>
      </w:r>
      <w:bookmarkEnd w:id="193"/>
      <w:bookmarkEnd w:id="194"/>
      <w:bookmarkEnd w:id="195"/>
      <w:bookmarkEnd w:id="196"/>
      <w:bookmarkEnd w:id="197"/>
      <w:bookmarkEnd w:id="198"/>
      <w:bookmarkEnd w:id="199"/>
      <w:bookmarkEnd w:id="200"/>
      <w:bookmarkEnd w:id="201"/>
      <w:bookmarkEnd w:id="202"/>
      <w:bookmarkEnd w:id="203"/>
      <w:bookmarkEnd w:id="204"/>
    </w:p>
    <w:p>
      <w:pPr>
        <w:ind w:firstLine="420"/>
      </w:pPr>
      <w:bookmarkStart w:id="205" w:name="_Toc309909415"/>
      <w:bookmarkStart w:id="206" w:name="_Toc346203535"/>
      <w:bookmarkStart w:id="207" w:name="_Toc310587720"/>
      <w:bookmarkStart w:id="208" w:name="_Toc309827062"/>
      <w:bookmarkStart w:id="209" w:name="_Toc309907561"/>
      <w:bookmarkStart w:id="210" w:name="_Toc309908756"/>
      <w:bookmarkStart w:id="211" w:name="_Toc309374937"/>
      <w:bookmarkStart w:id="212" w:name="_Toc309742584"/>
      <w:bookmarkStart w:id="213" w:name="_Toc309736571"/>
      <w:bookmarkStart w:id="214" w:name="_Toc346263492"/>
      <w:r>
        <w:rPr>
          <w:rFonts w:hint="eastAsia"/>
        </w:rPr>
        <w:t>连接快捷项下拉列表框会记录历史输入的IP地址或主机名字，如图2.42所示。</w:t>
      </w:r>
    </w:p>
    <w:p>
      <w:pPr>
        <w:spacing w:line="240" w:lineRule="auto"/>
        <w:ind w:firstLine="0" w:firstLineChars="0"/>
      </w:pPr>
      <w:r>
        <w:rPr>
          <w:rFonts w:hint="eastAsia"/>
        </w:rPr>
        <w:t xml:space="preserve">         </w:t>
      </w:r>
      <w:r>
        <w:drawing>
          <wp:inline distT="0" distB="0" distL="114300" distR="114300">
            <wp:extent cx="4929505" cy="1163955"/>
            <wp:effectExtent l="0" t="0" r="4445" b="17145"/>
            <wp:docPr id="7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1"/>
                    <pic:cNvPicPr>
                      <a:picLocks noChangeAspect="1"/>
                    </pic:cNvPicPr>
                  </pic:nvPicPr>
                  <pic:blipFill>
                    <a:blip r:embed="rId60" cstate="print"/>
                    <a:srcRect r="594" b="3915"/>
                    <a:stretch>
                      <a:fillRect/>
                    </a:stretch>
                  </pic:blipFill>
                  <pic:spPr>
                    <a:xfrm>
                      <a:off x="0" y="0"/>
                      <a:ext cx="4929505" cy="1163955"/>
                    </a:xfrm>
                    <a:prstGeom prst="rect">
                      <a:avLst/>
                    </a:prstGeom>
                    <a:noFill/>
                    <a:ln w="9525">
                      <a:noFill/>
                    </a:ln>
                  </pic:spPr>
                </pic:pic>
              </a:graphicData>
            </a:graphic>
          </wp:inline>
        </w:drawing>
      </w:r>
    </w:p>
    <w:p>
      <w:pPr>
        <w:pStyle w:val="19"/>
      </w:pPr>
      <w:r>
        <w:rPr>
          <w:rFonts w:hint="eastAsia"/>
        </w:rPr>
        <w:t>图2.42  “快捷连接”下拉框</w:t>
      </w:r>
    </w:p>
    <w:p>
      <w:pPr>
        <w:ind w:firstLine="420"/>
      </w:pPr>
      <w:r>
        <w:rPr>
          <w:rFonts w:hint="eastAsia"/>
        </w:rPr>
        <w:t>当LANDMon连接本地内核时，在“连接”地址栏中选择“&lt;本地&gt;”即可；</w:t>
      </w:r>
    </w:p>
    <w:p>
      <w:pPr>
        <w:ind w:firstLine="420"/>
      </w:pPr>
      <w:r>
        <w:rPr>
          <w:rFonts w:hint="eastAsia"/>
        </w:rPr>
        <w:t>当LANDMon连接远程内核时，在保证远程内核已经运行的前提下:如果连接处于同一局域网内的内核主机，则在“连接”地址栏输入内核主机的“主机名”或者“</w:t>
      </w:r>
      <w:r>
        <w:t>IP</w:t>
      </w:r>
      <w:r>
        <w:rPr>
          <w:rFonts w:hint="eastAsia"/>
        </w:rPr>
        <w:t>地址”后回车，通过图2.4所示的“连接网络”窗口，选择登陆权限并输入相应的登陆密码回车即可；如果连接不在同一局域网内的内核主机，则“连接”地址栏中只能输入内核主机的“</w:t>
      </w:r>
      <w:r>
        <w:t>IP</w:t>
      </w:r>
      <w:r>
        <w:rPr>
          <w:rFonts w:hint="eastAsia"/>
        </w:rPr>
        <w:t>地址”或者输入“IP地址：端口号 @ 备注”。其中“端口号”和“ @ 备注”为可选项。</w:t>
      </w:r>
    </w:p>
    <w:p>
      <w:pPr>
        <w:ind w:firstLine="420"/>
        <w:rPr>
          <w:rFonts w:ascii="宋体" w:hAnsi="宋体"/>
          <w:color w:val="000000"/>
        </w:rPr>
      </w:pPr>
      <w:r>
        <w:rPr>
          <w:rFonts w:hint="eastAsia"/>
        </w:rPr>
        <w:t>此操作与选择“网络(N)&gt;连接(C)&gt;网络（TCP/IP）&gt;设置”等效。</w:t>
      </w:r>
    </w:p>
    <w:p>
      <w:pPr>
        <w:pStyle w:val="4"/>
        <w:rPr>
          <w:rFonts w:hint="default"/>
        </w:rPr>
      </w:pPr>
      <w:bookmarkStart w:id="215" w:name="_Toc16022"/>
      <w:bookmarkStart w:id="216" w:name="_Toc29305"/>
      <w:r>
        <w:t>2.2.2 显示</w:t>
      </w:r>
      <w:bookmarkEnd w:id="205"/>
      <w:bookmarkEnd w:id="206"/>
      <w:bookmarkEnd w:id="207"/>
      <w:bookmarkEnd w:id="208"/>
      <w:bookmarkEnd w:id="209"/>
      <w:bookmarkEnd w:id="210"/>
      <w:bookmarkEnd w:id="211"/>
      <w:bookmarkEnd w:id="212"/>
      <w:bookmarkEnd w:id="213"/>
      <w:bookmarkEnd w:id="214"/>
      <w:r>
        <w:t>快捷项</w:t>
      </w:r>
      <w:bookmarkEnd w:id="215"/>
      <w:bookmarkEnd w:id="216"/>
    </w:p>
    <w:p>
      <w:pPr>
        <w:ind w:firstLine="420"/>
      </w:pPr>
      <w:bookmarkStart w:id="217" w:name="_Toc346263493"/>
      <w:bookmarkStart w:id="218" w:name="_Toc310587721"/>
      <w:bookmarkStart w:id="219" w:name="_Toc309742585"/>
      <w:bookmarkStart w:id="220" w:name="_Toc309908757"/>
      <w:bookmarkStart w:id="221" w:name="_Toc309736572"/>
      <w:bookmarkStart w:id="222" w:name="_Toc309909416"/>
      <w:bookmarkStart w:id="223" w:name="_Toc309827063"/>
      <w:bookmarkStart w:id="224" w:name="_Toc309374938"/>
      <w:bookmarkStart w:id="225" w:name="_Toc309907562"/>
      <w:bookmarkStart w:id="226" w:name="_Toc346203536"/>
      <w:r>
        <w:rPr>
          <w:rFonts w:hint="eastAsia"/>
        </w:rPr>
        <w:t>显示项用于指定通道状态区域显示的设备，显示框不能进行输入操作，可通过选择“选项(O)&gt;显示设置(D)”，在弹出的图2.43所示的下拉框中进行选择。</w:t>
      </w:r>
    </w:p>
    <w:p>
      <w:pPr>
        <w:spacing w:line="240" w:lineRule="auto"/>
        <w:ind w:firstLine="420"/>
        <w:rPr>
          <w:rFonts w:ascii="宋体" w:hAnsi="宋体"/>
          <w:color w:val="000000"/>
        </w:rPr>
      </w:pPr>
      <w:r>
        <w:rPr>
          <w:rFonts w:hint="eastAsia"/>
          <w:lang w:val="en-US" w:eastAsia="zh-CN"/>
        </w:rPr>
        <w:t xml:space="preserve">  </w:t>
      </w:r>
      <w:r>
        <w:drawing>
          <wp:inline distT="0" distB="0" distL="114300" distR="114300">
            <wp:extent cx="5120005" cy="1374140"/>
            <wp:effectExtent l="0" t="0" r="4445" b="16510"/>
            <wp:docPr id="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
                    <pic:cNvPicPr>
                      <a:picLocks noChangeAspect="1"/>
                    </pic:cNvPicPr>
                  </pic:nvPicPr>
                  <pic:blipFill>
                    <a:blip r:embed="rId61" cstate="print"/>
                    <a:srcRect t="17562" r="8103"/>
                    <a:stretch>
                      <a:fillRect/>
                    </a:stretch>
                  </pic:blipFill>
                  <pic:spPr>
                    <a:xfrm>
                      <a:off x="0" y="0"/>
                      <a:ext cx="5120005" cy="1374140"/>
                    </a:xfrm>
                    <a:prstGeom prst="rect">
                      <a:avLst/>
                    </a:prstGeom>
                    <a:noFill/>
                    <a:ln w="9525">
                      <a:noFill/>
                    </a:ln>
                  </pic:spPr>
                </pic:pic>
              </a:graphicData>
            </a:graphic>
          </wp:inline>
        </w:drawing>
      </w:r>
    </w:p>
    <w:p>
      <w:pPr>
        <w:pStyle w:val="19"/>
      </w:pPr>
      <w:r>
        <w:rPr>
          <w:rFonts w:hint="eastAsia"/>
        </w:rPr>
        <w:t>图2.43  “分组显示”下拉框</w:t>
      </w:r>
    </w:p>
    <w:p>
      <w:pPr>
        <w:pStyle w:val="4"/>
        <w:rPr>
          <w:rFonts w:hint="default"/>
        </w:rPr>
      </w:pPr>
      <w:bookmarkStart w:id="227" w:name="_Toc10555"/>
      <w:bookmarkStart w:id="228" w:name="_Toc13341"/>
      <w:r>
        <w:t>2.2.3 其余快捷</w:t>
      </w:r>
      <w:bookmarkEnd w:id="217"/>
      <w:bookmarkEnd w:id="218"/>
      <w:bookmarkEnd w:id="219"/>
      <w:bookmarkEnd w:id="220"/>
      <w:bookmarkEnd w:id="221"/>
      <w:bookmarkEnd w:id="222"/>
      <w:bookmarkEnd w:id="223"/>
      <w:bookmarkEnd w:id="224"/>
      <w:bookmarkEnd w:id="225"/>
      <w:bookmarkEnd w:id="226"/>
      <w:r>
        <w:t>项</w:t>
      </w:r>
      <w:bookmarkEnd w:id="227"/>
      <w:bookmarkEnd w:id="228"/>
    </w:p>
    <w:p>
      <w:pPr>
        <w:ind w:firstLine="420"/>
      </w:pPr>
      <w:r>
        <w:drawing>
          <wp:inline distT="0" distB="0" distL="114300" distR="114300">
            <wp:extent cx="228600" cy="219075"/>
            <wp:effectExtent l="0" t="0" r="0" b="952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62" cstate="print"/>
                    <a:stretch>
                      <a:fillRect/>
                    </a:stretch>
                  </pic:blipFill>
                  <pic:spPr>
                    <a:xfrm>
                      <a:off x="0" y="0"/>
                      <a:ext cx="228600" cy="219075"/>
                    </a:xfrm>
                    <a:prstGeom prst="rect">
                      <a:avLst/>
                    </a:prstGeom>
                    <a:noFill/>
                    <a:ln w="9525">
                      <a:noFill/>
                    </a:ln>
                  </pic:spPr>
                </pic:pic>
              </a:graphicData>
            </a:graphic>
          </wp:inline>
        </w:drawing>
      </w:r>
      <w:r>
        <w:rPr>
          <w:rFonts w:hint="eastAsia"/>
        </w:rPr>
        <w:t>打开“过程名列表</w:t>
      </w:r>
      <w:r>
        <w:t>”</w:t>
      </w:r>
      <w:r>
        <w:rPr>
          <w:rFonts w:hint="eastAsia"/>
        </w:rPr>
        <w:t>窗口，等同于主菜单“测试(T)&gt;过程名列表管理(L)...”；</w:t>
      </w:r>
    </w:p>
    <w:p>
      <w:pPr>
        <w:ind w:firstLine="420"/>
      </w:pPr>
      <w:r>
        <w:drawing>
          <wp:inline distT="0" distB="0" distL="114300" distR="114300">
            <wp:extent cx="219075" cy="238125"/>
            <wp:effectExtent l="0" t="0" r="9525" b="952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63" cstate="print"/>
                    <a:stretch>
                      <a:fillRect/>
                    </a:stretch>
                  </pic:blipFill>
                  <pic:spPr>
                    <a:xfrm>
                      <a:off x="0" y="0"/>
                      <a:ext cx="219075" cy="238125"/>
                    </a:xfrm>
                    <a:prstGeom prst="rect">
                      <a:avLst/>
                    </a:prstGeom>
                    <a:noFill/>
                    <a:ln w="9525">
                      <a:noFill/>
                    </a:ln>
                  </pic:spPr>
                </pic:pic>
              </a:graphicData>
            </a:graphic>
          </wp:inline>
        </w:drawing>
      </w:r>
      <w:r>
        <w:rPr>
          <w:rFonts w:hint="eastAsia"/>
        </w:rPr>
        <w:t>执行一次“智能联机”，等同于主菜单“测试(T)&gt;智能联机(F)”；</w:t>
      </w:r>
    </w:p>
    <w:p>
      <w:pPr>
        <w:ind w:firstLine="420"/>
      </w:pPr>
      <w:r>
        <w:drawing>
          <wp:inline distT="0" distB="0" distL="114300" distR="114300">
            <wp:extent cx="228600" cy="219075"/>
            <wp:effectExtent l="0" t="0" r="0" b="952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64" cstate="print"/>
                    <a:stretch>
                      <a:fillRect/>
                    </a:stretch>
                  </pic:blipFill>
                  <pic:spPr>
                    <a:xfrm>
                      <a:off x="0" y="0"/>
                      <a:ext cx="228600" cy="219075"/>
                    </a:xfrm>
                    <a:prstGeom prst="rect">
                      <a:avLst/>
                    </a:prstGeom>
                    <a:noFill/>
                    <a:ln w="9525">
                      <a:noFill/>
                    </a:ln>
                  </pic:spPr>
                </pic:pic>
              </a:graphicData>
            </a:graphic>
          </wp:inline>
        </w:drawing>
      </w:r>
      <w:r>
        <w:rPr>
          <w:rFonts w:hint="eastAsia"/>
        </w:rPr>
        <w:t>显示“联机结果”，等同于主菜单“测试(T)&gt;联机结果(B)...”；</w:t>
      </w:r>
    </w:p>
    <w:p>
      <w:pPr>
        <w:ind w:firstLine="420"/>
      </w:pPr>
      <w:r>
        <w:drawing>
          <wp:inline distT="0" distB="0" distL="114300" distR="114300">
            <wp:extent cx="219075" cy="209550"/>
            <wp:effectExtent l="0" t="0" r="9525" b="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65" cstate="print"/>
                    <a:stretch>
                      <a:fillRect/>
                    </a:stretch>
                  </pic:blipFill>
                  <pic:spPr>
                    <a:xfrm>
                      <a:off x="0" y="0"/>
                      <a:ext cx="219075" cy="209550"/>
                    </a:xfrm>
                    <a:prstGeom prst="rect">
                      <a:avLst/>
                    </a:prstGeom>
                    <a:noFill/>
                    <a:ln w="9525">
                      <a:noFill/>
                    </a:ln>
                  </pic:spPr>
                </pic:pic>
              </a:graphicData>
            </a:graphic>
          </wp:inline>
        </w:drawing>
      </w:r>
      <w:r>
        <w:rPr>
          <w:rFonts w:hint="eastAsia"/>
        </w:rPr>
        <w:t>设置定时更新（或兑现）已预约的数据备份，等同于主菜单“数据(D)&gt;定时备份(B)...”；</w:t>
      </w:r>
    </w:p>
    <w:p>
      <w:pPr>
        <w:ind w:firstLine="420"/>
      </w:pPr>
      <w:r>
        <w:drawing>
          <wp:inline distT="0" distB="0" distL="114300" distR="114300">
            <wp:extent cx="238125" cy="209550"/>
            <wp:effectExtent l="0" t="0" r="9525" b="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66" cstate="print"/>
                    <a:stretch>
                      <a:fillRect/>
                    </a:stretch>
                  </pic:blipFill>
                  <pic:spPr>
                    <a:xfrm>
                      <a:off x="0" y="0"/>
                      <a:ext cx="238125" cy="209550"/>
                    </a:xfrm>
                    <a:prstGeom prst="rect">
                      <a:avLst/>
                    </a:prstGeom>
                    <a:noFill/>
                    <a:ln w="9525">
                      <a:noFill/>
                    </a:ln>
                  </pic:spPr>
                </pic:pic>
              </a:graphicData>
            </a:graphic>
          </wp:inline>
        </w:drawing>
      </w:r>
      <w:r>
        <w:rPr>
          <w:rFonts w:hint="eastAsia"/>
        </w:rPr>
        <w:t>打开</w:t>
      </w:r>
      <w:r>
        <w:t>“</w:t>
      </w:r>
      <w:r>
        <w:rPr>
          <w:rFonts w:hint="eastAsia"/>
        </w:rPr>
        <w:t>容量分选”窗口，等同于主菜单“容量(C)&gt;容量分选(C)...”；</w:t>
      </w:r>
    </w:p>
    <w:p>
      <w:pPr>
        <w:ind w:firstLine="420"/>
      </w:pPr>
      <w:r>
        <w:drawing>
          <wp:inline distT="0" distB="0" distL="114300" distR="114300">
            <wp:extent cx="219075" cy="219075"/>
            <wp:effectExtent l="0" t="0" r="9525" b="952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67" cstate="print"/>
                    <a:stretch>
                      <a:fillRect/>
                    </a:stretch>
                  </pic:blipFill>
                  <pic:spPr>
                    <a:xfrm>
                      <a:off x="0" y="0"/>
                      <a:ext cx="219075" cy="219075"/>
                    </a:xfrm>
                    <a:prstGeom prst="rect">
                      <a:avLst/>
                    </a:prstGeom>
                    <a:noFill/>
                    <a:ln w="9525">
                      <a:noFill/>
                    </a:ln>
                  </pic:spPr>
                </pic:pic>
              </a:graphicData>
            </a:graphic>
          </wp:inline>
        </w:drawing>
      </w:r>
      <w:r>
        <w:rPr>
          <w:rFonts w:hint="eastAsia"/>
        </w:rPr>
        <w:t>设置报警条件，等同于主菜单“选项(O)&gt;报警设置(A)...”；</w:t>
      </w:r>
    </w:p>
    <w:p>
      <w:pPr>
        <w:ind w:firstLine="420"/>
      </w:pPr>
      <w:r>
        <w:drawing>
          <wp:inline distT="0" distB="0" distL="114300" distR="114300">
            <wp:extent cx="209550" cy="200025"/>
            <wp:effectExtent l="0" t="0" r="0" b="952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68" cstate="print"/>
                    <a:stretch>
                      <a:fillRect/>
                    </a:stretch>
                  </pic:blipFill>
                  <pic:spPr>
                    <a:xfrm>
                      <a:off x="0" y="0"/>
                      <a:ext cx="209550" cy="200025"/>
                    </a:xfrm>
                    <a:prstGeom prst="rect">
                      <a:avLst/>
                    </a:prstGeom>
                    <a:noFill/>
                    <a:ln w="9525">
                      <a:noFill/>
                    </a:ln>
                  </pic:spPr>
                </pic:pic>
              </a:graphicData>
            </a:graphic>
          </wp:inline>
        </w:drawing>
      </w:r>
      <w:r>
        <w:rPr>
          <w:rFonts w:hint="eastAsia"/>
        </w:rPr>
        <w:t>变更通道，等同于主菜单“工具(L)&gt;变更通道(S)...”；</w:t>
      </w:r>
    </w:p>
    <w:p>
      <w:pPr>
        <w:ind w:firstLine="420"/>
      </w:pPr>
      <w:r>
        <w:drawing>
          <wp:inline distT="0" distB="0" distL="114300" distR="114300">
            <wp:extent cx="219075" cy="200025"/>
            <wp:effectExtent l="0" t="0" r="9525" b="952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69" cstate="print"/>
                    <a:stretch>
                      <a:fillRect/>
                    </a:stretch>
                  </pic:blipFill>
                  <pic:spPr>
                    <a:xfrm>
                      <a:off x="0" y="0"/>
                      <a:ext cx="219075" cy="200025"/>
                    </a:xfrm>
                    <a:prstGeom prst="rect">
                      <a:avLst/>
                    </a:prstGeom>
                    <a:noFill/>
                    <a:ln w="9525">
                      <a:noFill/>
                    </a:ln>
                  </pic:spPr>
                </pic:pic>
              </a:graphicData>
            </a:graphic>
          </wp:inline>
        </w:drawing>
      </w:r>
      <w:r>
        <w:rPr>
          <w:rFonts w:hint="eastAsia"/>
        </w:rPr>
        <w:t>加载“精度校准软件”，以校准设备精度。等同于主菜单“工具(L)&gt;精度校准(C)...”；</w:t>
      </w:r>
    </w:p>
    <w:p>
      <w:pPr>
        <w:ind w:firstLine="420"/>
      </w:pPr>
      <w:r>
        <w:drawing>
          <wp:inline distT="0" distB="0" distL="114300" distR="114300">
            <wp:extent cx="238125" cy="238125"/>
            <wp:effectExtent l="0" t="0" r="9525" b="9525"/>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70" cstate="print"/>
                    <a:stretch>
                      <a:fillRect/>
                    </a:stretch>
                  </pic:blipFill>
                  <pic:spPr>
                    <a:xfrm>
                      <a:off x="0" y="0"/>
                      <a:ext cx="238125" cy="238125"/>
                    </a:xfrm>
                    <a:prstGeom prst="rect">
                      <a:avLst/>
                    </a:prstGeom>
                    <a:noFill/>
                    <a:ln w="9525">
                      <a:noFill/>
                    </a:ln>
                  </pic:spPr>
                </pic:pic>
              </a:graphicData>
            </a:graphic>
          </wp:inline>
        </w:drawing>
      </w:r>
      <w:r>
        <w:rPr>
          <w:rFonts w:hint="eastAsia"/>
        </w:rPr>
        <w:t>执行一次“系统扫描”，等同于主菜单“工具(L)&gt;系统扫描∕恢复(R)...”；</w:t>
      </w:r>
    </w:p>
    <w:p>
      <w:pPr>
        <w:ind w:firstLine="420"/>
      </w:pPr>
      <w:r>
        <w:drawing>
          <wp:inline distT="0" distB="0" distL="114300" distR="114300">
            <wp:extent cx="238125" cy="200025"/>
            <wp:effectExtent l="0" t="0" r="9525" b="9525"/>
            <wp:docPr id="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pic:cNvPicPr>
                      <a:picLocks noChangeAspect="1"/>
                    </pic:cNvPicPr>
                  </pic:nvPicPr>
                  <pic:blipFill>
                    <a:blip r:embed="rId71" cstate="print"/>
                    <a:stretch>
                      <a:fillRect/>
                    </a:stretch>
                  </pic:blipFill>
                  <pic:spPr>
                    <a:xfrm>
                      <a:off x="0" y="0"/>
                      <a:ext cx="238125" cy="200025"/>
                    </a:xfrm>
                    <a:prstGeom prst="rect">
                      <a:avLst/>
                    </a:prstGeom>
                    <a:noFill/>
                    <a:ln w="9525">
                      <a:noFill/>
                    </a:ln>
                  </pic:spPr>
                </pic:pic>
              </a:graphicData>
            </a:graphic>
          </wp:inline>
        </w:drawing>
      </w:r>
      <w:r>
        <w:rPr>
          <w:rFonts w:hint="eastAsia"/>
        </w:rPr>
        <w:t>搜索本机可用的RS232通信端口，等同于主菜单“工具(L)&gt;列举通信端口(E)...”；</w:t>
      </w:r>
    </w:p>
    <w:p>
      <w:pPr>
        <w:ind w:firstLine="420"/>
      </w:pPr>
      <w:r>
        <w:drawing>
          <wp:inline distT="0" distB="0" distL="114300" distR="114300">
            <wp:extent cx="228600" cy="200025"/>
            <wp:effectExtent l="0" t="0" r="0" b="9525"/>
            <wp:docPr id="8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
                    <pic:cNvPicPr>
                      <a:picLocks noChangeAspect="1"/>
                    </pic:cNvPicPr>
                  </pic:nvPicPr>
                  <pic:blipFill>
                    <a:blip r:embed="rId72" cstate="print"/>
                    <a:stretch>
                      <a:fillRect/>
                    </a:stretch>
                  </pic:blipFill>
                  <pic:spPr>
                    <a:xfrm>
                      <a:off x="0" y="0"/>
                      <a:ext cx="228600" cy="200025"/>
                    </a:xfrm>
                    <a:prstGeom prst="rect">
                      <a:avLst/>
                    </a:prstGeom>
                    <a:noFill/>
                    <a:ln w="9525">
                      <a:noFill/>
                    </a:ln>
                  </pic:spPr>
                </pic:pic>
              </a:graphicData>
            </a:graphic>
          </wp:inline>
        </w:drawing>
      </w:r>
      <w:r>
        <w:rPr>
          <w:rFonts w:hint="eastAsia"/>
        </w:rPr>
        <w:t>显示本软件的版本、版权等信息，等同于主菜单“帮助(H)&gt;关于</w:t>
      </w:r>
      <w:r>
        <w:t>LAND</w:t>
      </w:r>
      <w:r>
        <w:rPr>
          <w:rFonts w:hint="eastAsia"/>
        </w:rPr>
        <w:t>Mon(A)...”；</w:t>
      </w:r>
    </w:p>
    <w:p>
      <w:pPr>
        <w:pStyle w:val="4"/>
        <w:rPr>
          <w:rFonts w:hint="default"/>
        </w:rPr>
      </w:pPr>
      <w:bookmarkStart w:id="229" w:name="_Toc31975"/>
      <w:bookmarkStart w:id="230" w:name="_Toc30327"/>
      <w:r>
        <w:t>2.2.4 内核提示项</w:t>
      </w:r>
      <w:bookmarkEnd w:id="229"/>
      <w:bookmarkEnd w:id="230"/>
    </w:p>
    <w:p>
      <w:pPr>
        <w:ind w:firstLine="420"/>
      </w:pPr>
      <w:r>
        <w:rPr>
          <w:rFonts w:hint="eastAsia"/>
        </w:rPr>
        <w:t>提示项用一个图标的两种状态来指示本地内核是否加载。如果图标点亮，即</w:t>
      </w:r>
      <w:r>
        <w:drawing>
          <wp:inline distT="0" distB="0" distL="114300" distR="114300">
            <wp:extent cx="381000" cy="209550"/>
            <wp:effectExtent l="0" t="0" r="0" b="0"/>
            <wp:docPr id="84" name="图片 6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4" descr="12"/>
                    <pic:cNvPicPr>
                      <a:picLocks noChangeAspect="1"/>
                    </pic:cNvPicPr>
                  </pic:nvPicPr>
                  <pic:blipFill>
                    <a:blip r:embed="rId73" cstate="print"/>
                    <a:stretch>
                      <a:fillRect/>
                    </a:stretch>
                  </pic:blipFill>
                  <pic:spPr>
                    <a:xfrm>
                      <a:off x="0" y="0"/>
                      <a:ext cx="381000" cy="209550"/>
                    </a:xfrm>
                    <a:prstGeom prst="rect">
                      <a:avLst/>
                    </a:prstGeom>
                    <a:noFill/>
                    <a:ln w="9525">
                      <a:noFill/>
                    </a:ln>
                  </pic:spPr>
                </pic:pic>
              </a:graphicData>
            </a:graphic>
          </wp:inline>
        </w:drawing>
      </w:r>
      <w:r>
        <w:rPr>
          <w:rFonts w:hint="eastAsia"/>
        </w:rPr>
        <w:t>，则表示本地内核已加载；反之，如果图标呈灰色显示，即</w:t>
      </w:r>
      <w:r>
        <w:rPr>
          <w:rFonts w:hint="eastAsia"/>
        </w:rPr>
        <w:drawing>
          <wp:inline distT="0" distB="0" distL="114300" distR="114300">
            <wp:extent cx="381000" cy="209550"/>
            <wp:effectExtent l="0" t="0" r="0" b="0"/>
            <wp:docPr id="8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5"/>
                    <pic:cNvPicPr>
                      <a:picLocks noChangeAspect="1"/>
                    </pic:cNvPicPr>
                  </pic:nvPicPr>
                  <pic:blipFill>
                    <a:blip r:embed="rId74" cstate="print"/>
                    <a:stretch>
                      <a:fillRect/>
                    </a:stretch>
                  </pic:blipFill>
                  <pic:spPr>
                    <a:xfrm>
                      <a:off x="0" y="0"/>
                      <a:ext cx="381000" cy="209550"/>
                    </a:xfrm>
                    <a:prstGeom prst="rect">
                      <a:avLst/>
                    </a:prstGeom>
                    <a:noFill/>
                    <a:ln w="9525">
                      <a:noFill/>
                    </a:ln>
                  </pic:spPr>
                </pic:pic>
              </a:graphicData>
            </a:graphic>
          </wp:inline>
        </w:drawing>
      </w:r>
      <w:r>
        <w:rPr>
          <w:rFonts w:hint="eastAsia"/>
        </w:rPr>
        <w:t>，则表示未加载。点击图标，弹出图2.44所示的快捷菜单，可对本地内核进行加载或终止操作。</w:t>
      </w:r>
    </w:p>
    <w:p>
      <w:pPr>
        <w:spacing w:line="360" w:lineRule="atLeast"/>
        <w:ind w:left="-15" w:leftChars="-7" w:firstLine="14" w:firstLineChars="7"/>
        <w:rPr>
          <w:rFonts w:ascii="宋体" w:hAnsi="宋体"/>
          <w:color w:val="000000"/>
        </w:rPr>
      </w:pPr>
      <w:r>
        <w:rPr>
          <w:rFonts w:hint="eastAsia"/>
        </w:rPr>
        <w:t xml:space="preserve">                                  </w:t>
      </w:r>
      <w:r>
        <w:drawing>
          <wp:inline distT="0" distB="0" distL="114300" distR="114300">
            <wp:extent cx="1676400" cy="822325"/>
            <wp:effectExtent l="0" t="0" r="0" b="15875"/>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75" cstate="print"/>
                    <a:srcRect t="884" r="285" b="2490"/>
                    <a:stretch>
                      <a:fillRect/>
                    </a:stretch>
                  </pic:blipFill>
                  <pic:spPr>
                    <a:xfrm>
                      <a:off x="0" y="0"/>
                      <a:ext cx="1676400" cy="822325"/>
                    </a:xfrm>
                    <a:prstGeom prst="rect">
                      <a:avLst/>
                    </a:prstGeom>
                    <a:noFill/>
                    <a:ln w="9525">
                      <a:noFill/>
                    </a:ln>
                  </pic:spPr>
                </pic:pic>
              </a:graphicData>
            </a:graphic>
          </wp:inline>
        </w:drawing>
      </w:r>
    </w:p>
    <w:p>
      <w:pPr>
        <w:pStyle w:val="19"/>
      </w:pPr>
      <w:r>
        <w:rPr>
          <w:rFonts w:hint="eastAsia"/>
        </w:rPr>
        <w:t>图2.44  本地内核操作菜单</w:t>
      </w:r>
    </w:p>
    <w:p>
      <w:pPr>
        <w:pStyle w:val="3"/>
      </w:pPr>
      <w:bookmarkStart w:id="231" w:name="_Toc346263494"/>
      <w:bookmarkStart w:id="232" w:name="_Toc310587722"/>
      <w:bookmarkStart w:id="233" w:name="_Toc346203537"/>
      <w:bookmarkStart w:id="234" w:name="_Toc5695"/>
      <w:bookmarkStart w:id="235" w:name="_Toc9035"/>
      <w:r>
        <w:rPr>
          <w:rFonts w:hint="eastAsia"/>
        </w:rPr>
        <w:t>2.3 通道状态</w:t>
      </w:r>
      <w:bookmarkEnd w:id="231"/>
      <w:bookmarkEnd w:id="232"/>
      <w:bookmarkEnd w:id="233"/>
      <w:r>
        <w:rPr>
          <w:rFonts w:hint="eastAsia"/>
        </w:rPr>
        <w:t>区域</w:t>
      </w:r>
      <w:bookmarkEnd w:id="234"/>
      <w:bookmarkEnd w:id="235"/>
    </w:p>
    <w:p>
      <w:pPr>
        <w:ind w:firstLine="420"/>
      </w:pPr>
      <w:bookmarkStart w:id="236" w:name="_Toc346263495"/>
      <w:bookmarkStart w:id="237" w:name="_Toc346203538"/>
      <w:bookmarkStart w:id="238" w:name="_Toc309374939"/>
      <w:bookmarkStart w:id="239" w:name="_Toc309742586"/>
      <w:bookmarkStart w:id="240" w:name="_Toc309736573"/>
      <w:r>
        <w:rPr>
          <w:rFonts w:hint="eastAsia"/>
        </w:rPr>
        <w:t>“通道状态区域”显示由“显示设置框”指定的全部设备单元，每个单元的通道编号与设备的实际通道对应。每个通道由一个类似电池的方框表示，每个通道方框内会显示通道的实时状态信息，包括设备的量程、当前进行的工作、已循环次数及数据是否进行备份等。</w:t>
      </w:r>
    </w:p>
    <w:p>
      <w:pPr>
        <w:ind w:firstLine="420"/>
      </w:pPr>
      <w:r>
        <w:rPr>
          <w:rFonts w:hint="eastAsia"/>
        </w:rPr>
        <w:t>当启用辅助通道时，为了区别起见，原先的“通道”更名为“主通道”，原先的“通道状态区域”更名为“主通道区域”，通道状态区域的下面增加“辅助通道区域”，如图2.29所示。</w:t>
      </w:r>
    </w:p>
    <w:p>
      <w:pPr>
        <w:ind w:firstLine="420"/>
      </w:pPr>
      <w:r>
        <w:rPr>
          <w:rFonts w:hint="eastAsia"/>
        </w:rPr>
        <w:t>右击通道方框内，弹出图2.45所示的快捷菜单，各菜单项意义详见第三部分。</w:t>
      </w:r>
    </w:p>
    <w:p>
      <w:pPr>
        <w:spacing w:line="360" w:lineRule="atLeast"/>
        <w:ind w:left="-15" w:leftChars="-7" w:firstLine="14" w:firstLineChars="7"/>
        <w:rPr>
          <w:rFonts w:ascii="宋体" w:hAnsi="宋体"/>
          <w:color w:val="000000"/>
        </w:rPr>
      </w:pPr>
      <w:r>
        <w:rPr>
          <w:rFonts w:hint="eastAsia"/>
        </w:rPr>
        <w:t xml:space="preserve">                      </w:t>
      </w:r>
      <w:r>
        <w:drawing>
          <wp:inline distT="0" distB="0" distL="114300" distR="114300">
            <wp:extent cx="1579880" cy="3773805"/>
            <wp:effectExtent l="0" t="0" r="1270" b="1714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76" cstate="print"/>
                    <a:stretch>
                      <a:fillRect/>
                    </a:stretch>
                  </pic:blipFill>
                  <pic:spPr>
                    <a:xfrm>
                      <a:off x="0" y="0"/>
                      <a:ext cx="1579880" cy="3773805"/>
                    </a:xfrm>
                    <a:prstGeom prst="rect">
                      <a:avLst/>
                    </a:prstGeom>
                    <a:noFill/>
                    <a:ln w="9525">
                      <a:noFill/>
                    </a:ln>
                  </pic:spPr>
                </pic:pic>
              </a:graphicData>
            </a:graphic>
          </wp:inline>
        </w:drawing>
      </w:r>
      <w:r>
        <w:rPr>
          <w:rFonts w:hint="eastAsia"/>
        </w:rPr>
        <w:t xml:space="preserve">  </w:t>
      </w:r>
      <w:r>
        <w:drawing>
          <wp:inline distT="0" distB="0" distL="114300" distR="114300">
            <wp:extent cx="1426845" cy="791210"/>
            <wp:effectExtent l="0" t="0" r="1905" b="889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77" cstate="print"/>
                    <a:stretch>
                      <a:fillRect/>
                    </a:stretch>
                  </pic:blipFill>
                  <pic:spPr>
                    <a:xfrm>
                      <a:off x="0" y="0"/>
                      <a:ext cx="1426845" cy="791210"/>
                    </a:xfrm>
                    <a:prstGeom prst="rect">
                      <a:avLst/>
                    </a:prstGeom>
                    <a:noFill/>
                    <a:ln w="9525">
                      <a:noFill/>
                    </a:ln>
                  </pic:spPr>
                </pic:pic>
              </a:graphicData>
            </a:graphic>
          </wp:inline>
        </w:drawing>
      </w:r>
    </w:p>
    <w:p>
      <w:pPr>
        <w:pStyle w:val="19"/>
      </w:pPr>
      <w:r>
        <w:rPr>
          <w:rFonts w:hint="eastAsia"/>
        </w:rPr>
        <w:t>图2.45 主通道之快捷菜单</w:t>
      </w:r>
    </w:p>
    <w:p>
      <w:pPr>
        <w:pStyle w:val="3"/>
      </w:pPr>
      <w:bookmarkStart w:id="241" w:name="_Toc22673"/>
      <w:bookmarkStart w:id="242" w:name="_Toc27416"/>
      <w:r>
        <w:rPr>
          <w:rFonts w:hint="eastAsia"/>
        </w:rPr>
        <w:t>2.4 事件</w:t>
      </w:r>
      <w:bookmarkEnd w:id="236"/>
      <w:bookmarkEnd w:id="237"/>
      <w:r>
        <w:rPr>
          <w:rFonts w:hint="eastAsia"/>
        </w:rPr>
        <w:t>列表区域</w:t>
      </w:r>
      <w:bookmarkEnd w:id="241"/>
      <w:bookmarkEnd w:id="242"/>
    </w:p>
    <w:p>
      <w:pPr>
        <w:ind w:firstLine="420"/>
      </w:pPr>
      <w:r>
        <w:rPr>
          <w:rFonts w:hint="eastAsia"/>
        </w:rPr>
        <w:t>事件列表区域列举出LANDMon自从启动起先后被执行的事件及对应的结果，主要包括：连接操作、断开操作、连接失败的原因等，如图2.46所示。</w:t>
      </w:r>
    </w:p>
    <w:p>
      <w:pPr>
        <w:spacing w:line="360" w:lineRule="atLeast"/>
        <w:ind w:left="-15" w:leftChars="-7" w:firstLine="14" w:firstLineChars="7"/>
        <w:jc w:val="center"/>
        <w:rPr>
          <w:rFonts w:ascii="宋体" w:hAnsi="宋体"/>
          <w:color w:val="000000"/>
        </w:rPr>
      </w:pPr>
      <w:r>
        <w:drawing>
          <wp:inline distT="0" distB="0" distL="114300" distR="114300">
            <wp:extent cx="3085465" cy="1457325"/>
            <wp:effectExtent l="0" t="0" r="635" b="9525"/>
            <wp:docPr id="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
                    <pic:cNvPicPr>
                      <a:picLocks noChangeAspect="1"/>
                    </pic:cNvPicPr>
                  </pic:nvPicPr>
                  <pic:blipFill>
                    <a:blip r:embed="rId78" cstate="print"/>
                    <a:stretch>
                      <a:fillRect/>
                    </a:stretch>
                  </pic:blipFill>
                  <pic:spPr>
                    <a:xfrm>
                      <a:off x="0" y="0"/>
                      <a:ext cx="3085465" cy="1457325"/>
                    </a:xfrm>
                    <a:prstGeom prst="rect">
                      <a:avLst/>
                    </a:prstGeom>
                    <a:noFill/>
                    <a:ln w="9525">
                      <a:noFill/>
                    </a:ln>
                  </pic:spPr>
                </pic:pic>
              </a:graphicData>
            </a:graphic>
          </wp:inline>
        </w:drawing>
      </w:r>
    </w:p>
    <w:p>
      <w:pPr>
        <w:pStyle w:val="19"/>
      </w:pPr>
      <w:r>
        <w:rPr>
          <w:rFonts w:hint="eastAsia"/>
        </w:rPr>
        <w:t>图2.46  事件列表区域</w:t>
      </w:r>
    </w:p>
    <w:p>
      <w:pPr>
        <w:pStyle w:val="2"/>
        <w:ind w:firstLine="600"/>
        <w:rPr>
          <w:rFonts w:ascii="宋体" w:hAnsi="宋体"/>
          <w:szCs w:val="36"/>
        </w:rPr>
      </w:pPr>
      <w:bookmarkStart w:id="243" w:name="_Toc309907563"/>
      <w:bookmarkStart w:id="244" w:name="_Toc17465"/>
      <w:bookmarkStart w:id="245" w:name="_Toc346203539"/>
      <w:bookmarkStart w:id="246" w:name="_Toc346263496"/>
      <w:bookmarkStart w:id="247" w:name="_Toc309827064"/>
      <w:bookmarkStart w:id="248" w:name="_Toc309908758"/>
      <w:bookmarkStart w:id="249" w:name="_Toc310587723"/>
      <w:bookmarkStart w:id="250" w:name="_Toc309909417"/>
      <w:bookmarkStart w:id="251" w:name="_Toc27393"/>
      <w:r>
        <w:rPr>
          <w:rFonts w:hint="eastAsia"/>
        </w:rPr>
        <w:t>第三章 软件操作方法</w:t>
      </w:r>
      <w:bookmarkEnd w:id="238"/>
      <w:bookmarkEnd w:id="239"/>
      <w:bookmarkEnd w:id="240"/>
      <w:bookmarkEnd w:id="243"/>
      <w:bookmarkEnd w:id="244"/>
      <w:bookmarkEnd w:id="245"/>
      <w:bookmarkEnd w:id="246"/>
      <w:bookmarkEnd w:id="247"/>
      <w:bookmarkEnd w:id="248"/>
      <w:bookmarkEnd w:id="249"/>
      <w:bookmarkEnd w:id="250"/>
      <w:bookmarkEnd w:id="251"/>
    </w:p>
    <w:p>
      <w:pPr>
        <w:pStyle w:val="3"/>
      </w:pPr>
      <w:bookmarkStart w:id="252" w:name="_Toc346203540"/>
      <w:bookmarkStart w:id="253" w:name="_Toc346263497"/>
      <w:bookmarkStart w:id="254" w:name="_Toc4186"/>
      <w:bookmarkStart w:id="255" w:name="_Toc24264"/>
      <w:r>
        <w:rPr>
          <w:rFonts w:hint="eastAsia"/>
        </w:rPr>
        <w:t>3.1 连接内核</w:t>
      </w:r>
      <w:bookmarkEnd w:id="252"/>
      <w:bookmarkEnd w:id="253"/>
      <w:bookmarkEnd w:id="254"/>
      <w:bookmarkEnd w:id="255"/>
    </w:p>
    <w:p>
      <w:pPr>
        <w:ind w:firstLine="420"/>
      </w:pPr>
      <w:r>
        <w:rPr>
          <w:rFonts w:hint="eastAsia"/>
        </w:rPr>
        <w:t>通过选择“网络（N）&gt;连接(C)”将LANDMon与本地或远程的LANDCore成功连接后，软件</w:t>
      </w:r>
      <w:r>
        <w:t>LAND</w:t>
      </w:r>
      <w:r>
        <w:rPr>
          <w:rFonts w:hint="eastAsia"/>
        </w:rPr>
        <w:t>Mon才能与设备相连并进行测试操作，此时“测试(T)&gt;智能联机(F)”菜单子项才被激活、快捷栏里的“智能联机”图标才被点亮。</w:t>
      </w:r>
    </w:p>
    <w:p>
      <w:pPr>
        <w:ind w:firstLine="420"/>
      </w:pPr>
      <w:r>
        <w:rPr>
          <w:rFonts w:hint="eastAsia"/>
        </w:rPr>
        <w:t>远程</w:t>
      </w:r>
      <w:r>
        <w:t>连接成功的条件</w:t>
      </w:r>
      <w:r>
        <w:rPr>
          <w:rFonts w:hint="eastAsia"/>
        </w:rPr>
        <w:t>：</w:t>
      </w:r>
    </w:p>
    <w:p>
      <w:pPr>
        <w:ind w:firstLine="420"/>
      </w:pPr>
      <w:r>
        <w:rPr>
          <w:rFonts w:hint="eastAsia"/>
        </w:rPr>
        <w:t>第一，</w:t>
      </w:r>
      <w:r>
        <w:t>目标计算机</w:t>
      </w:r>
      <w:r>
        <w:rPr>
          <w:rFonts w:hint="eastAsia"/>
        </w:rPr>
        <w:t>上</w:t>
      </w:r>
      <w:r>
        <w:t>的</w:t>
      </w:r>
      <w:r>
        <w:rPr>
          <w:rFonts w:hint="eastAsia"/>
        </w:rPr>
        <w:t>控制内核</w:t>
      </w:r>
      <w:r>
        <w:t>LANDCore处于运行状态；</w:t>
      </w:r>
    </w:p>
    <w:p>
      <w:pPr>
        <w:ind w:firstLine="420"/>
      </w:pPr>
      <w:r>
        <w:rPr>
          <w:rFonts w:hint="eastAsia"/>
        </w:rPr>
        <w:t>第二，</w:t>
      </w:r>
      <w:r>
        <w:t>网络连接畅通（包括没有特别的网络访问过滤软件</w:t>
      </w:r>
      <w:r>
        <w:rPr>
          <w:rFonts w:hint="eastAsia"/>
        </w:rPr>
        <w:t>阻止访问，如防火墙</w:t>
      </w:r>
      <w:r>
        <w:t>等）；</w:t>
      </w:r>
    </w:p>
    <w:p>
      <w:pPr>
        <w:ind w:firstLine="420"/>
      </w:pPr>
      <w:r>
        <w:rPr>
          <w:rFonts w:hint="eastAsia"/>
        </w:rPr>
        <w:t>第三，</w:t>
      </w:r>
      <w:r>
        <w:t>目标计算机的LANDCore处于“接受远程连接”状态（这是默认状态）</w:t>
      </w:r>
      <w:r>
        <w:rPr>
          <w:rFonts w:hint="eastAsia"/>
        </w:rPr>
        <w:t>。</w:t>
      </w:r>
    </w:p>
    <w:p>
      <w:pPr>
        <w:pStyle w:val="3"/>
      </w:pPr>
      <w:bookmarkStart w:id="256" w:name="_Toc346203541"/>
      <w:bookmarkStart w:id="257" w:name="_Toc346263498"/>
      <w:bookmarkStart w:id="258" w:name="_Toc18908"/>
      <w:bookmarkStart w:id="259" w:name="_Toc31903"/>
      <w:r>
        <w:rPr>
          <w:rFonts w:hint="eastAsia"/>
        </w:rPr>
        <w:t>3.2</w:t>
      </w:r>
      <w:bookmarkEnd w:id="256"/>
      <w:bookmarkEnd w:id="257"/>
      <w:r>
        <w:rPr>
          <w:rFonts w:hint="eastAsia"/>
        </w:rPr>
        <w:t xml:space="preserve"> 智能联机</w:t>
      </w:r>
      <w:bookmarkEnd w:id="258"/>
      <w:bookmarkEnd w:id="259"/>
    </w:p>
    <w:p>
      <w:pPr>
        <w:ind w:firstLine="420"/>
      </w:pPr>
      <w:r>
        <w:t>要使用</w:t>
      </w:r>
      <w:r>
        <w:rPr>
          <w:rFonts w:hint="eastAsia"/>
        </w:rPr>
        <w:t>到</w:t>
      </w:r>
      <w:r>
        <w:t>本软件的所有功能，必须有相应的测试</w:t>
      </w:r>
      <w:r>
        <w:rPr>
          <w:rFonts w:hint="eastAsia"/>
        </w:rPr>
        <w:t>设备</w:t>
      </w:r>
      <w:r>
        <w:t>支持。</w:t>
      </w:r>
      <w:r>
        <w:rPr>
          <w:rFonts w:hint="eastAsia"/>
        </w:rPr>
        <w:t>点击“智能联机”即可将软件与测试设备相连。</w:t>
      </w:r>
    </w:p>
    <w:p>
      <w:pPr>
        <w:ind w:firstLine="420"/>
      </w:pPr>
      <w:r>
        <w:rPr>
          <w:rFonts w:hint="eastAsia"/>
        </w:rPr>
        <w:t>软件启动时，若测试系统的通信线可靠连接，且设备电源开关处于开启状态，则LANDMon会自动进行智能联机，即检测有哪些测试设备与计算机连接有效，并显示各通道的实时状态；在软件运行期间，也可以随时执行主菜单“测试(T)&gt;智能联机(F)”，再次执行智能联机过程。</w:t>
      </w:r>
    </w:p>
    <w:p>
      <w:pPr>
        <w:ind w:firstLine="420"/>
      </w:pPr>
      <w:r>
        <w:rPr>
          <w:rFonts w:hint="eastAsia"/>
        </w:rPr>
        <w:t>如果软件已经运行过，并曾经进行过通道测试操作（如启动、停止通道等），再次运行软件时，通道将能自动恢复到上次软件退出时的状态，如继续测试或者显示停止信息等。</w:t>
      </w:r>
    </w:p>
    <w:p>
      <w:pPr>
        <w:pStyle w:val="3"/>
        <w:rPr>
          <w:rFonts w:ascii="宋体" w:hAnsi="宋体"/>
        </w:rPr>
      </w:pPr>
      <w:bookmarkStart w:id="260" w:name="_Toc8728"/>
      <w:bookmarkStart w:id="261" w:name="_Toc31876"/>
      <w:r>
        <w:rPr>
          <w:rFonts w:hint="eastAsia"/>
        </w:rPr>
        <w:t>3.3 测试过程编辑</w:t>
      </w:r>
      <w:bookmarkEnd w:id="260"/>
      <w:bookmarkEnd w:id="261"/>
      <w:r>
        <w:rPr>
          <w:rFonts w:hint="eastAsia" w:ascii="宋体" w:hAnsi="宋体"/>
        </w:rPr>
        <w:tab/>
      </w:r>
    </w:p>
    <w:p>
      <w:pPr>
        <w:ind w:firstLine="420"/>
      </w:pPr>
      <w:bookmarkStart w:id="262" w:name="_Toc12238"/>
      <w:r>
        <w:rPr>
          <w:rFonts w:hint="eastAsia"/>
        </w:rPr>
        <w:t>详见工步编辑软件LANDProc使用说明部分。</w:t>
      </w:r>
      <w:bookmarkEnd w:id="262"/>
      <w:r>
        <w:rPr>
          <w:rFonts w:hint="eastAsia"/>
        </w:rPr>
        <w:tab/>
      </w:r>
    </w:p>
    <w:p>
      <w:pPr>
        <w:pStyle w:val="3"/>
      </w:pPr>
      <w:bookmarkStart w:id="263" w:name="_Toc346263499"/>
      <w:bookmarkStart w:id="264" w:name="_Toc346203542"/>
      <w:bookmarkStart w:id="265" w:name="_Toc346783459"/>
      <w:bookmarkStart w:id="266" w:name="_Toc5467"/>
      <w:bookmarkStart w:id="267" w:name="_Toc25031"/>
      <w:r>
        <w:rPr>
          <w:rFonts w:hint="eastAsia"/>
        </w:rPr>
        <w:t>3.4 通道选取</w:t>
      </w:r>
      <w:bookmarkEnd w:id="263"/>
      <w:bookmarkEnd w:id="264"/>
      <w:bookmarkEnd w:id="265"/>
      <w:bookmarkEnd w:id="266"/>
      <w:bookmarkEnd w:id="267"/>
    </w:p>
    <w:p>
      <w:pPr>
        <w:ind w:firstLine="420"/>
      </w:pPr>
      <w:r>
        <w:t>在进行通道操作（如启动通道、停止通道）之前，首先必须明确本操作是针对</w:t>
      </w:r>
      <w:r>
        <w:rPr>
          <w:rFonts w:hint="eastAsia"/>
        </w:rPr>
        <w:t>哪</w:t>
      </w:r>
      <w:r>
        <w:t>些通道进行的</w:t>
      </w:r>
      <w:r>
        <w:rPr>
          <w:rFonts w:hint="eastAsia"/>
        </w:rPr>
        <w:t>，</w:t>
      </w:r>
      <w:r>
        <w:t>即确定操作对象，这里称之为</w:t>
      </w:r>
      <w:r>
        <w:rPr>
          <w:rFonts w:hint="eastAsia"/>
        </w:rPr>
        <w:t>“通道选取”</w:t>
      </w:r>
      <w:r>
        <w:t>。这是在</w:t>
      </w:r>
      <w:r>
        <w:rPr>
          <w:rFonts w:hint="eastAsia"/>
        </w:rPr>
        <w:t>所有</w:t>
      </w:r>
      <w:r>
        <w:t>通道操作之前都必须进行的一步。</w:t>
      </w:r>
    </w:p>
    <w:p>
      <w:pPr>
        <w:ind w:firstLine="420"/>
      </w:pPr>
      <w:r>
        <w:rPr>
          <w:rFonts w:hint="eastAsia"/>
        </w:rPr>
        <w:t>单击图2.1之“通道状态区域”中的任意通道（电池轮廓），会出现一个黄色的矩形框，它表示该通道已被选取。通道选取的方法如下：</w:t>
      </w:r>
    </w:p>
    <w:p>
      <w:pPr>
        <w:ind w:firstLine="420"/>
      </w:pPr>
      <w:r>
        <w:rPr>
          <w:rFonts w:hint="eastAsia"/>
        </w:rPr>
        <w:t>方法一：如果需要选取多个位置上相邻的通道，可以按下鼠标左键（不放开），然后拖拽，拖拽所覆盖范围内的通道均被选取；</w:t>
      </w:r>
    </w:p>
    <w:p>
      <w:pPr>
        <w:ind w:firstLine="420"/>
      </w:pPr>
      <w:r>
        <w:rPr>
          <w:rFonts w:hint="eastAsia"/>
        </w:rPr>
        <w:t>方法二：如果需要选取连续的多个通道，可以先用鼠标左键单击第一个通道，再按下Shift键（不放开），然后用鼠标左键单击最后一个通道，则两个通道之间的通道均被选取；</w:t>
      </w:r>
    </w:p>
    <w:p>
      <w:pPr>
        <w:ind w:firstLine="420"/>
      </w:pPr>
      <w:r>
        <w:rPr>
          <w:rFonts w:hint="eastAsia"/>
        </w:rPr>
        <w:t>方法三：如果需要在已选取的多个通道中，增减通道，可以按下Ctrl键（不放开），然后用鼠标左键逐个单击所要增加或减去的通道即可；</w:t>
      </w:r>
    </w:p>
    <w:p>
      <w:pPr>
        <w:ind w:firstLine="420"/>
      </w:pPr>
      <w:r>
        <w:rPr>
          <w:rFonts w:hint="eastAsia"/>
        </w:rPr>
        <w:t>方法四：在通道状态区域（或主通道状态区域）内右击通道外的任意处，弹出图3.1(左)所示的快捷菜单；在辅助通道状态区域内右击通道外的任意处，弹出图3.1(右)所示的快捷菜单。</w:t>
      </w:r>
    </w:p>
    <w:p>
      <w:pPr>
        <w:spacing w:line="240" w:lineRule="auto"/>
        <w:ind w:left="-15" w:leftChars="-7" w:firstLine="14" w:firstLineChars="7"/>
        <w:jc w:val="center"/>
        <w:rPr>
          <w:rFonts w:ascii="宋体" w:hAnsi="宋体"/>
          <w:color w:val="000000"/>
        </w:rPr>
      </w:pPr>
      <w:r>
        <w:drawing>
          <wp:inline distT="0" distB="0" distL="114300" distR="114300">
            <wp:extent cx="1695450" cy="666750"/>
            <wp:effectExtent l="0" t="0" r="0" b="0"/>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79" cstate="print"/>
                    <a:stretch>
                      <a:fillRect/>
                    </a:stretch>
                  </pic:blipFill>
                  <pic:spPr>
                    <a:xfrm>
                      <a:off x="0" y="0"/>
                      <a:ext cx="1695450" cy="666750"/>
                    </a:xfrm>
                    <a:prstGeom prst="rect">
                      <a:avLst/>
                    </a:prstGeom>
                    <a:noFill/>
                    <a:ln w="9525">
                      <a:noFill/>
                    </a:ln>
                  </pic:spPr>
                </pic:pic>
              </a:graphicData>
            </a:graphic>
          </wp:inline>
        </w:drawing>
      </w:r>
      <w:r>
        <w:drawing>
          <wp:inline distT="0" distB="0" distL="114300" distR="114300">
            <wp:extent cx="1400175" cy="495300"/>
            <wp:effectExtent l="0" t="0" r="9525" b="0"/>
            <wp:docPr id="9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
                    <pic:cNvPicPr>
                      <a:picLocks noChangeAspect="1"/>
                    </pic:cNvPicPr>
                  </pic:nvPicPr>
                  <pic:blipFill>
                    <a:blip r:embed="rId80" cstate="print"/>
                    <a:stretch>
                      <a:fillRect/>
                    </a:stretch>
                  </pic:blipFill>
                  <pic:spPr>
                    <a:xfrm>
                      <a:off x="0" y="0"/>
                      <a:ext cx="1400175" cy="495300"/>
                    </a:xfrm>
                    <a:prstGeom prst="rect">
                      <a:avLst/>
                    </a:prstGeom>
                    <a:noFill/>
                    <a:ln w="9525">
                      <a:noFill/>
                    </a:ln>
                  </pic:spPr>
                </pic:pic>
              </a:graphicData>
            </a:graphic>
          </wp:inline>
        </w:drawing>
      </w:r>
      <w:r>
        <w:rPr>
          <w:rFonts w:hint="eastAsia" w:ascii="宋体" w:hAnsi="宋体"/>
          <w:color w:val="000000"/>
        </w:rPr>
        <w:tab/>
      </w:r>
      <w:r>
        <w:rPr>
          <w:rFonts w:hint="eastAsia" w:ascii="宋体" w:hAnsi="宋体"/>
          <w:color w:val="000000"/>
        </w:rPr>
        <w:tab/>
      </w:r>
    </w:p>
    <w:p>
      <w:pPr>
        <w:pStyle w:val="19"/>
      </w:pPr>
      <w:r>
        <w:rPr>
          <w:rFonts w:hint="eastAsia"/>
        </w:rPr>
        <w:t>图3.1  选取通道菜单</w:t>
      </w:r>
    </w:p>
    <w:p>
      <w:pPr>
        <w:ind w:firstLine="420"/>
      </w:pPr>
      <w:r>
        <w:rPr>
          <w:rFonts w:hint="eastAsia"/>
        </w:rPr>
        <w:t>其中：“全部选取”指选中所有的通道；而“选取指定...”将弹出图3.2所示的对话框，用于选取用户关心的具有某种共性的通道（主通道）。</w:t>
      </w:r>
    </w:p>
    <w:p>
      <w:pPr>
        <w:spacing w:line="360" w:lineRule="atLeast"/>
        <w:ind w:left="-15" w:leftChars="-7" w:firstLine="14" w:firstLineChars="7"/>
        <w:jc w:val="center"/>
        <w:rPr>
          <w:rFonts w:ascii="宋体" w:hAnsi="宋体"/>
          <w:color w:val="000000"/>
        </w:rPr>
      </w:pPr>
      <w:r>
        <w:drawing>
          <wp:inline distT="0" distB="0" distL="114300" distR="114300">
            <wp:extent cx="2207895" cy="2586990"/>
            <wp:effectExtent l="0" t="0" r="1905" b="3810"/>
            <wp:docPr id="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pic:cNvPicPr>
                      <a:picLocks noChangeAspect="1"/>
                    </pic:cNvPicPr>
                  </pic:nvPicPr>
                  <pic:blipFill>
                    <a:blip r:embed="rId81" cstate="print"/>
                    <a:stretch>
                      <a:fillRect/>
                    </a:stretch>
                  </pic:blipFill>
                  <pic:spPr>
                    <a:xfrm>
                      <a:off x="0" y="0"/>
                      <a:ext cx="2207895" cy="2586990"/>
                    </a:xfrm>
                    <a:prstGeom prst="rect">
                      <a:avLst/>
                    </a:prstGeom>
                    <a:noFill/>
                    <a:ln w="9525">
                      <a:noFill/>
                    </a:ln>
                  </pic:spPr>
                </pic:pic>
              </a:graphicData>
            </a:graphic>
          </wp:inline>
        </w:drawing>
      </w:r>
    </w:p>
    <w:p>
      <w:pPr>
        <w:pStyle w:val="19"/>
      </w:pPr>
      <w:r>
        <w:rPr>
          <w:rFonts w:hint="eastAsia"/>
        </w:rPr>
        <w:t>图3.2  “选取指定通道”窗口</w:t>
      </w:r>
    </w:p>
    <w:p>
      <w:pPr>
        <w:ind w:firstLine="420"/>
      </w:pPr>
      <w:r>
        <w:rPr>
          <w:rFonts w:hint="eastAsia"/>
        </w:rPr>
        <w:t>方法五：右击通道（主通道）方框，弹出图2.45(左)所示的快捷菜单；右击辅助通道方框，弹出图2.45(右)所示的快捷菜单。点击对应菜单的菜单项（“全选”、“反选”等）进行选取。</w:t>
      </w:r>
    </w:p>
    <w:p>
      <w:pPr>
        <w:pStyle w:val="3"/>
      </w:pPr>
      <w:bookmarkStart w:id="268" w:name="_Toc346203543"/>
      <w:bookmarkStart w:id="269" w:name="_Toc346783460"/>
      <w:bookmarkStart w:id="270" w:name="_Toc733"/>
      <w:bookmarkStart w:id="271" w:name="_Toc346263500"/>
      <w:bookmarkStart w:id="272" w:name="_Toc28572"/>
      <w:r>
        <w:rPr>
          <w:rFonts w:hint="eastAsia"/>
        </w:rPr>
        <w:t>3.5 通道启停</w:t>
      </w:r>
      <w:bookmarkEnd w:id="268"/>
      <w:bookmarkEnd w:id="269"/>
      <w:bookmarkEnd w:id="270"/>
      <w:bookmarkEnd w:id="271"/>
      <w:bookmarkEnd w:id="272"/>
    </w:p>
    <w:p>
      <w:pPr>
        <w:ind w:firstLine="420"/>
      </w:pPr>
      <w:r>
        <w:t>通道操作功能都是在</w:t>
      </w:r>
      <w:r>
        <w:rPr>
          <w:rFonts w:hint="eastAsia"/>
        </w:rPr>
        <w:t>通道状态区域进行</w:t>
      </w:r>
      <w:r>
        <w:t>，以</w:t>
      </w:r>
      <w:r>
        <w:rPr>
          <w:rFonts w:hint="eastAsia"/>
        </w:rPr>
        <w:t>右击</w:t>
      </w:r>
      <w:r>
        <w:t>弹出</w:t>
      </w:r>
      <w:r>
        <w:rPr>
          <w:rFonts w:hint="eastAsia"/>
        </w:rPr>
        <w:t>快捷</w:t>
      </w:r>
      <w:r>
        <w:t>菜单的方式实现的</w:t>
      </w:r>
      <w:r>
        <w:rPr>
          <w:rFonts w:hint="eastAsia"/>
        </w:rPr>
        <w:t>，快捷菜单如图2.45所示。</w:t>
      </w:r>
    </w:p>
    <w:p>
      <w:pPr>
        <w:pStyle w:val="4"/>
        <w:rPr>
          <w:rFonts w:hint="default"/>
        </w:rPr>
      </w:pPr>
      <w:bookmarkStart w:id="273" w:name="_Toc346783461"/>
      <w:bookmarkStart w:id="274" w:name="_Toc346263501"/>
      <w:bookmarkStart w:id="275" w:name="_Toc346203544"/>
      <w:bookmarkStart w:id="276" w:name="_Toc16712"/>
      <w:bookmarkStart w:id="277" w:name="_Toc2031"/>
      <w:r>
        <w:t>3.5.1 启动通道</w:t>
      </w:r>
      <w:bookmarkEnd w:id="273"/>
      <w:bookmarkEnd w:id="274"/>
      <w:bookmarkEnd w:id="275"/>
      <w:bookmarkEnd w:id="276"/>
      <w:bookmarkEnd w:id="277"/>
    </w:p>
    <w:p>
      <w:pPr>
        <w:ind w:firstLine="420"/>
      </w:pPr>
      <w:r>
        <w:rPr>
          <w:rFonts w:hint="eastAsia"/>
        </w:rPr>
        <w:t>软件支持对每个电池通道（或者一批电池通道）的“测试过程”分别独立编程。</w:t>
      </w:r>
    </w:p>
    <w:p>
      <w:pPr>
        <w:ind w:firstLine="420"/>
      </w:pPr>
      <w:r>
        <w:rPr>
          <w:rFonts w:hint="eastAsia"/>
        </w:rPr>
        <w:t>选择快捷菜单“启动...”，即弹出图3.3所示的“启动”窗口，选取需要的“测试过程”并点击“启动”按钮，所选通道将按此“测试过程”启动并开始测试。</w:t>
      </w:r>
    </w:p>
    <w:p>
      <w:pPr>
        <w:spacing w:line="360" w:lineRule="atLeast"/>
        <w:ind w:left="-15" w:leftChars="-7" w:firstLine="14" w:firstLineChars="7"/>
        <w:rPr>
          <w:rFonts w:ascii="宋体" w:hAnsi="宋体"/>
          <w:color w:val="000000"/>
        </w:rPr>
      </w:pPr>
      <w:r>
        <w:rPr>
          <w:rFonts w:hint="eastAsia"/>
        </w:rPr>
        <w:t xml:space="preserve">                        </w:t>
      </w:r>
      <w:r>
        <w:drawing>
          <wp:inline distT="0" distB="0" distL="114300" distR="114300">
            <wp:extent cx="2821305" cy="3339465"/>
            <wp:effectExtent l="0" t="0" r="17145" b="13335"/>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82" cstate="print"/>
                    <a:stretch>
                      <a:fillRect/>
                    </a:stretch>
                  </pic:blipFill>
                  <pic:spPr>
                    <a:xfrm>
                      <a:off x="0" y="0"/>
                      <a:ext cx="2821305" cy="3339465"/>
                    </a:xfrm>
                    <a:prstGeom prst="rect">
                      <a:avLst/>
                    </a:prstGeom>
                    <a:noFill/>
                    <a:ln w="9525">
                      <a:noFill/>
                    </a:ln>
                  </pic:spPr>
                </pic:pic>
              </a:graphicData>
            </a:graphic>
          </wp:inline>
        </w:drawing>
      </w:r>
    </w:p>
    <w:p>
      <w:pPr>
        <w:pStyle w:val="19"/>
      </w:pPr>
      <w:r>
        <w:rPr>
          <w:rFonts w:hint="eastAsia"/>
        </w:rPr>
        <w:t>图3.3  “启动”窗口</w:t>
      </w:r>
    </w:p>
    <w:p>
      <w:pPr>
        <w:ind w:firstLine="420"/>
      </w:pPr>
      <w:r>
        <w:rPr>
          <w:rFonts w:hint="eastAsia"/>
        </w:rPr>
        <w:t>点击“测试名称”（超链接），自动加载并打开“工步编辑软件”，可查看或者编辑当前选取通道的“测试过程”。</w:t>
      </w:r>
    </w:p>
    <w:p>
      <w:pPr>
        <w:ind w:firstLine="420"/>
      </w:pPr>
      <w:r>
        <w:rPr>
          <w:rFonts w:hint="eastAsia"/>
        </w:rPr>
        <w:t>点击“调入</w:t>
      </w:r>
      <w:r>
        <w:t>…</w:t>
      </w:r>
      <w:r>
        <w:rPr>
          <w:rFonts w:hint="eastAsia"/>
        </w:rPr>
        <w:t>”按钮，弹出图3.4所示的“测试名列表管理”窗口，此窗口与图2.16所示的“测试名列表管理”窗口相似。</w:t>
      </w:r>
    </w:p>
    <w:p>
      <w:pPr>
        <w:ind w:firstLine="420"/>
      </w:pPr>
      <w:r>
        <w:rPr>
          <w:rFonts w:hint="eastAsia"/>
        </w:rPr>
        <w:t>此处弹出的“测试名列表管理”窗口比图2.16所示的“测试名列表管理”窗口在右上角多出一个“选取”按钮。如果“测试名列表”中有所需的“测试过程”，点击“选取”按钮即可；如果没有，则可通过复制一个相近的“测试过程”并进行编辑，或者点击“新建...”按钮进行新建一个“测试过程”。</w:t>
      </w:r>
    </w:p>
    <w:p>
      <w:pPr>
        <w:pStyle w:val="40"/>
        <w:spacing w:before="120" w:line="360" w:lineRule="atLeast"/>
        <w:ind w:firstLine="420"/>
        <w:jc w:val="center"/>
        <w:rPr>
          <w:rFonts w:ascii="宋体" w:hAnsi="宋体"/>
          <w:color w:val="000000"/>
        </w:rPr>
      </w:pPr>
      <w:r>
        <w:drawing>
          <wp:inline distT="0" distB="0" distL="114300" distR="114300">
            <wp:extent cx="2311400" cy="3590925"/>
            <wp:effectExtent l="0" t="0" r="12700" b="9525"/>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83" cstate="print"/>
                    <a:stretch>
                      <a:fillRect/>
                    </a:stretch>
                  </pic:blipFill>
                  <pic:spPr>
                    <a:xfrm>
                      <a:off x="0" y="0"/>
                      <a:ext cx="2311400" cy="3590925"/>
                    </a:xfrm>
                    <a:prstGeom prst="rect">
                      <a:avLst/>
                    </a:prstGeom>
                    <a:noFill/>
                    <a:ln w="9525">
                      <a:noFill/>
                    </a:ln>
                  </pic:spPr>
                </pic:pic>
              </a:graphicData>
            </a:graphic>
          </wp:inline>
        </w:drawing>
      </w:r>
    </w:p>
    <w:p>
      <w:pPr>
        <w:pStyle w:val="19"/>
      </w:pPr>
      <w:r>
        <w:rPr>
          <w:rFonts w:hint="eastAsia"/>
        </w:rPr>
        <w:t>图3.4  “测试名列表管理”窗口</w:t>
      </w:r>
    </w:p>
    <w:p>
      <w:pPr>
        <w:ind w:firstLine="420"/>
      </w:pPr>
      <w:r>
        <w:rPr>
          <w:rFonts w:hint="eastAsia"/>
        </w:rPr>
        <w:t>当然，也可以直接选择“新建</w:t>
      </w:r>
      <w:r>
        <w:t>…</w:t>
      </w:r>
      <w:r>
        <w:rPr>
          <w:rFonts w:hint="eastAsia"/>
        </w:rPr>
        <w:t>”按钮新建一个“测试过程”，此时如果“测试名列表管理”中已有与此具有相同名称的“测试过程”，则将以新替旧。</w:t>
      </w:r>
    </w:p>
    <w:p>
      <w:pPr>
        <w:ind w:firstLine="420"/>
      </w:pPr>
      <w:r>
        <w:rPr>
          <w:rFonts w:hint="eastAsia"/>
        </w:rPr>
        <w:t>选中“启用预约备份”，测试的数据将进行自动备份，后面将会详细介绍。</w:t>
      </w:r>
    </w:p>
    <w:p>
      <w:pPr>
        <w:pStyle w:val="4"/>
        <w:rPr>
          <w:rFonts w:hint="default"/>
        </w:rPr>
      </w:pPr>
      <w:bookmarkStart w:id="278" w:name="_Toc3295"/>
      <w:bookmarkStart w:id="279" w:name="_Toc346783462"/>
      <w:bookmarkStart w:id="280" w:name="_Toc346263502"/>
      <w:bookmarkStart w:id="281" w:name="_Toc346203545"/>
      <w:bookmarkStart w:id="282" w:name="_Toc18797"/>
      <w:r>
        <w:t>3.5.2 停止通道</w:t>
      </w:r>
      <w:bookmarkEnd w:id="278"/>
      <w:bookmarkEnd w:id="279"/>
      <w:bookmarkEnd w:id="280"/>
      <w:bookmarkEnd w:id="281"/>
      <w:bookmarkEnd w:id="282"/>
    </w:p>
    <w:p>
      <w:pPr>
        <w:ind w:firstLine="420"/>
      </w:pPr>
      <w:r>
        <w:t>一个正在</w:t>
      </w:r>
      <w:r>
        <w:rPr>
          <w:rFonts w:hint="eastAsia"/>
        </w:rPr>
        <w:t>测试</w:t>
      </w:r>
      <w:r>
        <w:t>的通道在完成设定的</w:t>
      </w:r>
      <w:r>
        <w:rPr>
          <w:rFonts w:hint="eastAsia"/>
        </w:rPr>
        <w:t>“工步”</w:t>
      </w:r>
      <w:r>
        <w:t>后会自动停止</w:t>
      </w:r>
      <w:r>
        <w:rPr>
          <w:rFonts w:hint="eastAsia"/>
        </w:rPr>
        <w:t>，</w:t>
      </w:r>
      <w:r>
        <w:t>同时，软件也允许用户</w:t>
      </w:r>
      <w:r>
        <w:rPr>
          <w:rFonts w:hint="eastAsia"/>
        </w:rPr>
        <w:t>中途</w:t>
      </w:r>
      <w:r>
        <w:t>强制</w:t>
      </w:r>
      <w:r>
        <w:rPr>
          <w:rFonts w:hint="eastAsia"/>
        </w:rPr>
        <w:t>停止测试</w:t>
      </w:r>
      <w:r>
        <w:t>。</w:t>
      </w:r>
      <w:r>
        <w:rPr>
          <w:rFonts w:hint="eastAsia"/>
        </w:rPr>
        <w:t>“</w:t>
      </w:r>
      <w:r>
        <w:t>停止通道</w:t>
      </w:r>
      <w:r>
        <w:rPr>
          <w:rFonts w:hint="eastAsia"/>
        </w:rPr>
        <w:t>”</w:t>
      </w:r>
      <w:r>
        <w:t>和</w:t>
      </w:r>
      <w:r>
        <w:rPr>
          <w:rFonts w:hint="eastAsia"/>
        </w:rPr>
        <w:t>“</w:t>
      </w:r>
      <w:r>
        <w:t>续接启动</w:t>
      </w:r>
      <w:r>
        <w:rPr>
          <w:rFonts w:hint="eastAsia"/>
        </w:rPr>
        <w:t>”</w:t>
      </w:r>
      <w:r>
        <w:t>的配合使用可以实现通道</w:t>
      </w:r>
      <w:r>
        <w:rPr>
          <w:rFonts w:hint="eastAsia"/>
        </w:rPr>
        <w:t>测试</w:t>
      </w:r>
      <w:r>
        <w:t>的暂停和恢复功能。</w:t>
      </w:r>
    </w:p>
    <w:p>
      <w:pPr>
        <w:ind w:firstLine="420"/>
      </w:pPr>
      <w:r>
        <w:rPr>
          <w:rFonts w:hint="eastAsia"/>
        </w:rPr>
        <w:t>选择右键快捷</w:t>
      </w:r>
      <w:r>
        <w:t>菜单</w:t>
      </w:r>
      <w:r>
        <w:rPr>
          <w:rFonts w:hint="eastAsia"/>
        </w:rPr>
        <w:t>“停止”即可强制停止测试。</w:t>
      </w:r>
    </w:p>
    <w:p>
      <w:pPr>
        <w:pStyle w:val="4"/>
        <w:rPr>
          <w:rFonts w:hint="default"/>
        </w:rPr>
      </w:pPr>
      <w:bookmarkStart w:id="283" w:name="_Toc346203546"/>
      <w:bookmarkStart w:id="284" w:name="_Toc346263503"/>
      <w:bookmarkStart w:id="285" w:name="_Toc346783463"/>
      <w:bookmarkStart w:id="286" w:name="_Toc646"/>
      <w:bookmarkStart w:id="287" w:name="_Toc13760"/>
      <w:r>
        <w:t>3.5.3 续接启动</w:t>
      </w:r>
      <w:bookmarkEnd w:id="283"/>
      <w:bookmarkEnd w:id="284"/>
      <w:bookmarkEnd w:id="285"/>
      <w:bookmarkEnd w:id="286"/>
      <w:bookmarkEnd w:id="287"/>
    </w:p>
    <w:p>
      <w:pPr>
        <w:ind w:firstLine="420"/>
      </w:pPr>
      <w:r>
        <w:rPr>
          <w:rFonts w:hint="eastAsia"/>
        </w:rPr>
        <w:t>对于已经停止测试的通道，如果用户认为仍然有继续测试的必要（如误操作停止、安全停止或用户只是想暂停测试），可以使用“续接启动”功能恢复测试。“续接启动”能保持通道的电池状态及测试数据的正常延续，通常与“停止通道”配合使用。</w:t>
      </w:r>
    </w:p>
    <w:p>
      <w:pPr>
        <w:pStyle w:val="4"/>
        <w:rPr>
          <w:rFonts w:hint="default"/>
        </w:rPr>
      </w:pPr>
      <w:bookmarkStart w:id="288" w:name="_Toc346203547"/>
      <w:bookmarkStart w:id="289" w:name="_Toc346783464"/>
      <w:bookmarkStart w:id="290" w:name="_Toc4476"/>
      <w:bookmarkStart w:id="291" w:name="_Toc346263504"/>
      <w:bookmarkStart w:id="292" w:name="_Toc11729"/>
      <w:r>
        <w:t>3.5.4 强制跳转</w:t>
      </w:r>
      <w:bookmarkEnd w:id="288"/>
      <w:bookmarkEnd w:id="289"/>
      <w:bookmarkEnd w:id="290"/>
      <w:bookmarkEnd w:id="291"/>
      <w:bookmarkEnd w:id="292"/>
    </w:p>
    <w:p>
      <w:pPr>
        <w:ind w:firstLine="420"/>
      </w:pPr>
      <w:r>
        <w:rPr>
          <w:rFonts w:hint="eastAsia"/>
        </w:rPr>
        <w:t>在通道测试中，用户可以强制中止通道当前测试工步而跳转至指定的测试工步，对应通道的电池状态及测试数据正常延续。</w:t>
      </w:r>
    </w:p>
    <w:p>
      <w:pPr>
        <w:ind w:firstLine="420"/>
      </w:pPr>
      <w:r>
        <w:rPr>
          <w:rFonts w:hint="eastAsia"/>
        </w:rPr>
        <w:t>选中快捷菜单“强制跳转”，弹出图3.5所示的“强制跳转”窗口。</w:t>
      </w:r>
    </w:p>
    <w:p>
      <w:pPr>
        <w:spacing w:line="360" w:lineRule="atLeast"/>
        <w:ind w:left="-15" w:leftChars="-7" w:firstLine="14" w:firstLineChars="7"/>
        <w:rPr>
          <w:rFonts w:ascii="宋体" w:hAnsi="宋体"/>
          <w:color w:val="000000"/>
        </w:rPr>
      </w:pPr>
      <w:r>
        <w:rPr>
          <w:rFonts w:hint="eastAsia"/>
        </w:rPr>
        <w:t xml:space="preserve">                  </w:t>
      </w:r>
      <w:r>
        <w:drawing>
          <wp:inline distT="0" distB="0" distL="114300" distR="114300">
            <wp:extent cx="3628390" cy="1369060"/>
            <wp:effectExtent l="0" t="0" r="10160" b="25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84" cstate="print"/>
                    <a:stretch>
                      <a:fillRect/>
                    </a:stretch>
                  </pic:blipFill>
                  <pic:spPr>
                    <a:xfrm>
                      <a:off x="0" y="0"/>
                      <a:ext cx="3628390" cy="1369060"/>
                    </a:xfrm>
                    <a:prstGeom prst="rect">
                      <a:avLst/>
                    </a:prstGeom>
                    <a:noFill/>
                    <a:ln w="9525">
                      <a:noFill/>
                    </a:ln>
                  </pic:spPr>
                </pic:pic>
              </a:graphicData>
            </a:graphic>
          </wp:inline>
        </w:drawing>
      </w:r>
    </w:p>
    <w:p>
      <w:pPr>
        <w:pStyle w:val="19"/>
      </w:pPr>
      <w:r>
        <w:rPr>
          <w:rFonts w:hint="eastAsia"/>
        </w:rPr>
        <w:t>图3.5  “强制跳转”窗口</w:t>
      </w:r>
    </w:p>
    <w:p>
      <w:pPr>
        <w:ind w:firstLine="420"/>
      </w:pPr>
      <w:r>
        <w:rPr>
          <w:rFonts w:hint="eastAsia"/>
        </w:rPr>
        <w:t>选定即将跳转的测试工步并点击“跳转”按钮，即可完成“强制跳转”操作。对于已经停止测试的通道，“强制跳转”将会激活测试（相当于同时执行了一个“续接启动”）。</w:t>
      </w:r>
    </w:p>
    <w:p>
      <w:pPr>
        <w:pStyle w:val="4"/>
        <w:rPr>
          <w:rFonts w:hint="default"/>
        </w:rPr>
      </w:pPr>
      <w:bookmarkStart w:id="293" w:name="_Toc26955"/>
      <w:bookmarkStart w:id="294" w:name="_Toc346783465"/>
      <w:bookmarkStart w:id="295" w:name="_Toc24627"/>
      <w:bookmarkStart w:id="296" w:name="_Toc346203548"/>
      <w:bookmarkStart w:id="297" w:name="_Toc346263505"/>
      <w:r>
        <w:t>3.5.5 通道变更</w:t>
      </w:r>
      <w:bookmarkEnd w:id="293"/>
      <w:bookmarkEnd w:id="294"/>
      <w:bookmarkEnd w:id="295"/>
    </w:p>
    <w:p>
      <w:pPr>
        <w:ind w:firstLine="420"/>
      </w:pPr>
      <w:r>
        <w:rPr>
          <w:rFonts w:hint="eastAsia"/>
        </w:rPr>
        <w:t>“变更通道”操作是将一个通道上未完成的测试改换至另一个通道上继续进行，且数据文件自动接续。如果通道须进行一个较长时间的测试，但是在测试完成前通道损坏或其它原因，测试难以在该通道上继续进行下去，此功能必不可少。</w:t>
      </w:r>
    </w:p>
    <w:p>
      <w:pPr>
        <w:ind w:firstLine="420"/>
      </w:pPr>
      <w:r>
        <w:rPr>
          <w:rFonts w:hint="eastAsia"/>
        </w:rPr>
        <w:t>需要注意一点，源通道和目的通道必须具备相同的电流电压量程，但可以不在同一个机箱上，甚至可以在</w:t>
      </w:r>
      <w:r>
        <w:t>PC</w:t>
      </w:r>
      <w:r>
        <w:rPr>
          <w:rFonts w:hint="eastAsia"/>
        </w:rPr>
        <w:t>机的不同串行通信端口上。</w:t>
      </w:r>
    </w:p>
    <w:p>
      <w:pPr>
        <w:ind w:firstLine="420"/>
      </w:pPr>
      <w:r>
        <w:rPr>
          <w:rFonts w:hint="eastAsia"/>
        </w:rPr>
        <w:t>正在进行测试的通道不能进行“变更通道”操作，用户可以先停止工作，再进行“变更通道”操作，最后使用“续接启动”即可。</w:t>
      </w:r>
    </w:p>
    <w:p>
      <w:pPr>
        <w:ind w:firstLine="420"/>
        <w:rPr>
          <w:rFonts w:hint="eastAsia"/>
        </w:rPr>
      </w:pPr>
      <w:r>
        <w:rPr>
          <w:rFonts w:hint="eastAsia"/>
        </w:rPr>
        <w:t>选择主菜单“工具(L)&gt;变更通道(S)...”，即可进入“变更通道”对话框（如图3.6所示）。</w:t>
      </w:r>
    </w:p>
    <w:p>
      <w:pPr>
        <w:spacing w:line="240" w:lineRule="auto"/>
        <w:ind w:firstLine="3045" w:firstLineChars="1450"/>
        <w:rPr>
          <w:rFonts w:hint="eastAsia"/>
        </w:rPr>
      </w:pPr>
      <w:r>
        <w:drawing>
          <wp:inline distT="0" distB="0" distL="0" distR="0">
            <wp:extent cx="2512695" cy="1463040"/>
            <wp:effectExtent l="19050" t="0" r="1905" b="0"/>
            <wp:docPr id="2693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14" name="图片 6"/>
                    <pic:cNvPicPr>
                      <a:picLocks noChangeAspect="1" noChangeArrowheads="1"/>
                    </pic:cNvPicPr>
                  </pic:nvPicPr>
                  <pic:blipFill>
                    <a:blip r:embed="rId85" cstate="print"/>
                    <a:srcRect/>
                    <a:stretch>
                      <a:fillRect/>
                    </a:stretch>
                  </pic:blipFill>
                  <pic:spPr>
                    <a:xfrm>
                      <a:off x="0" y="0"/>
                      <a:ext cx="2512695" cy="1463040"/>
                    </a:xfrm>
                    <a:prstGeom prst="rect">
                      <a:avLst/>
                    </a:prstGeom>
                    <a:noFill/>
                    <a:ln w="9525">
                      <a:noFill/>
                      <a:miter lim="800000"/>
                      <a:headEnd/>
                      <a:tailEnd/>
                    </a:ln>
                  </pic:spPr>
                </pic:pic>
              </a:graphicData>
            </a:graphic>
          </wp:inline>
        </w:drawing>
      </w:r>
    </w:p>
    <w:p>
      <w:pPr>
        <w:pStyle w:val="19"/>
      </w:pPr>
      <w:r>
        <w:rPr>
          <w:rFonts w:hint="eastAsia"/>
        </w:rPr>
        <w:t>图3.6  “通道变更”窗口</w:t>
      </w:r>
    </w:p>
    <w:p>
      <w:pPr>
        <w:pStyle w:val="4"/>
        <w:rPr>
          <w:rFonts w:hint="default"/>
        </w:rPr>
      </w:pPr>
      <w:bookmarkStart w:id="298" w:name="_Toc5754"/>
      <w:bookmarkStart w:id="299" w:name="_Toc346783466"/>
      <w:bookmarkStart w:id="300" w:name="_Toc17467"/>
      <w:r>
        <w:t>3.5.6 参数重置</w:t>
      </w:r>
      <w:bookmarkEnd w:id="296"/>
      <w:bookmarkEnd w:id="297"/>
      <w:bookmarkEnd w:id="298"/>
      <w:bookmarkEnd w:id="299"/>
      <w:bookmarkEnd w:id="300"/>
    </w:p>
    <w:p>
      <w:pPr>
        <w:ind w:firstLine="420"/>
      </w:pPr>
      <w:r>
        <w:rPr>
          <w:rFonts w:hint="eastAsia"/>
        </w:rPr>
        <w:t>“过程参数重置”是指在通道测试中动态地替换掉当前测试过程，而尽可能保持电池状态和数据文件的接续，多用于动态修改通道的过程参数。同“强制跳转”一样，“过程参数重置”能保持通道的电池状态及测试数据的正常延续。</w:t>
      </w:r>
    </w:p>
    <w:p>
      <w:pPr>
        <w:ind w:firstLine="420"/>
        <w:rPr>
          <w:rFonts w:hint="eastAsia"/>
        </w:rPr>
      </w:pPr>
      <w:r>
        <w:rPr>
          <w:rFonts w:hint="eastAsia"/>
        </w:rPr>
        <w:t>选择快捷菜单“参数重置...”，即可弹出“过程参数重置”窗口（如图3.7所示），此窗口与“启动”窗口完全一致。</w:t>
      </w:r>
    </w:p>
    <w:p>
      <w:pPr>
        <w:spacing w:line="240" w:lineRule="auto"/>
        <w:ind w:firstLine="2730" w:firstLineChars="1300"/>
        <w:rPr>
          <w:rFonts w:hint="eastAsia"/>
        </w:rPr>
      </w:pPr>
      <w:r>
        <w:rPr>
          <w:rFonts w:hint="eastAsia"/>
        </w:rPr>
        <w:drawing>
          <wp:inline distT="0" distB="0" distL="0" distR="0">
            <wp:extent cx="2811145" cy="2971800"/>
            <wp:effectExtent l="19050" t="0" r="7785" b="0"/>
            <wp:docPr id="2693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15" name="图片 9"/>
                    <pic:cNvPicPr>
                      <a:picLocks noChangeAspect="1" noChangeArrowheads="1"/>
                    </pic:cNvPicPr>
                  </pic:nvPicPr>
                  <pic:blipFill>
                    <a:blip r:embed="rId86" cstate="print"/>
                    <a:srcRect/>
                    <a:stretch>
                      <a:fillRect/>
                    </a:stretch>
                  </pic:blipFill>
                  <pic:spPr>
                    <a:xfrm>
                      <a:off x="0" y="0"/>
                      <a:ext cx="2815533" cy="2976567"/>
                    </a:xfrm>
                    <a:prstGeom prst="rect">
                      <a:avLst/>
                    </a:prstGeom>
                    <a:noFill/>
                    <a:ln w="9525">
                      <a:noFill/>
                      <a:miter lim="800000"/>
                      <a:headEnd/>
                      <a:tailEnd/>
                    </a:ln>
                  </pic:spPr>
                </pic:pic>
              </a:graphicData>
            </a:graphic>
          </wp:inline>
        </w:drawing>
      </w:r>
    </w:p>
    <w:p>
      <w:pPr>
        <w:pStyle w:val="19"/>
        <w:rPr>
          <w:rFonts w:hint="eastAsia"/>
        </w:rPr>
      </w:pPr>
      <w:r>
        <w:rPr>
          <w:rFonts w:hint="eastAsia"/>
        </w:rPr>
        <w:t>图3.7  “通道变更”窗口</w:t>
      </w:r>
    </w:p>
    <w:p>
      <w:pPr>
        <w:pStyle w:val="3"/>
      </w:pPr>
      <w:bookmarkStart w:id="301" w:name="_Toc1481"/>
      <w:r>
        <w:rPr>
          <w:rFonts w:hint="eastAsia"/>
        </w:rPr>
        <w:t>3.6 高级</w:t>
      </w:r>
      <w:bookmarkEnd w:id="301"/>
    </w:p>
    <w:p>
      <w:pPr>
        <w:ind w:firstLine="420"/>
      </w:pPr>
      <w:r>
        <w:rPr>
          <w:rFonts w:hint="eastAsia"/>
        </w:rPr>
        <w:t>如图3.8所示，选择主通道之快捷菜单“高级”，弹出“打包并移入寄存区”、“从寄存区取回并解包”和“从数据文件中再生启动”三个</w:t>
      </w:r>
      <w:r>
        <w:rPr>
          <w:rFonts w:hint="eastAsia"/>
          <w:lang w:eastAsia="zh-CN"/>
        </w:rPr>
        <w:t>菜单</w:t>
      </w:r>
      <w:r>
        <w:rPr>
          <w:rFonts w:hint="eastAsia"/>
        </w:rPr>
        <w:t>选项。当主通道处于测试状态时，“高级”菜单下的选项</w:t>
      </w:r>
      <w:r>
        <w:rPr>
          <w:rFonts w:hint="eastAsia"/>
          <w:lang w:eastAsia="zh-CN"/>
        </w:rPr>
        <w:t>不可用</w:t>
      </w:r>
      <w:r>
        <w:rPr>
          <w:rFonts w:hint="eastAsia"/>
        </w:rPr>
        <w:t>；当主通道测试停止时，“高级”菜单下的选项</w:t>
      </w:r>
      <w:r>
        <w:rPr>
          <w:rFonts w:hint="eastAsia"/>
          <w:lang w:eastAsia="zh-CN"/>
        </w:rPr>
        <w:t>可用</w:t>
      </w:r>
      <w:r>
        <w:rPr>
          <w:rFonts w:hint="eastAsia"/>
        </w:rPr>
        <w:t>。</w:t>
      </w:r>
    </w:p>
    <w:p>
      <w:pPr>
        <w:spacing w:line="240" w:lineRule="auto"/>
        <w:ind w:firstLine="0" w:firstLineChars="0"/>
      </w:pPr>
      <w:r>
        <w:rPr>
          <w:rFonts w:hint="eastAsia"/>
          <w:lang w:val="en-US" w:eastAsia="zh-CN"/>
        </w:rPr>
        <w:t xml:space="preserve">                       </w:t>
      </w:r>
      <w:r>
        <w:rPr>
          <w:rFonts w:hint="eastAsia"/>
        </w:rPr>
        <w:t xml:space="preserve">  </w:t>
      </w:r>
      <w:r>
        <w:drawing>
          <wp:inline distT="0" distB="0" distL="114300" distR="114300">
            <wp:extent cx="3030855" cy="1870075"/>
            <wp:effectExtent l="0" t="0" r="17145" b="15875"/>
            <wp:docPr id="2693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20" name="图片 5"/>
                    <pic:cNvPicPr>
                      <a:picLocks noChangeAspect="1"/>
                    </pic:cNvPicPr>
                  </pic:nvPicPr>
                  <pic:blipFill>
                    <a:blip r:embed="rId87" cstate="print"/>
                    <a:srcRect t="17163" r="947" b="27103"/>
                    <a:stretch>
                      <a:fillRect/>
                    </a:stretch>
                  </pic:blipFill>
                  <pic:spPr>
                    <a:xfrm>
                      <a:off x="0" y="0"/>
                      <a:ext cx="3030855" cy="1870075"/>
                    </a:xfrm>
                    <a:prstGeom prst="rect">
                      <a:avLst/>
                    </a:prstGeom>
                    <a:noFill/>
                    <a:ln w="9525">
                      <a:noFill/>
                    </a:ln>
                  </pic:spPr>
                </pic:pic>
              </a:graphicData>
            </a:graphic>
          </wp:inline>
        </w:drawing>
      </w:r>
    </w:p>
    <w:p>
      <w:pPr>
        <w:pStyle w:val="19"/>
      </w:pPr>
      <w:r>
        <w:rPr>
          <w:rFonts w:hint="eastAsia"/>
        </w:rPr>
        <w:t>图3</w:t>
      </w:r>
      <w:r>
        <w:t>.</w:t>
      </w:r>
      <w:r>
        <w:rPr>
          <w:rFonts w:hint="eastAsia"/>
        </w:rPr>
        <w:t>8  主通道的“高级”窗口</w:t>
      </w:r>
    </w:p>
    <w:p>
      <w:pPr>
        <w:ind w:firstLine="420"/>
        <w:rPr>
          <w:rFonts w:hint="eastAsia"/>
        </w:rPr>
      </w:pPr>
      <w:r>
        <w:rPr>
          <w:rFonts w:hint="eastAsia"/>
        </w:rPr>
        <w:t>如果一个</w:t>
      </w:r>
      <w:r>
        <w:rPr>
          <w:rFonts w:hint="eastAsia"/>
          <w:lang w:eastAsia="zh-CN"/>
        </w:rPr>
        <w:t>单元（或一台设备）的主</w:t>
      </w:r>
      <w:r>
        <w:rPr>
          <w:rFonts w:hint="eastAsia"/>
        </w:rPr>
        <w:t>通道须进行一个长时间的测试，而</w:t>
      </w:r>
      <w:r>
        <w:rPr>
          <w:rFonts w:hint="eastAsia"/>
          <w:lang w:eastAsia="zh-CN"/>
        </w:rPr>
        <w:t>此时因为某些原因</w:t>
      </w:r>
      <w:r>
        <w:rPr>
          <w:rFonts w:hint="eastAsia"/>
        </w:rPr>
        <w:t>需要进行另外的测试，</w:t>
      </w:r>
      <w:r>
        <w:rPr>
          <w:rFonts w:hint="eastAsia"/>
          <w:lang w:eastAsia="zh-CN"/>
        </w:rPr>
        <w:t>且用户</w:t>
      </w:r>
      <w:r>
        <w:rPr>
          <w:rFonts w:hint="eastAsia"/>
        </w:rPr>
        <w:t>没有闲置可用的通道，那么某些通道就需要暂停当前测试并去进行第二个测试，待第二个测试结束后，再去续接第一个测试，这时就</w:t>
      </w:r>
      <w:r>
        <w:rPr>
          <w:rFonts w:hint="eastAsia"/>
          <w:lang w:eastAsia="zh-CN"/>
        </w:rPr>
        <w:t>需要</w:t>
      </w:r>
      <w:r>
        <w:rPr>
          <w:rFonts w:hint="eastAsia"/>
        </w:rPr>
        <w:t>用到“高级” 菜单功能了。</w:t>
      </w:r>
    </w:p>
    <w:p>
      <w:pPr>
        <w:ind w:firstLine="420"/>
        <w:rPr>
          <w:rFonts w:ascii="宋体" w:hAnsi="宋体" w:cs="宋体"/>
        </w:rPr>
      </w:pPr>
      <w:r>
        <w:rPr>
          <w:rFonts w:hint="eastAsia"/>
        </w:rPr>
        <w:t>“高级”菜单下的三个选项配合使用，将通道状态信息和数据文件打包寄存，即使通道暂停当前测试之后进行</w:t>
      </w:r>
      <w:r>
        <w:rPr>
          <w:rFonts w:hint="eastAsia"/>
          <w:lang w:eastAsia="zh-CN"/>
        </w:rPr>
        <w:t>了</w:t>
      </w:r>
      <w:r>
        <w:rPr>
          <w:rFonts w:hint="eastAsia"/>
        </w:rPr>
        <w:t>另外的测试，</w:t>
      </w:r>
      <w:r>
        <w:rPr>
          <w:rFonts w:hint="eastAsia"/>
          <w:lang w:eastAsia="zh-CN"/>
        </w:rPr>
        <w:t>事后</w:t>
      </w:r>
      <w:r>
        <w:rPr>
          <w:rFonts w:hint="eastAsia"/>
        </w:rPr>
        <w:t>也</w:t>
      </w:r>
      <w:r>
        <w:rPr>
          <w:rFonts w:hint="eastAsia" w:ascii="宋体" w:hAnsi="宋体" w:cs="宋体"/>
        </w:rPr>
        <w:t>能</w:t>
      </w:r>
      <w:r>
        <w:rPr>
          <w:rFonts w:hint="eastAsia" w:ascii="宋体" w:hAnsi="宋体" w:cs="宋体"/>
          <w:lang w:eastAsia="zh-CN"/>
        </w:rPr>
        <w:t>保证</w:t>
      </w:r>
      <w:r>
        <w:rPr>
          <w:rFonts w:hint="eastAsia" w:ascii="宋体" w:hAnsi="宋体" w:cs="宋体"/>
        </w:rPr>
        <w:t>原测试的状态信息及数据</w:t>
      </w:r>
      <w:r>
        <w:rPr>
          <w:rFonts w:hint="eastAsia" w:ascii="宋体" w:hAnsi="宋体" w:cs="宋体"/>
          <w:lang w:eastAsia="zh-CN"/>
        </w:rPr>
        <w:t>文件</w:t>
      </w:r>
      <w:r>
        <w:rPr>
          <w:rFonts w:hint="eastAsia" w:ascii="宋体" w:hAnsi="宋体" w:cs="宋体"/>
        </w:rPr>
        <w:t>的正常延续。</w:t>
      </w:r>
    </w:p>
    <w:p>
      <w:pPr>
        <w:ind w:firstLine="420"/>
      </w:pPr>
      <w:r>
        <w:rPr>
          <w:rFonts w:hint="eastAsia"/>
          <w:b/>
          <w:bCs/>
        </w:rPr>
        <w:t>“高级”&gt;“打包并移入寄存区”</w:t>
      </w:r>
      <w:r>
        <w:rPr>
          <w:rFonts w:hint="eastAsia"/>
        </w:rPr>
        <w:t>：将</w:t>
      </w:r>
      <w:r>
        <w:rPr>
          <w:rFonts w:hint="eastAsia"/>
          <w:lang w:eastAsia="zh-CN"/>
        </w:rPr>
        <w:t>当前选择的</w:t>
      </w:r>
      <w:r>
        <w:rPr>
          <w:rFonts w:hint="eastAsia"/>
        </w:rPr>
        <w:t>主通道</w:t>
      </w:r>
      <w:r>
        <w:rPr>
          <w:rFonts w:hint="eastAsia"/>
          <w:lang w:eastAsia="zh-CN"/>
        </w:rPr>
        <w:t>（已</w:t>
      </w:r>
      <w:r>
        <w:rPr>
          <w:rFonts w:hint="eastAsia"/>
        </w:rPr>
        <w:t>停止测试</w:t>
      </w:r>
      <w:r>
        <w:rPr>
          <w:rFonts w:hint="eastAsia"/>
          <w:lang w:eastAsia="zh-CN"/>
        </w:rPr>
        <w:t>）</w:t>
      </w:r>
      <w:r>
        <w:rPr>
          <w:rFonts w:hint="eastAsia"/>
        </w:rPr>
        <w:t>的状态信息和</w:t>
      </w:r>
      <w:r>
        <w:rPr>
          <w:rFonts w:hint="eastAsia"/>
          <w:lang w:eastAsia="zh-CN"/>
        </w:rPr>
        <w:t>测试</w:t>
      </w:r>
      <w:r>
        <w:rPr>
          <w:rFonts w:hint="eastAsia"/>
        </w:rPr>
        <w:t>数据文件一起打包</w:t>
      </w:r>
      <w:r>
        <w:rPr>
          <w:rFonts w:hint="eastAsia"/>
          <w:lang w:eastAsia="zh-CN"/>
        </w:rPr>
        <w:t>，转移</w:t>
      </w:r>
      <w:r>
        <w:rPr>
          <w:rFonts w:hint="eastAsia"/>
        </w:rPr>
        <w:t>放在寄存区（对应</w:t>
      </w:r>
      <w:r>
        <w:rPr>
          <w:rFonts w:hint="eastAsia"/>
          <w:lang w:eastAsia="zh-CN"/>
        </w:rPr>
        <w:t>软件安装路径里的</w:t>
      </w:r>
      <w:r>
        <w:rPr>
          <w:rFonts w:hint="eastAsia"/>
        </w:rPr>
        <w:t>packs</w:t>
      </w:r>
      <w:r>
        <w:rPr>
          <w:rFonts w:hint="eastAsia"/>
          <w:lang w:eastAsia="zh-CN"/>
        </w:rPr>
        <w:t>文件夹</w:t>
      </w:r>
      <w:r>
        <w:rPr>
          <w:rFonts w:hint="eastAsia"/>
        </w:rPr>
        <w:t>）。执行一次“打包并移入寄存区”后，该主通道会恢复到初始状态（通道无任何状态信息和测试数据）。</w:t>
      </w:r>
    </w:p>
    <w:p>
      <w:pPr>
        <w:ind w:firstLine="420"/>
        <w:rPr>
          <w:color w:val="FF0000"/>
        </w:rPr>
      </w:pPr>
      <w:r>
        <w:rPr>
          <w:rFonts w:hint="eastAsia"/>
          <w:b/>
          <w:bCs/>
        </w:rPr>
        <w:t>“高级”&gt;“从寄存区取回并解包”</w:t>
      </w:r>
      <w:r>
        <w:rPr>
          <w:rFonts w:hint="eastAsia"/>
        </w:rPr>
        <w:t>：</w:t>
      </w:r>
      <w:r>
        <w:rPr>
          <w:rFonts w:hint="eastAsia"/>
          <w:lang w:eastAsia="zh-CN"/>
        </w:rPr>
        <w:t>将上一步中的打包文件</w:t>
      </w:r>
      <w:r>
        <w:rPr>
          <w:rFonts w:hint="eastAsia"/>
        </w:rPr>
        <w:t>，从寄存区（packs</w:t>
      </w:r>
      <w:r>
        <w:rPr>
          <w:rFonts w:hint="eastAsia"/>
          <w:lang w:eastAsia="zh-CN"/>
        </w:rPr>
        <w:t>文件夹</w:t>
      </w:r>
      <w:r>
        <w:rPr>
          <w:rFonts w:hint="eastAsia"/>
        </w:rPr>
        <w:t>）取回并解压</w:t>
      </w:r>
      <w:r>
        <w:rPr>
          <w:rFonts w:hint="eastAsia"/>
          <w:lang w:eastAsia="zh-CN"/>
        </w:rPr>
        <w:t>到</w:t>
      </w:r>
      <w:r>
        <w:rPr>
          <w:rFonts w:hint="eastAsia"/>
        </w:rPr>
        <w:t>通道测试数据实时寄存区（data_now</w:t>
      </w:r>
      <w:r>
        <w:rPr>
          <w:rFonts w:hint="eastAsia"/>
          <w:lang w:eastAsia="zh-CN"/>
        </w:rPr>
        <w:t>文件夹</w:t>
      </w:r>
      <w:r>
        <w:rPr>
          <w:rFonts w:hint="eastAsia"/>
        </w:rPr>
        <w:t>），弹出的“取回并解压”</w:t>
      </w:r>
      <w:r>
        <w:rPr>
          <w:rFonts w:hint="eastAsia"/>
          <w:lang w:eastAsia="zh-CN"/>
        </w:rPr>
        <w:t>用户确认</w:t>
      </w:r>
      <w:r>
        <w:rPr>
          <w:rFonts w:hint="eastAsia"/>
        </w:rPr>
        <w:t>窗口如图3.9所示。</w:t>
      </w:r>
    </w:p>
    <w:p>
      <w:pPr>
        <w:spacing w:line="240" w:lineRule="auto"/>
        <w:ind w:firstLine="420"/>
      </w:pP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2798445" cy="2538095"/>
            <wp:effectExtent l="19050" t="0" r="1491" b="0"/>
            <wp:docPr id="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
                    <pic:cNvPicPr>
                      <a:picLocks noChangeAspect="1"/>
                    </pic:cNvPicPr>
                  </pic:nvPicPr>
                  <pic:blipFill>
                    <a:blip r:embed="rId88" cstate="print"/>
                    <a:stretch>
                      <a:fillRect/>
                    </a:stretch>
                  </pic:blipFill>
                  <pic:spPr>
                    <a:xfrm>
                      <a:off x="0" y="0"/>
                      <a:ext cx="2802071" cy="2541085"/>
                    </a:xfrm>
                    <a:prstGeom prst="rect">
                      <a:avLst/>
                    </a:prstGeom>
                    <a:noFill/>
                    <a:ln w="9525">
                      <a:noFill/>
                    </a:ln>
                  </pic:spPr>
                </pic:pic>
              </a:graphicData>
            </a:graphic>
          </wp:inline>
        </w:drawing>
      </w:r>
    </w:p>
    <w:p>
      <w:pPr>
        <w:pStyle w:val="19"/>
      </w:pPr>
      <w:r>
        <w:rPr>
          <w:rFonts w:hint="eastAsia"/>
        </w:rPr>
        <w:t>图3</w:t>
      </w:r>
      <w:r>
        <w:t>.</w:t>
      </w:r>
      <w:r>
        <w:rPr>
          <w:rFonts w:hint="eastAsia"/>
        </w:rPr>
        <w:t>9  “取回并解包”窗口</w:t>
      </w:r>
    </w:p>
    <w:p>
      <w:pPr>
        <w:ind w:firstLine="420"/>
      </w:pPr>
      <w:r>
        <w:rPr>
          <w:rFonts w:hint="eastAsia"/>
          <w:b/>
          <w:bCs/>
        </w:rPr>
        <w:t>“高级”&gt;“从数据文件中再生启动”</w:t>
      </w:r>
      <w:r>
        <w:rPr>
          <w:rFonts w:hint="eastAsia"/>
        </w:rPr>
        <w:t>：如图3.10“再生启动”窗口所示，点击确定按钮即可执行再生启动操作。“再生启动”是指根据“取回并解包”的状态信息和数据文件，主通道续接原来的测试过程并启动。</w:t>
      </w:r>
    </w:p>
    <w:p>
      <w:pPr>
        <w:spacing w:line="240" w:lineRule="auto"/>
        <w:ind w:firstLine="2625" w:firstLineChars="1250"/>
      </w:pPr>
      <w:r>
        <w:rPr>
          <w:rFonts w:hint="eastAsia"/>
        </w:rPr>
        <w:t xml:space="preserve"> </w:t>
      </w:r>
      <w:r>
        <w:drawing>
          <wp:inline distT="0" distB="0" distL="114300" distR="114300">
            <wp:extent cx="2795270" cy="2488565"/>
            <wp:effectExtent l="19050" t="0" r="4638" b="0"/>
            <wp:docPr id="2693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13" name="图片 8"/>
                    <pic:cNvPicPr>
                      <a:picLocks noChangeAspect="1"/>
                    </pic:cNvPicPr>
                  </pic:nvPicPr>
                  <pic:blipFill>
                    <a:blip r:embed="rId89" cstate="print"/>
                    <a:stretch>
                      <a:fillRect/>
                    </a:stretch>
                  </pic:blipFill>
                  <pic:spPr>
                    <a:xfrm>
                      <a:off x="0" y="0"/>
                      <a:ext cx="2806631" cy="2498479"/>
                    </a:xfrm>
                    <a:prstGeom prst="rect">
                      <a:avLst/>
                    </a:prstGeom>
                    <a:noFill/>
                    <a:ln w="9525">
                      <a:noFill/>
                    </a:ln>
                  </pic:spPr>
                </pic:pic>
              </a:graphicData>
            </a:graphic>
          </wp:inline>
        </w:drawing>
      </w:r>
    </w:p>
    <w:p>
      <w:pPr>
        <w:pStyle w:val="19"/>
        <w:rPr>
          <w:rFonts w:hint="eastAsia"/>
        </w:rPr>
      </w:pPr>
      <w:r>
        <w:rPr>
          <w:rFonts w:hint="eastAsia"/>
        </w:rPr>
        <w:t>图3</w:t>
      </w:r>
      <w:r>
        <w:t>.</w:t>
      </w:r>
      <w:r>
        <w:rPr>
          <w:rFonts w:hint="eastAsia"/>
        </w:rPr>
        <w:t>10  “再生启动”窗口</w:t>
      </w:r>
    </w:p>
    <w:p>
      <w:pPr>
        <w:ind w:firstLine="420"/>
        <w:rPr>
          <w:rFonts w:hint="eastAsia"/>
        </w:rPr>
      </w:pPr>
      <w:r>
        <w:rPr>
          <w:rFonts w:hint="eastAsia"/>
        </w:rPr>
        <w:t>注意：如图3</w:t>
      </w:r>
      <w:r>
        <w:t>.</w:t>
      </w:r>
      <w:r>
        <w:rPr>
          <w:rFonts w:hint="eastAsia"/>
        </w:rPr>
        <w:t>11所示，当数据处理软件LANDdt中的“查看测试事件”窗口里包含“发现 ：再生启动信息”这一条事件记录时，在监控界面的主通道中才能成功执行“再生启动”操作；否则，“再生启动”失败。</w:t>
      </w:r>
    </w:p>
    <w:p>
      <w:pPr>
        <w:spacing w:line="240" w:lineRule="auto"/>
        <w:ind w:firstLine="2415" w:firstLineChars="1150"/>
        <w:rPr>
          <w:rFonts w:hint="eastAsia"/>
        </w:rPr>
      </w:pPr>
      <w:r>
        <w:rPr>
          <w:rFonts w:hint="eastAsia"/>
        </w:rPr>
        <w:drawing>
          <wp:inline distT="0" distB="0" distL="0" distR="0">
            <wp:extent cx="2947035" cy="2734945"/>
            <wp:effectExtent l="19050" t="0" r="5285" b="0"/>
            <wp:docPr id="2693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19" name="图片 12"/>
                    <pic:cNvPicPr>
                      <a:picLocks noChangeAspect="1" noChangeArrowheads="1"/>
                    </pic:cNvPicPr>
                  </pic:nvPicPr>
                  <pic:blipFill>
                    <a:blip r:embed="rId90" cstate="print"/>
                    <a:srcRect/>
                    <a:stretch>
                      <a:fillRect/>
                    </a:stretch>
                  </pic:blipFill>
                  <pic:spPr>
                    <a:xfrm>
                      <a:off x="0" y="0"/>
                      <a:ext cx="2957002" cy="2744099"/>
                    </a:xfrm>
                    <a:prstGeom prst="rect">
                      <a:avLst/>
                    </a:prstGeom>
                    <a:noFill/>
                    <a:ln w="9525">
                      <a:noFill/>
                      <a:miter lim="800000"/>
                      <a:headEnd/>
                      <a:tailEnd/>
                    </a:ln>
                  </pic:spPr>
                </pic:pic>
              </a:graphicData>
            </a:graphic>
          </wp:inline>
        </w:drawing>
      </w:r>
    </w:p>
    <w:p>
      <w:pPr>
        <w:pStyle w:val="19"/>
      </w:pPr>
      <w:r>
        <w:rPr>
          <w:rFonts w:hint="eastAsia"/>
        </w:rPr>
        <w:t>图3</w:t>
      </w:r>
      <w:r>
        <w:t>.</w:t>
      </w:r>
      <w:r>
        <w:rPr>
          <w:rFonts w:hint="eastAsia"/>
        </w:rPr>
        <w:t>11  LANDdt“查看测试事件”窗口</w:t>
      </w:r>
    </w:p>
    <w:p>
      <w:pPr>
        <w:pStyle w:val="3"/>
      </w:pPr>
      <w:bookmarkStart w:id="302" w:name="_Toc346783467"/>
      <w:bookmarkStart w:id="303" w:name="_Toc26887"/>
      <w:bookmarkStart w:id="304" w:name="_Toc346263506"/>
      <w:bookmarkStart w:id="305" w:name="_Toc346203549"/>
      <w:bookmarkStart w:id="306" w:name="_Toc6814"/>
      <w:r>
        <w:rPr>
          <w:rFonts w:hint="eastAsia"/>
        </w:rPr>
        <w:t>3.7 通道状态</w:t>
      </w:r>
      <w:bookmarkEnd w:id="302"/>
      <w:bookmarkEnd w:id="303"/>
      <w:bookmarkEnd w:id="304"/>
      <w:bookmarkEnd w:id="305"/>
      <w:bookmarkEnd w:id="306"/>
    </w:p>
    <w:p>
      <w:pPr>
        <w:pStyle w:val="4"/>
        <w:rPr>
          <w:rFonts w:hint="default"/>
        </w:rPr>
      </w:pPr>
      <w:bookmarkStart w:id="307" w:name="_Toc346263507"/>
      <w:bookmarkStart w:id="308" w:name="_Toc15173"/>
      <w:bookmarkStart w:id="309" w:name="_Toc346203550"/>
      <w:bookmarkStart w:id="310" w:name="_Toc346783468"/>
      <w:bookmarkStart w:id="311" w:name="_Toc10322"/>
      <w:r>
        <w:t>3.7.1 实时状态</w:t>
      </w:r>
      <w:bookmarkEnd w:id="307"/>
      <w:bookmarkEnd w:id="308"/>
      <w:bookmarkEnd w:id="309"/>
      <w:bookmarkEnd w:id="310"/>
      <w:bookmarkEnd w:id="311"/>
    </w:p>
    <w:p>
      <w:pPr>
        <w:ind w:firstLine="420"/>
      </w:pPr>
      <w:r>
        <w:rPr>
          <w:rFonts w:hint="eastAsia"/>
        </w:rPr>
        <w:t>通道状态区域始终显示简略的实时状态信息，如图3.12所示。当鼠标在通道上停留时，会出现自动的较详细的文字提示。</w:t>
      </w:r>
    </w:p>
    <w:p>
      <w:pPr>
        <w:spacing w:line="360" w:lineRule="atLeast"/>
        <w:ind w:left="-15" w:leftChars="-7" w:firstLine="14" w:firstLineChars="7"/>
        <w:jc w:val="center"/>
        <w:rPr>
          <w:rFonts w:ascii="宋体" w:hAnsi="宋体"/>
          <w:color w:val="000000"/>
        </w:rPr>
      </w:pPr>
      <w:r>
        <w:rPr>
          <w:rFonts w:hint="eastAsia" w:ascii="宋体" w:hAnsi="宋体"/>
          <w:color w:val="000000"/>
        </w:rPr>
        <w:drawing>
          <wp:inline distT="0" distB="0" distL="114300" distR="114300">
            <wp:extent cx="5325745" cy="870585"/>
            <wp:effectExtent l="0" t="0" r="8255" b="5715"/>
            <wp:docPr id="96" name="图片 76" descr="通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6" descr="通道"/>
                    <pic:cNvPicPr>
                      <a:picLocks noChangeAspect="1"/>
                    </pic:cNvPicPr>
                  </pic:nvPicPr>
                  <pic:blipFill>
                    <a:blip r:embed="rId91" cstate="print"/>
                    <a:stretch>
                      <a:fillRect/>
                    </a:stretch>
                  </pic:blipFill>
                  <pic:spPr>
                    <a:xfrm>
                      <a:off x="0" y="0"/>
                      <a:ext cx="5325745" cy="870585"/>
                    </a:xfrm>
                    <a:prstGeom prst="rect">
                      <a:avLst/>
                    </a:prstGeom>
                    <a:noFill/>
                    <a:ln w="9525">
                      <a:noFill/>
                    </a:ln>
                  </pic:spPr>
                </pic:pic>
              </a:graphicData>
            </a:graphic>
          </wp:inline>
        </w:drawing>
      </w:r>
    </w:p>
    <w:p>
      <w:pPr>
        <w:pStyle w:val="19"/>
      </w:pPr>
      <w:r>
        <w:rPr>
          <w:rFonts w:hint="eastAsia"/>
        </w:rPr>
        <w:t>图3.12  通道实时状态</w:t>
      </w:r>
    </w:p>
    <w:p>
      <w:pPr>
        <w:ind w:firstLine="420"/>
      </w:pPr>
      <w:r>
        <w:rPr>
          <w:rFonts w:hint="eastAsia"/>
        </w:rPr>
        <w:t>当然，信息不仅仅限于上图中列出的，下面还罗列了几个常见的状态信息图标：</w:t>
      </w:r>
    </w:p>
    <w:tbl>
      <w:tblPr>
        <w:tblStyle w:val="29"/>
        <w:tblW w:w="8046" w:type="dxa"/>
        <w:tblInd w:w="0" w:type="dxa"/>
        <w:tblLayout w:type="fixed"/>
        <w:tblCellMar>
          <w:top w:w="0" w:type="dxa"/>
          <w:left w:w="108" w:type="dxa"/>
          <w:bottom w:w="0" w:type="dxa"/>
          <w:right w:w="108" w:type="dxa"/>
        </w:tblCellMar>
      </w:tblPr>
      <w:tblGrid>
        <w:gridCol w:w="1242"/>
        <w:gridCol w:w="2977"/>
        <w:gridCol w:w="1276"/>
        <w:gridCol w:w="2551"/>
      </w:tblGrid>
      <w:tr>
        <w:tblPrEx>
          <w:tblLayout w:type="fixed"/>
        </w:tblPrEx>
        <w:trPr>
          <w:trHeight w:val="936" w:hRule="atLeast"/>
        </w:trPr>
        <w:tc>
          <w:tcPr>
            <w:tcW w:w="1242" w:type="dxa"/>
            <w:vAlign w:val="bottom"/>
          </w:tcPr>
          <w:p>
            <w:pPr>
              <w:spacing w:line="240" w:lineRule="auto"/>
              <w:ind w:firstLine="420"/>
            </w:pPr>
            <w:r>
              <w:rPr>
                <w:rFonts w:ascii="宋体" w:hAnsi="宋体"/>
              </w:rPr>
              <w:object>
                <v:shape id="_x0000_i1025" o:spt="75" type="#_x0000_t75" style="height:26.9pt;width:26.9pt;" o:ole="t" filled="f" o:preferrelative="t" stroked="f" coordsize="21600,21600">
                  <v:path/>
                  <v:fill on="f" focussize="0,0"/>
                  <v:stroke on="f" joinstyle="miter"/>
                  <v:imagedata r:id="rId93" o:title=""/>
                  <o:lock v:ext="edit" aspectratio="t"/>
                  <w10:wrap type="none"/>
                  <w10:anchorlock/>
                </v:shape>
                <o:OLEObject Type="Embed" ProgID="PBrush" ShapeID="_x0000_i1025" DrawAspect="Content" ObjectID="_1468075725" r:id="rId92">
                  <o:LockedField>false</o:LockedField>
                </o:OLEObject>
              </w:object>
            </w:r>
          </w:p>
        </w:tc>
        <w:tc>
          <w:tcPr>
            <w:tcW w:w="2977" w:type="dxa"/>
            <w:vAlign w:val="bottom"/>
          </w:tcPr>
          <w:p>
            <w:pPr>
              <w:spacing w:line="240" w:lineRule="auto"/>
              <w:ind w:firstLine="420"/>
            </w:pPr>
            <w:r>
              <w:rPr>
                <w:rFonts w:hint="eastAsia"/>
              </w:rPr>
              <w:t>安全停止</w:t>
            </w:r>
          </w:p>
        </w:tc>
        <w:tc>
          <w:tcPr>
            <w:tcW w:w="1276" w:type="dxa"/>
            <w:vAlign w:val="bottom"/>
          </w:tcPr>
          <w:p>
            <w:pPr>
              <w:spacing w:line="240" w:lineRule="auto"/>
              <w:ind w:firstLine="420"/>
            </w:pPr>
            <w:r>
              <w:drawing>
                <wp:inline distT="0" distB="0" distL="114300" distR="114300">
                  <wp:extent cx="301625" cy="342900"/>
                  <wp:effectExtent l="0" t="0" r="3175"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94" cstate="print"/>
                          <a:stretch>
                            <a:fillRect/>
                          </a:stretch>
                        </pic:blipFill>
                        <pic:spPr>
                          <a:xfrm>
                            <a:off x="0" y="0"/>
                            <a:ext cx="301625" cy="342900"/>
                          </a:xfrm>
                          <a:prstGeom prst="rect">
                            <a:avLst/>
                          </a:prstGeom>
                          <a:noFill/>
                          <a:ln w="9525">
                            <a:noFill/>
                          </a:ln>
                        </pic:spPr>
                      </pic:pic>
                    </a:graphicData>
                  </a:graphic>
                </wp:inline>
              </w:drawing>
            </w:r>
          </w:p>
        </w:tc>
        <w:tc>
          <w:tcPr>
            <w:tcW w:w="2551" w:type="dxa"/>
            <w:vAlign w:val="bottom"/>
          </w:tcPr>
          <w:p>
            <w:pPr>
              <w:spacing w:line="240" w:lineRule="auto"/>
              <w:ind w:firstLine="420"/>
            </w:pPr>
            <w:r>
              <w:rPr>
                <w:rFonts w:hint="eastAsia"/>
              </w:rPr>
              <w:t>用户停止</w:t>
            </w:r>
          </w:p>
        </w:tc>
      </w:tr>
      <w:tr>
        <w:tblPrEx>
          <w:tblLayout w:type="fixed"/>
        </w:tblPrEx>
        <w:trPr>
          <w:trHeight w:val="936" w:hRule="atLeast"/>
        </w:trPr>
        <w:tc>
          <w:tcPr>
            <w:tcW w:w="1242" w:type="dxa"/>
            <w:vAlign w:val="bottom"/>
          </w:tcPr>
          <w:p>
            <w:pPr>
              <w:spacing w:line="240" w:lineRule="auto"/>
              <w:ind w:firstLine="420"/>
            </w:pPr>
            <w:r>
              <w:rPr>
                <w:rFonts w:ascii="宋体" w:hAnsi="宋体"/>
              </w:rPr>
              <w:object>
                <v:shape id="_x0000_i1026" o:spt="75" type="#_x0000_t75" style="height:26.9pt;width:26.9pt;" o:ole="t" filled="f" o:preferrelative="t" stroked="f" coordsize="21600,21600">
                  <v:path/>
                  <v:fill on="f" focussize="0,0"/>
                  <v:stroke on="f" joinstyle="miter"/>
                  <v:imagedata r:id="rId96" o:title=""/>
                  <o:lock v:ext="edit" aspectratio="t"/>
                  <w10:wrap type="none"/>
                  <w10:anchorlock/>
                </v:shape>
                <o:OLEObject Type="Embed" ProgID="PBrush" ShapeID="_x0000_i1026" DrawAspect="Content" ObjectID="_1468075726" r:id="rId95">
                  <o:LockedField>false</o:LockedField>
                </o:OLEObject>
              </w:object>
            </w:r>
          </w:p>
        </w:tc>
        <w:tc>
          <w:tcPr>
            <w:tcW w:w="2977" w:type="dxa"/>
            <w:vAlign w:val="bottom"/>
          </w:tcPr>
          <w:p>
            <w:pPr>
              <w:spacing w:line="240" w:lineRule="auto"/>
              <w:ind w:firstLine="420"/>
            </w:pPr>
            <w:r>
              <w:rPr>
                <w:rFonts w:hint="eastAsia"/>
              </w:rPr>
              <w:t>过程错误</w:t>
            </w:r>
          </w:p>
        </w:tc>
        <w:tc>
          <w:tcPr>
            <w:tcW w:w="1276" w:type="dxa"/>
            <w:vAlign w:val="bottom"/>
          </w:tcPr>
          <w:p>
            <w:pPr>
              <w:spacing w:line="240" w:lineRule="auto"/>
              <w:ind w:firstLine="420"/>
            </w:pPr>
            <w:r>
              <w:rPr>
                <w:rFonts w:ascii="宋体" w:hAnsi="宋体"/>
              </w:rPr>
              <w:object>
                <v:shape id="_x0000_i1027" o:spt="75" type="#_x0000_t75" style="height:26.9pt;width:26.9pt;" o:ole="t" filled="f" o:preferrelative="t" stroked="f" coordsize="21600,21600">
                  <v:path/>
                  <v:fill on="f" focussize="0,0"/>
                  <v:stroke on="f" joinstyle="miter"/>
                  <v:imagedata r:id="rId98" o:title=""/>
                  <o:lock v:ext="edit" aspectratio="t"/>
                  <w10:wrap type="none"/>
                  <w10:anchorlock/>
                </v:shape>
                <o:OLEObject Type="Embed" ProgID="PBrush" ShapeID="_x0000_i1027" DrawAspect="Content" ObjectID="_1468075727" r:id="rId97">
                  <o:LockedField>false</o:LockedField>
                </o:OLEObject>
              </w:object>
            </w:r>
          </w:p>
        </w:tc>
        <w:tc>
          <w:tcPr>
            <w:tcW w:w="2551" w:type="dxa"/>
            <w:vAlign w:val="bottom"/>
          </w:tcPr>
          <w:p>
            <w:pPr>
              <w:spacing w:line="240" w:lineRule="auto"/>
              <w:ind w:firstLine="420"/>
            </w:pPr>
            <w:r>
              <w:rPr>
                <w:rFonts w:hint="eastAsia"/>
              </w:rPr>
              <w:t>状态切换或通信错误</w:t>
            </w:r>
          </w:p>
        </w:tc>
      </w:tr>
      <w:tr>
        <w:tblPrEx>
          <w:tblLayout w:type="fixed"/>
        </w:tblPrEx>
        <w:trPr>
          <w:trHeight w:val="936" w:hRule="atLeast"/>
        </w:trPr>
        <w:tc>
          <w:tcPr>
            <w:tcW w:w="1242" w:type="dxa"/>
            <w:vAlign w:val="bottom"/>
          </w:tcPr>
          <w:p>
            <w:pPr>
              <w:spacing w:line="240" w:lineRule="auto"/>
              <w:ind w:firstLine="420"/>
            </w:pPr>
            <w:r>
              <w:rPr>
                <w:rFonts w:ascii="宋体" w:hAnsi="宋体"/>
              </w:rPr>
              <w:object>
                <v:shape id="_x0000_i1028" o:spt="75" type="#_x0000_t75" style="height:26.9pt;width:26.9pt;" o:ole="t" filled="f" o:preferrelative="t" stroked="f" coordsize="21600,21600">
                  <v:path/>
                  <v:fill on="f" focussize="0,0"/>
                  <v:stroke on="f" joinstyle="miter"/>
                  <v:imagedata r:id="rId100" o:title=""/>
                  <o:lock v:ext="edit" aspectratio="t"/>
                  <w10:wrap type="none"/>
                  <w10:anchorlock/>
                </v:shape>
                <o:OLEObject Type="Embed" ProgID="PBrush" ShapeID="_x0000_i1028" DrawAspect="Content" ObjectID="_1468075728" r:id="rId99">
                  <o:LockedField>false</o:LockedField>
                </o:OLEObject>
              </w:object>
            </w:r>
          </w:p>
        </w:tc>
        <w:tc>
          <w:tcPr>
            <w:tcW w:w="2977" w:type="dxa"/>
            <w:vAlign w:val="bottom"/>
          </w:tcPr>
          <w:p>
            <w:pPr>
              <w:spacing w:line="240" w:lineRule="auto"/>
              <w:ind w:firstLine="420"/>
            </w:pPr>
            <w:r>
              <w:rPr>
                <w:rFonts w:hint="eastAsia"/>
              </w:rPr>
              <w:t>变更通道失败</w:t>
            </w:r>
          </w:p>
        </w:tc>
        <w:tc>
          <w:tcPr>
            <w:tcW w:w="1276" w:type="dxa"/>
            <w:vAlign w:val="bottom"/>
          </w:tcPr>
          <w:p>
            <w:pPr>
              <w:spacing w:line="240" w:lineRule="auto"/>
              <w:ind w:firstLine="420"/>
            </w:pPr>
            <w:r>
              <w:rPr>
                <w:rFonts w:ascii="宋体" w:hAnsi="宋体"/>
              </w:rPr>
              <w:object>
                <v:shape id="_x0000_i1029" o:spt="75" type="#_x0000_t75" style="height:26.9pt;width:28.8pt;" o:ole="t" filled="f" o:preferrelative="t" stroked="f" coordsize="21600,21600">
                  <v:path/>
                  <v:fill on="f" focussize="0,0"/>
                  <v:stroke on="f" joinstyle="miter"/>
                  <v:imagedata r:id="rId102" o:title=""/>
                  <o:lock v:ext="edit" aspectratio="t"/>
                  <w10:wrap type="none"/>
                  <w10:anchorlock/>
                </v:shape>
                <o:OLEObject Type="Embed" ProgID="PBrush" ShapeID="_x0000_i1029" DrawAspect="Content" ObjectID="_1468075729" r:id="rId101">
                  <o:LockedField>false</o:LockedField>
                </o:OLEObject>
              </w:object>
            </w:r>
          </w:p>
        </w:tc>
        <w:tc>
          <w:tcPr>
            <w:tcW w:w="2551" w:type="dxa"/>
            <w:vAlign w:val="bottom"/>
          </w:tcPr>
          <w:p>
            <w:pPr>
              <w:spacing w:line="240" w:lineRule="auto"/>
              <w:ind w:firstLine="420"/>
            </w:pPr>
            <w:r>
              <w:rPr>
                <w:rFonts w:hint="eastAsia"/>
              </w:rPr>
              <w:t>测试完成</w:t>
            </w:r>
          </w:p>
        </w:tc>
      </w:tr>
    </w:tbl>
    <w:p>
      <w:pPr>
        <w:pStyle w:val="4"/>
        <w:rPr>
          <w:rFonts w:hint="default"/>
        </w:rPr>
      </w:pPr>
      <w:bookmarkStart w:id="312" w:name="_Toc346263508"/>
      <w:bookmarkStart w:id="313" w:name="_Toc7750"/>
      <w:bookmarkStart w:id="314" w:name="_Toc346783469"/>
      <w:bookmarkStart w:id="315" w:name="_Toc346203551"/>
      <w:bookmarkStart w:id="316" w:name="_Toc20617"/>
      <w:r>
        <w:t>3.7.2 查询状态</w:t>
      </w:r>
      <w:bookmarkEnd w:id="312"/>
      <w:bookmarkEnd w:id="313"/>
      <w:bookmarkEnd w:id="314"/>
      <w:bookmarkEnd w:id="315"/>
      <w:bookmarkEnd w:id="316"/>
    </w:p>
    <w:p>
      <w:pPr>
        <w:ind w:firstLine="420"/>
      </w:pPr>
      <w:r>
        <w:rPr>
          <w:rFonts w:hint="eastAsia"/>
        </w:rPr>
        <w:t>查询状态可以得到通道最详尽的信息。</w:t>
      </w:r>
    </w:p>
    <w:p>
      <w:pPr>
        <w:ind w:firstLine="420"/>
      </w:pPr>
      <w:r>
        <w:rPr>
          <w:rFonts w:hint="eastAsia"/>
        </w:rPr>
        <w:t>选择主通道之快捷菜单“查询状态...”，弹出“通道状态”窗口，如图3.13所示。此窗口几乎包含了测试通道所有的有意义的信息，其中：</w:t>
      </w:r>
    </w:p>
    <w:p>
      <w:pPr>
        <w:spacing w:line="360" w:lineRule="atLeast"/>
        <w:ind w:left="-15" w:leftChars="-7" w:firstLine="14" w:firstLineChars="7"/>
        <w:rPr>
          <w:rFonts w:ascii="宋体" w:hAnsi="宋体"/>
          <w:color w:val="000000"/>
        </w:rPr>
      </w:pPr>
      <w:r>
        <w:rPr>
          <w:rFonts w:hint="eastAsia"/>
        </w:rPr>
        <w:t xml:space="preserve">  </w:t>
      </w:r>
      <w:r>
        <w:drawing>
          <wp:inline distT="0" distB="0" distL="114300" distR="114300">
            <wp:extent cx="2597150" cy="3001645"/>
            <wp:effectExtent l="0" t="0" r="12700" b="8255"/>
            <wp:docPr id="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pic:cNvPicPr>
                      <a:picLocks noChangeAspect="1"/>
                    </pic:cNvPicPr>
                  </pic:nvPicPr>
                  <pic:blipFill>
                    <a:blip r:embed="rId103" cstate="print"/>
                    <a:stretch>
                      <a:fillRect/>
                    </a:stretch>
                  </pic:blipFill>
                  <pic:spPr>
                    <a:xfrm>
                      <a:off x="0" y="0"/>
                      <a:ext cx="2597150" cy="3001645"/>
                    </a:xfrm>
                    <a:prstGeom prst="rect">
                      <a:avLst/>
                    </a:prstGeom>
                    <a:noFill/>
                    <a:ln w="9525">
                      <a:noFill/>
                    </a:ln>
                  </pic:spPr>
                </pic:pic>
              </a:graphicData>
            </a:graphic>
          </wp:inline>
        </w:drawing>
      </w:r>
      <w:r>
        <w:drawing>
          <wp:inline distT="0" distB="0" distL="114300" distR="114300">
            <wp:extent cx="3342640" cy="2190750"/>
            <wp:effectExtent l="0" t="0" r="10160" b="0"/>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104" cstate="print"/>
                    <a:stretch>
                      <a:fillRect/>
                    </a:stretch>
                  </pic:blipFill>
                  <pic:spPr>
                    <a:xfrm>
                      <a:off x="0" y="0"/>
                      <a:ext cx="3342640" cy="2190750"/>
                    </a:xfrm>
                    <a:prstGeom prst="rect">
                      <a:avLst/>
                    </a:prstGeom>
                    <a:noFill/>
                    <a:ln w="9525">
                      <a:noFill/>
                    </a:ln>
                  </pic:spPr>
                </pic:pic>
              </a:graphicData>
            </a:graphic>
          </wp:inline>
        </w:drawing>
      </w:r>
    </w:p>
    <w:p>
      <w:pPr>
        <w:pStyle w:val="19"/>
      </w:pPr>
      <w:r>
        <w:rPr>
          <w:rFonts w:hint="eastAsia"/>
        </w:rPr>
        <w:t>图3.13  通道(主通道)的“通道状态”窗口</w:t>
      </w:r>
    </w:p>
    <w:p>
      <w:pPr>
        <w:ind w:firstLine="420"/>
      </w:pPr>
      <w:r>
        <w:rPr>
          <w:rFonts w:hint="eastAsia"/>
        </w:rPr>
        <w:sym w:font="Wingdings 2" w:char="00F6"/>
      </w:r>
      <w:r>
        <w:rPr>
          <w:rFonts w:hint="eastAsia"/>
        </w:rPr>
        <w:t>单击测试名称（超级链接），可以查看详细的“测试过程”细节；</w:t>
      </w:r>
    </w:p>
    <w:p>
      <w:pPr>
        <w:ind w:firstLine="420"/>
      </w:pPr>
      <w:r>
        <w:rPr>
          <w:rFonts w:hint="eastAsia"/>
        </w:rPr>
        <w:sym w:font="Wingdings 2" w:char="00F6"/>
      </w:r>
      <w:r>
        <w:rPr>
          <w:rFonts w:hint="eastAsia"/>
        </w:rPr>
        <w:t>单击“其它参数&gt;&gt;”按钮，可以查看更多的内部实时变量和自定义变量信息，如图3.7(右)所示；</w:t>
      </w:r>
    </w:p>
    <w:p>
      <w:pPr>
        <w:ind w:firstLine="420"/>
        <w:rPr>
          <w:strike/>
          <w:color w:val="0000FF"/>
        </w:rPr>
      </w:pPr>
      <w:r>
        <w:rPr>
          <w:rFonts w:hint="eastAsia"/>
        </w:rPr>
        <w:sym w:font="Wingdings 2" w:char="00F6"/>
      </w:r>
      <w:r>
        <w:rPr>
          <w:rFonts w:hint="eastAsia"/>
        </w:rPr>
        <w:t>“备份文件名”指通道启动时，“预约备份”指定的数据文件名构成规则。</w:t>
      </w:r>
    </w:p>
    <w:p>
      <w:pPr>
        <w:ind w:firstLine="420"/>
      </w:pPr>
      <w:r>
        <w:rPr>
          <w:rFonts w:hint="eastAsia"/>
        </w:rPr>
        <w:t>选择辅助通道之快捷菜单“查询状态...”，弹出“通道状态”窗口，如图3.14所示。此窗口显示辅助通道量程及其关联信息。</w:t>
      </w:r>
    </w:p>
    <w:p>
      <w:pPr>
        <w:pStyle w:val="40"/>
        <w:spacing w:line="360" w:lineRule="atLeast"/>
        <w:ind w:firstLine="420" w:firstLineChars="0"/>
        <w:rPr>
          <w:rFonts w:ascii="宋体" w:hAnsi="宋体"/>
          <w:color w:val="000000"/>
          <w:sz w:val="18"/>
          <w:szCs w:val="18"/>
        </w:rPr>
      </w:pPr>
      <w:r>
        <w:rPr>
          <w:rFonts w:hint="eastAsia"/>
        </w:rPr>
        <w:t xml:space="preserve">                           </w:t>
      </w:r>
      <w:r>
        <w:drawing>
          <wp:inline distT="0" distB="0" distL="114300" distR="114300">
            <wp:extent cx="2059305" cy="2087245"/>
            <wp:effectExtent l="0" t="0" r="17145" b="825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59305" cy="2087245"/>
                    </a:xfrm>
                    <a:prstGeom prst="rect">
                      <a:avLst/>
                    </a:prstGeom>
                  </pic:spPr>
                </pic:pic>
              </a:graphicData>
            </a:graphic>
          </wp:inline>
        </w:drawing>
      </w:r>
    </w:p>
    <w:p>
      <w:pPr>
        <w:pStyle w:val="19"/>
      </w:pPr>
      <w:r>
        <w:rPr>
          <w:rFonts w:hint="eastAsia"/>
        </w:rPr>
        <w:t>图3.14  辅助通道的“通道状态”窗口</w:t>
      </w:r>
    </w:p>
    <w:p>
      <w:pPr>
        <w:pStyle w:val="4"/>
        <w:rPr>
          <w:rFonts w:hint="default"/>
        </w:rPr>
      </w:pPr>
      <w:bookmarkStart w:id="317" w:name="_Toc346783470"/>
      <w:bookmarkStart w:id="318" w:name="_Toc346203552"/>
      <w:bookmarkStart w:id="319" w:name="_Toc452"/>
      <w:bookmarkStart w:id="320" w:name="_Toc346263509"/>
      <w:bookmarkStart w:id="321" w:name="_Toc543"/>
      <w:r>
        <w:t>3.7.3 删除状态</w:t>
      </w:r>
      <w:bookmarkEnd w:id="317"/>
      <w:bookmarkEnd w:id="318"/>
      <w:bookmarkEnd w:id="319"/>
      <w:bookmarkEnd w:id="320"/>
      <w:bookmarkEnd w:id="321"/>
    </w:p>
    <w:p>
      <w:pPr>
        <w:ind w:firstLine="420"/>
      </w:pPr>
      <w:r>
        <w:rPr>
          <w:rFonts w:hint="eastAsia"/>
        </w:rPr>
        <w:t>“删除状态信息”操作只删除所选择通道（已经工作完成或停止状态）的工作状态信息，但不删除其测试数据文件。对于没有工作状态信息的通道，将不能进行“删除状态信息”。缺少或已被删除测试状态信息的通道，不能进行“续接启动”。</w:t>
      </w:r>
    </w:p>
    <w:p>
      <w:pPr>
        <w:ind w:firstLine="420"/>
      </w:pPr>
      <w:r>
        <w:rPr>
          <w:rFonts w:hint="eastAsia"/>
        </w:rPr>
        <w:t>当通道处于测试停止状态时，右击通道，在弹出的快捷菜单里选择“删除状态信息”项，弹出如图3.15所示窗口，点击“确定”按钮，即可删除该通道的测试状态信息。</w:t>
      </w:r>
    </w:p>
    <w:p>
      <w:pPr>
        <w:spacing w:line="240" w:lineRule="auto"/>
        <w:ind w:firstLine="420"/>
      </w:pPr>
      <w:r>
        <w:rPr>
          <w:rFonts w:hint="eastAsia"/>
        </w:rPr>
        <w:t xml:space="preserve">                        </w:t>
      </w:r>
      <w:r>
        <w:drawing>
          <wp:inline distT="0" distB="0" distL="114300" distR="114300">
            <wp:extent cx="2550160" cy="1431925"/>
            <wp:effectExtent l="0" t="0" r="2540" b="158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50160" cy="1431925"/>
                    </a:xfrm>
                    <a:prstGeom prst="rect">
                      <a:avLst/>
                    </a:prstGeom>
                  </pic:spPr>
                </pic:pic>
              </a:graphicData>
            </a:graphic>
          </wp:inline>
        </w:drawing>
      </w:r>
    </w:p>
    <w:p>
      <w:pPr>
        <w:pStyle w:val="19"/>
      </w:pPr>
      <w:r>
        <w:rPr>
          <w:rFonts w:hint="eastAsia"/>
        </w:rPr>
        <w:t>图3.15  “删除状态信息”确认窗口</w:t>
      </w:r>
    </w:p>
    <w:p>
      <w:pPr>
        <w:ind w:firstLine="420"/>
        <w:rPr>
          <w:rFonts w:hint="eastAsia"/>
        </w:rPr>
      </w:pPr>
      <w:r>
        <w:rPr>
          <w:rFonts w:hint="eastAsia"/>
        </w:rPr>
        <w:t>本操作使用较少。对于某些情况下（例如用户对使用了不被硬件支持的工作模式），软件长时间等候通信应答，通道既不接受启动操作，也不接受停止操作，必须使用本功能。</w:t>
      </w:r>
    </w:p>
    <w:p>
      <w:pPr>
        <w:pStyle w:val="4"/>
      </w:pPr>
      <w:bookmarkStart w:id="322" w:name="_Toc21532"/>
      <w:r>
        <w:t>3.7.4 故障通道</w:t>
      </w:r>
      <w:bookmarkEnd w:id="322"/>
    </w:p>
    <w:p>
      <w:pPr>
        <w:ind w:firstLine="420"/>
      </w:pPr>
      <w:r>
        <w:rPr>
          <w:rFonts w:hint="eastAsia"/>
        </w:rPr>
        <w:t>选择主通道之快捷菜单“标记为故障通道”，是将该通道禁用(没有提示对话框)。选择该通道右键之快捷菜单“查询状态”，弹出故障通道之“通道状态”窗口，如图3.16所示，显示该主通道的编号、状态信息和提示等等。</w:t>
      </w:r>
    </w:p>
    <w:p>
      <w:pPr>
        <w:spacing w:line="240" w:lineRule="auto"/>
        <w:ind w:firstLine="420"/>
      </w:pPr>
      <w:r>
        <w:rPr>
          <w:rFonts w:hint="eastAsia"/>
        </w:rPr>
        <w:t xml:space="preserve">                       </w:t>
      </w:r>
      <w:r>
        <w:drawing>
          <wp:inline distT="0" distB="0" distL="114300" distR="114300">
            <wp:extent cx="2564765" cy="2963545"/>
            <wp:effectExtent l="0" t="0" r="6985" b="825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07" cstate="print"/>
                    <a:stretch>
                      <a:fillRect/>
                    </a:stretch>
                  </pic:blipFill>
                  <pic:spPr>
                    <a:xfrm>
                      <a:off x="0" y="0"/>
                      <a:ext cx="2564765" cy="2963545"/>
                    </a:xfrm>
                    <a:prstGeom prst="rect">
                      <a:avLst/>
                    </a:prstGeom>
                    <a:noFill/>
                    <a:ln w="9525">
                      <a:noFill/>
                    </a:ln>
                  </pic:spPr>
                </pic:pic>
              </a:graphicData>
            </a:graphic>
          </wp:inline>
        </w:drawing>
      </w:r>
    </w:p>
    <w:p>
      <w:pPr>
        <w:pStyle w:val="19"/>
      </w:pPr>
      <w:r>
        <w:rPr>
          <w:rFonts w:hint="eastAsia"/>
        </w:rPr>
        <w:t>图3</w:t>
      </w:r>
      <w:r>
        <w:t>.</w:t>
      </w:r>
      <w:r>
        <w:rPr>
          <w:rFonts w:hint="eastAsia"/>
        </w:rPr>
        <w:t>16  故障通道之“通道状态”窗口</w:t>
      </w:r>
    </w:p>
    <w:p>
      <w:pPr>
        <w:ind w:firstLine="420"/>
      </w:pPr>
      <w:r>
        <w:rPr>
          <w:rFonts w:hint="eastAsia"/>
        </w:rPr>
        <w:t>若想取消“标记为故障通道”（禁用）功能，鼠标右键点击通道，选择弹出菜单条目“取消故障通道标记” 即可（如图3.17所示）。</w:t>
      </w:r>
    </w:p>
    <w:p>
      <w:pPr>
        <w:spacing w:line="240" w:lineRule="auto"/>
        <w:ind w:firstLine="420"/>
        <w:rPr>
          <w:rFonts w:ascii="宋体" w:hAnsi="宋体" w:cs="宋体"/>
        </w:rPr>
      </w:pPr>
      <w:r>
        <w:rPr>
          <w:rFonts w:hint="eastAsia"/>
        </w:rPr>
        <w:t xml:space="preserve">                   </w:t>
      </w:r>
      <w:r>
        <w:drawing>
          <wp:inline distT="0" distB="0" distL="114300" distR="114300">
            <wp:extent cx="3049905" cy="1581785"/>
            <wp:effectExtent l="19050" t="0" r="0" b="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108" cstate="print"/>
                    <a:srcRect t="9906" r="-123"/>
                    <a:stretch>
                      <a:fillRect/>
                    </a:stretch>
                  </pic:blipFill>
                  <pic:spPr>
                    <a:xfrm>
                      <a:off x="0" y="0"/>
                      <a:ext cx="3058959" cy="1586878"/>
                    </a:xfrm>
                    <a:prstGeom prst="rect">
                      <a:avLst/>
                    </a:prstGeom>
                    <a:noFill/>
                    <a:ln w="9525">
                      <a:noFill/>
                    </a:ln>
                  </pic:spPr>
                </pic:pic>
              </a:graphicData>
            </a:graphic>
          </wp:inline>
        </w:drawing>
      </w:r>
    </w:p>
    <w:p>
      <w:pPr>
        <w:pStyle w:val="19"/>
      </w:pPr>
      <w:r>
        <w:rPr>
          <w:rStyle w:val="41"/>
          <w:rFonts w:hint="eastAsia"/>
        </w:rPr>
        <w:t>图3</w:t>
      </w:r>
      <w:r>
        <w:rPr>
          <w:rStyle w:val="41"/>
        </w:rPr>
        <w:t>.</w:t>
      </w:r>
      <w:r>
        <w:rPr>
          <w:rStyle w:val="41"/>
          <w:rFonts w:hint="eastAsia"/>
        </w:rPr>
        <w:t>17  “取消故障通道”窗口</w:t>
      </w:r>
    </w:p>
    <w:p>
      <w:pPr>
        <w:pStyle w:val="3"/>
      </w:pPr>
      <w:bookmarkStart w:id="323" w:name="_Toc9403"/>
      <w:bookmarkStart w:id="324" w:name="_Toc346263510"/>
      <w:bookmarkStart w:id="325" w:name="_Toc346783471"/>
      <w:bookmarkStart w:id="326" w:name="_Toc346203553"/>
      <w:bookmarkStart w:id="327" w:name="_Toc14741"/>
      <w:r>
        <w:rPr>
          <w:rFonts w:hint="eastAsia"/>
        </w:rPr>
        <w:t>3.8 活性物质参数</w:t>
      </w:r>
      <w:bookmarkEnd w:id="323"/>
      <w:bookmarkEnd w:id="324"/>
      <w:bookmarkEnd w:id="325"/>
      <w:bookmarkEnd w:id="326"/>
      <w:bookmarkEnd w:id="327"/>
    </w:p>
    <w:p>
      <w:pPr>
        <w:ind w:firstLine="420"/>
      </w:pPr>
      <w:r>
        <w:rPr>
          <w:rFonts w:hint="eastAsia"/>
        </w:rPr>
        <w:t>活性物质参数主要</w:t>
      </w:r>
      <w:r>
        <w:t>用于</w:t>
      </w:r>
      <w:r>
        <w:rPr>
          <w:rFonts w:hint="eastAsia"/>
        </w:rPr>
        <w:t>处理</w:t>
      </w:r>
      <w:r>
        <w:t>测试数据时计算比容量</w:t>
      </w:r>
      <w:r>
        <w:rPr>
          <w:rFonts w:hint="eastAsia"/>
        </w:rPr>
        <w:t>。如果用户使用了“</w:t>
      </w:r>
      <w:r>
        <w:t>倍率充电</w:t>
      </w:r>
      <w:r>
        <w:rPr>
          <w:rFonts w:hint="eastAsia"/>
        </w:rPr>
        <w:t>”和“</w:t>
      </w:r>
      <w:r>
        <w:t>倍率放电</w:t>
      </w:r>
      <w:r>
        <w:rPr>
          <w:rFonts w:hint="eastAsia"/>
        </w:rPr>
        <w:t>”工作模式，计算实际电流时需要这些参数。</w:t>
      </w:r>
      <w:r>
        <w:t>如果用户不使用倍率充放电模式，可以不填</w:t>
      </w:r>
      <w:r>
        <w:rPr>
          <w:rFonts w:hint="eastAsia"/>
        </w:rPr>
        <w:t>写此参数</w:t>
      </w:r>
      <w:r>
        <w:t>。</w:t>
      </w:r>
    </w:p>
    <w:p>
      <w:pPr>
        <w:ind w:firstLine="420"/>
      </w:pPr>
      <w:r>
        <w:rPr>
          <w:rFonts w:hint="eastAsia"/>
        </w:rPr>
        <w:t>当通道处于测试状态时，选择快捷</w:t>
      </w:r>
      <w:r>
        <w:t>菜单</w:t>
      </w:r>
      <w:r>
        <w:rPr>
          <w:rFonts w:hint="eastAsia"/>
        </w:rPr>
        <w:t>“活性物质参数</w:t>
      </w:r>
      <w:r>
        <w:t>…</w:t>
      </w:r>
      <w:r>
        <w:rPr>
          <w:rFonts w:hint="eastAsia"/>
        </w:rPr>
        <w:t>”，即可打开图3.18所示的“活性物质参数”窗口。</w:t>
      </w:r>
    </w:p>
    <w:p>
      <w:pPr>
        <w:ind w:firstLine="420"/>
      </w:pPr>
      <w:r>
        <w:rPr>
          <w:rFonts w:hint="eastAsia"/>
        </w:rPr>
        <w:t>这里，循环统计方式的不同选项对测试状态或测试数据没有影响，它只决定打开数据时默认的循环统计方式。当循环统计方式为反极性时，即认为“测试过程”中设定的充电，对电极而言是放电；而放电对电极而言反而是充电。因而，</w:t>
      </w:r>
      <w:r>
        <w:t>LANDdt</w:t>
      </w:r>
      <w:r>
        <w:rPr>
          <w:rFonts w:hint="eastAsia"/>
        </w:rPr>
        <w:t>在进行循环统计时，每个循环先是“放电”，后是“充电”。当然，效率的计算相应变为“100%×充电容量/放电容量”。</w:t>
      </w:r>
    </w:p>
    <w:p>
      <w:pPr>
        <w:spacing w:line="360" w:lineRule="atLeast"/>
        <w:ind w:left="-15" w:leftChars="-7" w:firstLine="14" w:firstLineChars="7"/>
        <w:rPr>
          <w:rFonts w:ascii="宋体" w:hAnsi="宋体"/>
          <w:color w:val="000000"/>
        </w:rPr>
      </w:pPr>
      <w:r>
        <w:rPr>
          <w:rFonts w:hint="eastAsia" w:ascii="宋体" w:hAnsi="宋体"/>
          <w:color w:val="000000"/>
        </w:rPr>
        <w:t xml:space="preserve">                              </w:t>
      </w:r>
      <w:r>
        <w:drawing>
          <wp:inline distT="0" distB="0" distL="114300" distR="114300">
            <wp:extent cx="2261870" cy="2277745"/>
            <wp:effectExtent l="0" t="0" r="5080" b="8255"/>
            <wp:docPr id="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0"/>
                    <pic:cNvPicPr>
                      <a:picLocks noChangeAspect="1"/>
                    </pic:cNvPicPr>
                  </pic:nvPicPr>
                  <pic:blipFill>
                    <a:blip r:embed="rId109" cstate="print"/>
                    <a:stretch>
                      <a:fillRect/>
                    </a:stretch>
                  </pic:blipFill>
                  <pic:spPr>
                    <a:xfrm>
                      <a:off x="0" y="0"/>
                      <a:ext cx="2261870" cy="2277745"/>
                    </a:xfrm>
                    <a:prstGeom prst="rect">
                      <a:avLst/>
                    </a:prstGeom>
                    <a:noFill/>
                    <a:ln w="9525">
                      <a:noFill/>
                    </a:ln>
                  </pic:spPr>
                </pic:pic>
              </a:graphicData>
            </a:graphic>
          </wp:inline>
        </w:drawing>
      </w:r>
    </w:p>
    <w:p>
      <w:pPr>
        <w:pStyle w:val="19"/>
      </w:pPr>
      <w:r>
        <w:rPr>
          <w:rFonts w:hint="eastAsia"/>
        </w:rPr>
        <w:t>图3</w:t>
      </w:r>
      <w:r>
        <w:t>.</w:t>
      </w:r>
      <w:r>
        <w:rPr>
          <w:rFonts w:hint="eastAsia"/>
        </w:rPr>
        <w:t>18  “活性物质参数”窗口</w:t>
      </w:r>
    </w:p>
    <w:p>
      <w:pPr>
        <w:pStyle w:val="3"/>
      </w:pPr>
      <w:bookmarkStart w:id="328" w:name="_Toc346263511"/>
      <w:bookmarkStart w:id="329" w:name="_Toc346783472"/>
      <w:bookmarkStart w:id="330" w:name="_Toc346203554"/>
      <w:bookmarkStart w:id="331" w:name="_Toc15029"/>
      <w:bookmarkStart w:id="332" w:name="_Toc1995"/>
      <w:r>
        <w:rPr>
          <w:rFonts w:hint="eastAsia"/>
        </w:rPr>
        <w:t>3.9 测试数据</w:t>
      </w:r>
      <w:bookmarkEnd w:id="328"/>
      <w:bookmarkEnd w:id="329"/>
      <w:bookmarkEnd w:id="330"/>
      <w:bookmarkEnd w:id="331"/>
      <w:bookmarkEnd w:id="332"/>
    </w:p>
    <w:p>
      <w:pPr>
        <w:ind w:firstLine="420"/>
      </w:pPr>
      <w:r>
        <w:rPr>
          <w:rFonts w:hint="eastAsia"/>
        </w:rPr>
        <w:t>LANDMon在运行过程中，将在其所在目录下产生测试数据文件及系统数据文件。</w:t>
      </w:r>
    </w:p>
    <w:p>
      <w:pPr>
        <w:ind w:firstLine="420"/>
      </w:pPr>
      <w:r>
        <w:rPr>
          <w:rFonts w:hint="eastAsia"/>
        </w:rPr>
        <w:t>测试期间，LANDMon将自动生成测试数据文件。如果LANDMon没有取得“创建目录”的权限（通常在第1次开始测试时发生），测试中将不能生成测试数据文件。解决方法为：使用管理员的身份登录，并赋予LANDMon和LANDCore以“创建目录”权限</w:t>
      </w:r>
      <w:r>
        <w:t>。</w:t>
      </w:r>
    </w:p>
    <w:p>
      <w:pPr>
        <w:pStyle w:val="4"/>
        <w:rPr>
          <w:rFonts w:hint="default"/>
        </w:rPr>
      </w:pPr>
      <w:bookmarkStart w:id="333" w:name="_Toc346783473"/>
      <w:bookmarkStart w:id="334" w:name="_Toc346203555"/>
      <w:bookmarkStart w:id="335" w:name="_Toc346263512"/>
      <w:bookmarkStart w:id="336" w:name="_Toc1686"/>
      <w:bookmarkStart w:id="337" w:name="_Toc11893"/>
      <w:r>
        <w:t>3.9.1 数据备份方案</w:t>
      </w:r>
      <w:bookmarkEnd w:id="333"/>
      <w:bookmarkEnd w:id="334"/>
      <w:bookmarkEnd w:id="335"/>
      <w:bookmarkEnd w:id="336"/>
      <w:bookmarkEnd w:id="337"/>
    </w:p>
    <w:p>
      <w:pPr>
        <w:ind w:firstLine="420"/>
      </w:pPr>
      <w:r>
        <w:rPr>
          <w:rFonts w:hint="eastAsia"/>
        </w:rPr>
        <w:t>为保证数据的完整性及方便用户，这里对运行过程中产生的文件及目录略作说明。</w:t>
      </w:r>
    </w:p>
    <w:p>
      <w:pPr>
        <w:ind w:firstLine="420"/>
      </w:pPr>
      <w:r>
        <w:rPr>
          <w:rFonts w:hint="eastAsia"/>
        </w:rPr>
        <w:t>“数据备份方案”主要由备份目录和备份文件名两部分构成，如图3.19所示。备份目录可以是本地或同一个局域网内其它电脑上的某个目录。如果是后者，该目录必须对监控电脑赋予共享“写”权限。</w:t>
      </w:r>
      <w:r>
        <w:t>备份</w:t>
      </w:r>
      <w:r>
        <w:rPr>
          <w:rFonts w:hint="eastAsia"/>
        </w:rPr>
        <w:t>文件名</w:t>
      </w:r>
      <w:r>
        <w:t>由</w:t>
      </w:r>
      <w:r>
        <w:rPr>
          <w:rFonts w:hint="eastAsia"/>
        </w:rPr>
        <w:t>A、B、C共</w:t>
      </w:r>
      <w:r>
        <w:t>3部分</w:t>
      </w:r>
      <w:r>
        <w:rPr>
          <w:rFonts w:hint="eastAsia"/>
        </w:rPr>
        <w:t>通过简单拼接而成</w:t>
      </w:r>
      <w:r>
        <w:t>：AB_C.cex</w:t>
      </w:r>
      <w:r>
        <w:rPr>
          <w:rFonts w:hint="eastAsia"/>
        </w:rPr>
        <w:t>。</w:t>
      </w:r>
      <w:r>
        <w:t>A部分</w:t>
      </w:r>
      <w:r>
        <w:rPr>
          <w:rFonts w:hint="eastAsia"/>
        </w:rPr>
        <w:t>：</w:t>
      </w:r>
      <w:r>
        <w:t>用户定义</w:t>
      </w:r>
      <w:r>
        <w:rPr>
          <w:rFonts w:hint="eastAsia"/>
        </w:rPr>
        <w:t>的</w:t>
      </w:r>
      <w:r>
        <w:t>文件头</w:t>
      </w:r>
      <w:r>
        <w:rPr>
          <w:rFonts w:hint="eastAsia"/>
        </w:rPr>
        <w:t>部分；B部分：通道启动日期（或启动测试的日期）或电池编号；C部分：</w:t>
      </w:r>
      <w:r>
        <w:t>通道号</w:t>
      </w:r>
      <w:r>
        <w:rPr>
          <w:rFonts w:hint="eastAsia"/>
        </w:rPr>
        <w:t>。</w:t>
      </w:r>
    </w:p>
    <w:p>
      <w:pPr>
        <w:spacing w:line="240" w:lineRule="auto"/>
        <w:ind w:firstLine="420"/>
      </w:pPr>
      <w:r>
        <w:rPr>
          <w:rFonts w:hint="eastAsia"/>
        </w:rPr>
        <w:t xml:space="preserve">                  </w:t>
      </w:r>
      <w:r>
        <w:drawing>
          <wp:inline distT="0" distB="0" distL="114300" distR="114300">
            <wp:extent cx="2996565" cy="2040255"/>
            <wp:effectExtent l="0" t="0" r="13335" b="17145"/>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110" cstate="print"/>
                    <a:stretch>
                      <a:fillRect/>
                    </a:stretch>
                  </pic:blipFill>
                  <pic:spPr>
                    <a:xfrm>
                      <a:off x="0" y="0"/>
                      <a:ext cx="2996565" cy="2040255"/>
                    </a:xfrm>
                    <a:prstGeom prst="rect">
                      <a:avLst/>
                    </a:prstGeom>
                    <a:noFill/>
                    <a:ln w="9525">
                      <a:noFill/>
                    </a:ln>
                  </pic:spPr>
                </pic:pic>
              </a:graphicData>
            </a:graphic>
          </wp:inline>
        </w:drawing>
      </w:r>
    </w:p>
    <w:p>
      <w:pPr>
        <w:pStyle w:val="19"/>
      </w:pPr>
      <w:r>
        <w:rPr>
          <w:rFonts w:hint="eastAsia"/>
        </w:rPr>
        <w:t>图3</w:t>
      </w:r>
      <w:r>
        <w:t>.</w:t>
      </w:r>
      <w:r>
        <w:rPr>
          <w:rFonts w:hint="eastAsia"/>
        </w:rPr>
        <w:t>19  数据备份方案</w:t>
      </w:r>
    </w:p>
    <w:p>
      <w:pPr>
        <w:ind w:firstLine="420"/>
      </w:pPr>
      <w:r>
        <w:t>任何情况下，软件能自动追加</w:t>
      </w:r>
      <w:r>
        <w:rPr>
          <w:rFonts w:hint="eastAsia"/>
        </w:rPr>
        <w:t>~2</w:t>
      </w:r>
      <w:r>
        <w:t>、~3等标记</w:t>
      </w:r>
      <w:r>
        <w:rPr>
          <w:rFonts w:hint="eastAsia"/>
        </w:rPr>
        <w:t>以</w:t>
      </w:r>
      <w:r>
        <w:t>避免文件名重名，用户无须担心同名</w:t>
      </w:r>
      <w:r>
        <w:rPr>
          <w:rFonts w:hint="eastAsia"/>
        </w:rPr>
        <w:t>的备份</w:t>
      </w:r>
      <w:r>
        <w:t>文件被覆盖问题</w:t>
      </w:r>
      <w:r>
        <w:rPr>
          <w:rFonts w:hint="eastAsia"/>
        </w:rPr>
        <w:t>（测试变化时）</w:t>
      </w:r>
      <w:r>
        <w:t>。</w:t>
      </w:r>
    </w:p>
    <w:p>
      <w:pPr>
        <w:ind w:firstLine="420"/>
      </w:pPr>
      <w:r>
        <w:rPr>
          <w:rFonts w:hint="eastAsia"/>
        </w:rPr>
        <w:t>正常情况下</w:t>
      </w:r>
      <w:r>
        <w:t>,</w:t>
      </w:r>
      <w:r>
        <w:rPr>
          <w:rFonts w:hint="eastAsia"/>
        </w:rPr>
        <w:t>目录</w:t>
      </w:r>
      <w:r>
        <w:t>\DATA_</w:t>
      </w:r>
      <w:r>
        <w:rPr>
          <w:rFonts w:hint="eastAsia"/>
        </w:rPr>
        <w:t>NOW</w:t>
      </w:r>
      <w:r>
        <w:t>\</w:t>
      </w:r>
      <w:r>
        <w:rPr>
          <w:rFonts w:hint="eastAsia"/>
        </w:rPr>
        <w:t>中的数据文件由系统自动维护，用户无需干涉，尤其是不要进行文件删除、移动、更改名字或属性操作（可以进行数据文件打开操作）。否则可能导致已记录的数据部分丢失。</w:t>
      </w:r>
    </w:p>
    <w:p>
      <w:pPr>
        <w:pStyle w:val="4"/>
        <w:rPr>
          <w:rFonts w:hint="default"/>
        </w:rPr>
      </w:pPr>
      <w:bookmarkStart w:id="338" w:name="_Toc346203556"/>
      <w:bookmarkStart w:id="339" w:name="_Toc346263513"/>
      <w:bookmarkStart w:id="340" w:name="_Toc6706"/>
      <w:bookmarkStart w:id="341" w:name="_Toc346783474"/>
      <w:bookmarkStart w:id="342" w:name="_Toc7941"/>
      <w:r>
        <w:t>3.9.2 数据预约备份</w:t>
      </w:r>
      <w:bookmarkEnd w:id="338"/>
      <w:bookmarkEnd w:id="339"/>
      <w:bookmarkEnd w:id="340"/>
      <w:bookmarkEnd w:id="341"/>
      <w:bookmarkEnd w:id="342"/>
    </w:p>
    <w:p>
      <w:pPr>
        <w:ind w:firstLine="420"/>
      </w:pPr>
      <w:r>
        <w:rPr>
          <w:rFonts w:hint="eastAsia"/>
        </w:rPr>
        <w:t>通常情况下，用户只是在测试完成（或强制停止）后才有数据备份需求，这样进行数据备份的次数也是最少的。“数据预约备份”正是基于以上原因设计的。</w:t>
      </w:r>
    </w:p>
    <w:p>
      <w:pPr>
        <w:ind w:firstLine="420"/>
      </w:pPr>
      <w:r>
        <w:rPr>
          <w:rFonts w:hint="eastAsia"/>
        </w:rPr>
        <w:t>“数据预约备份”可以在通道“启动”时设定（如图3.20左所示），也可以在通道“测试参数重置”时设定（如图3.20右所示）。对于已经设定“预约备份”的通道，一旦测试完成（强制停止或安全停止，但软件中途强制退出例外），测试数据会自动备份至用户“预约”的目录下。当然，软件会基于尽可能保证安全的原因，在某些情况下，虽然测试没有真正完成，也会备份数据，例如，软件被强制退出。</w:t>
      </w:r>
    </w:p>
    <w:p>
      <w:pPr>
        <w:spacing w:line="240" w:lineRule="auto"/>
        <w:ind w:firstLine="0" w:firstLineChars="0"/>
      </w:pPr>
      <w:r>
        <w:drawing>
          <wp:inline distT="0" distB="0" distL="114300" distR="114300">
            <wp:extent cx="3147695" cy="3355975"/>
            <wp:effectExtent l="0" t="0" r="14605" b="15875"/>
            <wp:docPr id="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pic:cNvPicPr>
                      <a:picLocks noChangeAspect="1"/>
                    </pic:cNvPicPr>
                  </pic:nvPicPr>
                  <pic:blipFill>
                    <a:blip r:embed="rId111" cstate="print"/>
                    <a:stretch>
                      <a:fillRect/>
                    </a:stretch>
                  </pic:blipFill>
                  <pic:spPr>
                    <a:xfrm>
                      <a:off x="0" y="0"/>
                      <a:ext cx="3147695" cy="3355975"/>
                    </a:xfrm>
                    <a:prstGeom prst="rect">
                      <a:avLst/>
                    </a:prstGeom>
                    <a:noFill/>
                    <a:ln w="9525">
                      <a:noFill/>
                    </a:ln>
                  </pic:spPr>
                </pic:pic>
              </a:graphicData>
            </a:graphic>
          </wp:inline>
        </w:drawing>
      </w:r>
      <w:r>
        <w:drawing>
          <wp:inline distT="0" distB="0" distL="114300" distR="114300">
            <wp:extent cx="2994025" cy="3353435"/>
            <wp:effectExtent l="0" t="0" r="15875" b="18415"/>
            <wp:docPr id="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pic:cNvPicPr>
                      <a:picLocks noChangeAspect="1"/>
                    </pic:cNvPicPr>
                  </pic:nvPicPr>
                  <pic:blipFill>
                    <a:blip r:embed="rId112" cstate="print"/>
                    <a:stretch>
                      <a:fillRect/>
                    </a:stretch>
                  </pic:blipFill>
                  <pic:spPr>
                    <a:xfrm>
                      <a:off x="0" y="0"/>
                      <a:ext cx="2994025" cy="3353435"/>
                    </a:xfrm>
                    <a:prstGeom prst="rect">
                      <a:avLst/>
                    </a:prstGeom>
                    <a:noFill/>
                    <a:ln w="9525">
                      <a:noFill/>
                    </a:ln>
                  </pic:spPr>
                </pic:pic>
              </a:graphicData>
            </a:graphic>
          </wp:inline>
        </w:drawing>
      </w:r>
    </w:p>
    <w:p>
      <w:pPr>
        <w:pStyle w:val="19"/>
      </w:pPr>
      <w:r>
        <w:rPr>
          <w:rFonts w:hint="eastAsia"/>
        </w:rPr>
        <w:t>图3</w:t>
      </w:r>
      <w:r>
        <w:t>.</w:t>
      </w:r>
      <w:r>
        <w:rPr>
          <w:rFonts w:hint="eastAsia"/>
        </w:rPr>
        <w:t>20  数据预约备份</w:t>
      </w:r>
    </w:p>
    <w:p>
      <w:pPr>
        <w:ind w:firstLine="420"/>
      </w:pPr>
      <w:r>
        <w:rPr>
          <w:rFonts w:hint="eastAsia"/>
        </w:rPr>
        <w:t>如果用户在“启动”时忘记选取“并启用预约备份方案”，可以通过执行一次“测试参数重置”补上。</w:t>
      </w:r>
    </w:p>
    <w:p>
      <w:pPr>
        <w:pStyle w:val="4"/>
        <w:rPr>
          <w:rFonts w:hint="default"/>
        </w:rPr>
      </w:pPr>
      <w:bookmarkStart w:id="343" w:name="_Toc22418"/>
      <w:bookmarkStart w:id="344" w:name="_Toc5724"/>
      <w:bookmarkStart w:id="345" w:name="_Toc346203557"/>
      <w:bookmarkStart w:id="346" w:name="_Toc346783475"/>
      <w:bookmarkStart w:id="347" w:name="_Toc346263514"/>
      <w:r>
        <w:t>3.9.3 数据即时备份</w:t>
      </w:r>
      <w:bookmarkEnd w:id="343"/>
      <w:bookmarkEnd w:id="344"/>
      <w:bookmarkEnd w:id="345"/>
      <w:bookmarkEnd w:id="346"/>
      <w:bookmarkEnd w:id="347"/>
    </w:p>
    <w:p>
      <w:pPr>
        <w:ind w:firstLine="420"/>
      </w:pPr>
      <w:r>
        <w:rPr>
          <w:rFonts w:hint="eastAsia"/>
        </w:rPr>
        <w:t>如果用户忘记设置“预约备份”，或者某些情况下，在测试中（或者测试完成）用户需要备份数据，可以使用“数据即时备份”功能。</w:t>
      </w:r>
    </w:p>
    <w:p>
      <w:pPr>
        <w:ind w:firstLine="420"/>
      </w:pPr>
      <w:r>
        <w:rPr>
          <w:rFonts w:hint="eastAsia"/>
        </w:rPr>
        <w:t>“数据即时备份”不影响本通道的“预约备份”，即对于已“预约备份”的通道，不管是否进行过“即时备份”操作，“预约备份”仍然按照既定的设置进行。</w:t>
      </w:r>
    </w:p>
    <w:p>
      <w:pPr>
        <w:ind w:firstLine="420"/>
      </w:pPr>
      <w:r>
        <w:rPr>
          <w:rFonts w:hint="eastAsia"/>
        </w:rPr>
        <w:t>如果用户选择“强制更新预约备份”选项，则相当于提前执行一次“预约备份”。如果通道没有“预约备份”，则对此通道而言，“即时备份”操作被忽略。</w:t>
      </w:r>
    </w:p>
    <w:p>
      <w:pPr>
        <w:spacing w:line="360" w:lineRule="atLeast"/>
        <w:ind w:left="-15" w:leftChars="-7" w:firstLine="14" w:firstLineChars="7"/>
        <w:jc w:val="center"/>
        <w:rPr>
          <w:rFonts w:ascii="宋体" w:hAnsi="宋体"/>
          <w:color w:val="000000"/>
        </w:rPr>
      </w:pPr>
      <w:r>
        <w:rPr>
          <w:rFonts w:hint="eastAsia" w:ascii="宋体" w:hAnsi="宋体"/>
          <w:color w:val="000000"/>
        </w:rPr>
        <w:t xml:space="preserve"> </w:t>
      </w:r>
      <w:r>
        <w:drawing>
          <wp:inline distT="0" distB="0" distL="114300" distR="114300">
            <wp:extent cx="3243580" cy="2722245"/>
            <wp:effectExtent l="0" t="0" r="13970" b="1905"/>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pic:cNvPicPr>
                      <a:picLocks noChangeAspect="1"/>
                    </pic:cNvPicPr>
                  </pic:nvPicPr>
                  <pic:blipFill>
                    <a:blip r:embed="rId113" cstate="print"/>
                    <a:stretch>
                      <a:fillRect/>
                    </a:stretch>
                  </pic:blipFill>
                  <pic:spPr>
                    <a:xfrm>
                      <a:off x="0" y="0"/>
                      <a:ext cx="3243580" cy="2722245"/>
                    </a:xfrm>
                    <a:prstGeom prst="rect">
                      <a:avLst/>
                    </a:prstGeom>
                    <a:noFill/>
                    <a:ln w="9525">
                      <a:noFill/>
                    </a:ln>
                  </pic:spPr>
                </pic:pic>
              </a:graphicData>
            </a:graphic>
          </wp:inline>
        </w:drawing>
      </w:r>
    </w:p>
    <w:p>
      <w:pPr>
        <w:pStyle w:val="19"/>
      </w:pPr>
      <w:r>
        <w:rPr>
          <w:rFonts w:hint="eastAsia"/>
        </w:rPr>
        <w:t>图3</w:t>
      </w:r>
      <w:r>
        <w:t>.</w:t>
      </w:r>
      <w:r>
        <w:rPr>
          <w:rFonts w:hint="eastAsia"/>
        </w:rPr>
        <w:t>21  “数据即时备份”窗口</w:t>
      </w:r>
    </w:p>
    <w:p>
      <w:pPr>
        <w:ind w:firstLine="420"/>
      </w:pPr>
      <w:r>
        <w:rPr>
          <w:rFonts w:hint="eastAsia"/>
        </w:rPr>
        <w:t>选择弹出菜单条目“数据即时备份”，即可进入图3.21所示的“数据即时备份”对话框。</w:t>
      </w:r>
    </w:p>
    <w:p>
      <w:pPr>
        <w:pStyle w:val="4"/>
        <w:rPr>
          <w:rFonts w:hint="default"/>
        </w:rPr>
      </w:pPr>
      <w:bookmarkStart w:id="348" w:name="_Toc23815"/>
      <w:bookmarkStart w:id="349" w:name="_Toc346203558"/>
      <w:bookmarkStart w:id="350" w:name="_Toc12596"/>
      <w:bookmarkStart w:id="351" w:name="_Toc346263515"/>
      <w:bookmarkStart w:id="352" w:name="_Toc346783476"/>
      <w:r>
        <w:t>3.9.4 数据定时备份</w:t>
      </w:r>
      <w:bookmarkEnd w:id="348"/>
      <w:bookmarkEnd w:id="349"/>
      <w:bookmarkEnd w:id="350"/>
      <w:bookmarkEnd w:id="351"/>
      <w:bookmarkEnd w:id="352"/>
    </w:p>
    <w:p>
      <w:pPr>
        <w:ind w:firstLine="420"/>
      </w:pPr>
      <w:r>
        <w:rPr>
          <w:rFonts w:hint="eastAsia"/>
        </w:rPr>
        <w:t>定时备份仅对预约数据备份有效，即通过设置时间间隔来自动强制更新（或兑换）已预约的数据备份。</w:t>
      </w:r>
    </w:p>
    <w:p>
      <w:pPr>
        <w:ind w:firstLine="420"/>
      </w:pPr>
      <w:r>
        <w:rPr>
          <w:rFonts w:hint="eastAsia"/>
        </w:rPr>
        <w:t>选择主菜单栏“数据(D)&gt;定时备份(B)...”，在弹出的图2.20所示的对话框中设置数据备份的间隔时间。</w:t>
      </w:r>
    </w:p>
    <w:p>
      <w:pPr>
        <w:pStyle w:val="4"/>
        <w:rPr>
          <w:rFonts w:hint="default"/>
        </w:rPr>
      </w:pPr>
      <w:bookmarkStart w:id="353" w:name="_Toc24922"/>
      <w:bookmarkStart w:id="354" w:name="_Toc346783477"/>
      <w:bookmarkStart w:id="355" w:name="_Toc346263516"/>
      <w:bookmarkStart w:id="356" w:name="_Toc2628"/>
      <w:bookmarkStart w:id="357" w:name="_Toc346203559"/>
      <w:r>
        <w:t>3.9.5 打开测试数据</w:t>
      </w:r>
      <w:bookmarkEnd w:id="353"/>
      <w:bookmarkEnd w:id="354"/>
      <w:bookmarkEnd w:id="355"/>
      <w:bookmarkEnd w:id="356"/>
      <w:bookmarkEnd w:id="357"/>
    </w:p>
    <w:p>
      <w:pPr>
        <w:ind w:firstLine="420"/>
      </w:pPr>
      <w:r>
        <w:rPr>
          <w:rFonts w:hint="eastAsia"/>
        </w:rPr>
        <w:t>选择主通道之快捷菜单“打开数据”，将自动激活“数据处理软件”（</w:t>
      </w:r>
      <w:r>
        <w:t>LANDdt.exe</w:t>
      </w:r>
      <w:r>
        <w:rPr>
          <w:rFonts w:hint="eastAsia"/>
        </w:rPr>
        <w:t>），同时打开已选取通道的测试数据文件。有关数据处理的方面的操作见“数据处理软件”（</w:t>
      </w:r>
      <w:r>
        <w:t>LANDdt.exe</w:t>
      </w:r>
      <w:r>
        <w:rPr>
          <w:rFonts w:hint="eastAsia"/>
        </w:rPr>
        <w:t>）部分。</w:t>
      </w:r>
    </w:p>
    <w:p>
      <w:pPr>
        <w:pStyle w:val="3"/>
      </w:pPr>
      <w:bookmarkStart w:id="358" w:name="_Toc346203560"/>
      <w:bookmarkStart w:id="359" w:name="_Toc346263517"/>
      <w:bookmarkStart w:id="360" w:name="_Toc15803"/>
      <w:bookmarkStart w:id="361" w:name="_Toc346783478"/>
      <w:bookmarkStart w:id="362" w:name="_Toc28156"/>
      <w:r>
        <w:rPr>
          <w:rFonts w:hint="eastAsia"/>
        </w:rPr>
        <w:t>3.10 动态曲线</w:t>
      </w:r>
      <w:bookmarkEnd w:id="358"/>
      <w:bookmarkEnd w:id="359"/>
      <w:bookmarkEnd w:id="360"/>
      <w:bookmarkEnd w:id="361"/>
      <w:bookmarkEnd w:id="362"/>
    </w:p>
    <w:p>
      <w:pPr>
        <w:ind w:firstLine="420"/>
      </w:pPr>
      <w:r>
        <w:rPr>
          <w:rFonts w:hint="eastAsia" w:ascii="宋体" w:hAnsi="宋体" w:cs="宋体"/>
        </w:rPr>
        <w:t>软件支持“动态曲线”功能，即允许用户动态显示通道的实时曲线。</w:t>
      </w:r>
      <w:r>
        <w:rPr>
          <w:rFonts w:hint="eastAsia"/>
        </w:rPr>
        <w:t>对于正处于测试状态的通道，可选择主通道之快捷</w:t>
      </w:r>
      <w:r>
        <w:t>菜单</w:t>
      </w:r>
      <w:r>
        <w:rPr>
          <w:rFonts w:hint="eastAsia"/>
        </w:rPr>
        <w:t>“动态曲线”，从弹出的“动态曲线”窗口中察看“通道实时的电压和电流曲线”，如图3.22所示。</w:t>
      </w:r>
    </w:p>
    <w:p>
      <w:pPr>
        <w:spacing w:line="360" w:lineRule="atLeast"/>
        <w:ind w:left="-15" w:leftChars="-7" w:firstLine="14" w:firstLineChars="7"/>
        <w:rPr>
          <w:rFonts w:ascii="宋体" w:hAnsi="宋体"/>
          <w:color w:val="000000"/>
        </w:rPr>
      </w:pPr>
      <w:r>
        <w:rPr>
          <w:rFonts w:hint="eastAsia" w:ascii="宋体" w:hAnsi="宋体"/>
          <w:color w:val="000000"/>
        </w:rPr>
        <w:t xml:space="preserve">                          </w:t>
      </w:r>
      <w:r>
        <w:drawing>
          <wp:inline distT="0" distB="0" distL="114300" distR="114300">
            <wp:extent cx="2580005" cy="1899920"/>
            <wp:effectExtent l="0" t="0" r="10795" b="508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14" cstate="print"/>
                    <a:stretch>
                      <a:fillRect/>
                    </a:stretch>
                  </pic:blipFill>
                  <pic:spPr>
                    <a:xfrm>
                      <a:off x="0" y="0"/>
                      <a:ext cx="2580005" cy="1899920"/>
                    </a:xfrm>
                    <a:prstGeom prst="rect">
                      <a:avLst/>
                    </a:prstGeom>
                    <a:noFill/>
                    <a:ln w="9525">
                      <a:noFill/>
                    </a:ln>
                  </pic:spPr>
                </pic:pic>
              </a:graphicData>
            </a:graphic>
          </wp:inline>
        </w:drawing>
      </w:r>
    </w:p>
    <w:p>
      <w:pPr>
        <w:pStyle w:val="19"/>
      </w:pPr>
      <w:r>
        <w:rPr>
          <w:rFonts w:hint="eastAsia"/>
        </w:rPr>
        <w:t>图3.22  “动态曲线”窗口</w:t>
      </w:r>
    </w:p>
    <w:p>
      <w:pPr>
        <w:ind w:firstLine="420"/>
      </w:pPr>
      <w:r>
        <w:rPr>
          <w:rFonts w:hint="eastAsia"/>
        </w:rPr>
        <w:t>“动态曲线”窗口自动绘制实时曲线，且最多可以</w:t>
      </w:r>
      <w:r>
        <w:t>同时显示16个通道的实时曲线</w:t>
      </w:r>
      <w:r>
        <w:rPr>
          <w:rFonts w:hint="eastAsia"/>
        </w:rPr>
        <w:t>。在曲线绘制区域内右击，通过弹出的快捷菜单对曲线的显示进行设置。选择“设置...”项，在弹出的图3.23所示的“设置”窗口中，可设置曲线的形状及显示隐藏状态，选择“按通道排序”项可调整通道曲线的显示顺序。</w:t>
      </w:r>
    </w:p>
    <w:p>
      <w:pPr>
        <w:pStyle w:val="40"/>
        <w:spacing w:line="240" w:lineRule="auto"/>
        <w:ind w:firstLine="420"/>
        <w:rPr>
          <w:rFonts w:ascii="宋体" w:hAnsi="宋体"/>
          <w:color w:val="000000"/>
        </w:rPr>
      </w:pPr>
      <w:r>
        <w:rPr>
          <w:rFonts w:hint="eastAsia"/>
        </w:rPr>
        <w:t xml:space="preserve">                      </w:t>
      </w:r>
      <w:r>
        <w:drawing>
          <wp:inline distT="0" distB="0" distL="114300" distR="114300">
            <wp:extent cx="2773680" cy="1467485"/>
            <wp:effectExtent l="0" t="0" r="7620" b="18415"/>
            <wp:docPr id="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pic:cNvPicPr>
                  </pic:nvPicPr>
                  <pic:blipFill>
                    <a:blip r:embed="rId115" cstate="print"/>
                    <a:stretch>
                      <a:fillRect/>
                    </a:stretch>
                  </pic:blipFill>
                  <pic:spPr>
                    <a:xfrm>
                      <a:off x="0" y="0"/>
                      <a:ext cx="2773680" cy="1467485"/>
                    </a:xfrm>
                    <a:prstGeom prst="rect">
                      <a:avLst/>
                    </a:prstGeom>
                    <a:noFill/>
                    <a:ln w="9525">
                      <a:noFill/>
                    </a:ln>
                  </pic:spPr>
                </pic:pic>
              </a:graphicData>
            </a:graphic>
          </wp:inline>
        </w:drawing>
      </w:r>
    </w:p>
    <w:p>
      <w:pPr>
        <w:pStyle w:val="19"/>
      </w:pPr>
      <w:r>
        <w:rPr>
          <w:rFonts w:hint="eastAsia"/>
        </w:rPr>
        <w:t>图3.23  “设置动态曲线”窗口</w:t>
      </w:r>
    </w:p>
    <w:p>
      <w:pPr>
        <w:pStyle w:val="3"/>
      </w:pPr>
      <w:bookmarkStart w:id="363" w:name="_Toc346203561"/>
      <w:bookmarkStart w:id="364" w:name="_Toc346263518"/>
      <w:bookmarkStart w:id="365" w:name="_Toc29968"/>
      <w:bookmarkStart w:id="366" w:name="_Toc13368"/>
      <w:bookmarkStart w:id="367" w:name="_Toc346783479"/>
      <w:r>
        <w:rPr>
          <w:rFonts w:hint="eastAsia"/>
        </w:rPr>
        <w:t>3.11 关联通道</w:t>
      </w:r>
      <w:bookmarkEnd w:id="363"/>
      <w:bookmarkEnd w:id="364"/>
      <w:bookmarkEnd w:id="365"/>
      <w:bookmarkEnd w:id="366"/>
      <w:bookmarkEnd w:id="367"/>
    </w:p>
    <w:p>
      <w:pPr>
        <w:ind w:firstLine="420"/>
      </w:pPr>
      <w:r>
        <w:rPr>
          <w:rFonts w:hint="eastAsia"/>
        </w:rPr>
        <w:t>监控软件不允许更改一个正处于测试状态的主通道的关联配置，这种限制有时候会给用户带来不便，因为用户可能会遇到在主通道测试中增加或减少辅助通道个数的场景。启用辅助通道功能就是为这种需要设计的。</w:t>
      </w:r>
    </w:p>
    <w:p>
      <w:pPr>
        <w:ind w:firstLine="420"/>
      </w:pPr>
      <w:r>
        <w:rPr>
          <w:rFonts w:hint="eastAsia"/>
        </w:rPr>
        <w:t>事实上，用户在更改主通道的关联配置时，软件默认为对应的辅助通道被全部启用，用户也可以有选择地启用其中的部分辅助通道，甚至全部不启用。一个辅助通道只有在被关联同时也被启用后才能真正发挥作用。启用辅助通道可以针对还未工作的主通道进行，也可以针对正在工作的主通道进行。</w:t>
      </w:r>
    </w:p>
    <w:p>
      <w:pPr>
        <w:ind w:firstLine="420"/>
      </w:pPr>
      <w:r>
        <w:rPr>
          <w:rFonts w:hint="eastAsia"/>
        </w:rPr>
        <w:t>选择主通道之快捷</w:t>
      </w:r>
      <w:r>
        <w:t>菜单</w:t>
      </w:r>
      <w:r>
        <w:rPr>
          <w:rFonts w:hint="eastAsia"/>
        </w:rPr>
        <w:t>“启用关联通道</w:t>
      </w:r>
      <w:r>
        <w:t>…</w:t>
      </w:r>
      <w:r>
        <w:rPr>
          <w:rFonts w:hint="eastAsia"/>
        </w:rPr>
        <w:t>”，即打开图3.24示的“启用关联通道”窗口，列表中的辅助通道都是已经关联的通道，打勾则表示将启用。软件自动保存辅助通道的启用信息，并能在下次重新启动时自动导入。</w:t>
      </w:r>
    </w:p>
    <w:p>
      <w:pPr>
        <w:spacing w:line="360" w:lineRule="atLeast"/>
        <w:ind w:left="-15" w:leftChars="-7" w:firstLine="14" w:firstLineChars="7"/>
        <w:jc w:val="center"/>
        <w:rPr>
          <w:rFonts w:ascii="宋体" w:hAnsi="宋体"/>
          <w:color w:val="000000"/>
        </w:rPr>
      </w:pPr>
      <w:r>
        <w:drawing>
          <wp:inline distT="0" distB="0" distL="114300" distR="114300">
            <wp:extent cx="2621915" cy="2127250"/>
            <wp:effectExtent l="0" t="0" r="6985" b="6350"/>
            <wp:docPr id="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3"/>
                    <pic:cNvPicPr>
                      <a:picLocks noChangeAspect="1"/>
                    </pic:cNvPicPr>
                  </pic:nvPicPr>
                  <pic:blipFill>
                    <a:blip r:embed="rId116" cstate="print"/>
                    <a:stretch>
                      <a:fillRect/>
                    </a:stretch>
                  </pic:blipFill>
                  <pic:spPr>
                    <a:xfrm>
                      <a:off x="0" y="0"/>
                      <a:ext cx="2621915" cy="2127250"/>
                    </a:xfrm>
                    <a:prstGeom prst="rect">
                      <a:avLst/>
                    </a:prstGeom>
                    <a:noFill/>
                    <a:ln w="9525">
                      <a:noFill/>
                    </a:ln>
                  </pic:spPr>
                </pic:pic>
              </a:graphicData>
            </a:graphic>
          </wp:inline>
        </w:drawing>
      </w:r>
    </w:p>
    <w:p>
      <w:pPr>
        <w:pStyle w:val="19"/>
      </w:pPr>
      <w:r>
        <w:rPr>
          <w:rFonts w:hint="eastAsia"/>
        </w:rPr>
        <w:t>图3</w:t>
      </w:r>
      <w:r>
        <w:t>.</w:t>
      </w:r>
      <w:r>
        <w:rPr>
          <w:rFonts w:hint="eastAsia"/>
        </w:rPr>
        <w:t>24  “启用关联通道”窗口</w:t>
      </w:r>
    </w:p>
    <w:p>
      <w:pPr>
        <w:ind w:firstLine="420"/>
        <w:rPr>
          <w:rFonts w:asciiTheme="minorEastAsia" w:hAnsiTheme="minorEastAsia" w:eastAsiaTheme="minorEastAsia"/>
        </w:rPr>
      </w:pPr>
      <w:r>
        <w:rPr>
          <w:rFonts w:hint="eastAsia"/>
        </w:rPr>
        <w:t>选择主菜单</w:t>
      </w:r>
      <w:r>
        <w:t>“</w:t>
      </w:r>
      <w:r>
        <w:rPr>
          <w:rFonts w:hint="eastAsia"/>
        </w:rPr>
        <w:t>选项(O)&gt;编辑通道关联(E)...”也可对关联通道进行设置。</w:t>
      </w:r>
      <w:bookmarkEnd w:id="22"/>
      <w:bookmarkEnd w:id="23"/>
      <w:bookmarkEnd w:id="24"/>
      <w:bookmarkEnd w:id="25"/>
      <w:bookmarkEnd w:id="26"/>
      <w:bookmarkEnd w:id="27"/>
      <w:r>
        <w:rPr>
          <w:rFonts w:hint="eastAsia" w:asciiTheme="minorEastAsia" w:hAnsiTheme="minorEastAsia" w:eastAsiaTheme="minorEastAsia"/>
        </w:rPr>
        <w:t xml:space="preserve">      </w:t>
      </w:r>
    </w:p>
    <w:p>
      <w:pPr>
        <w:ind w:firstLine="420"/>
        <w:rPr>
          <w:rFonts w:ascii="宋体" w:hAnsi="宋体" w:cs="宋体"/>
          <w:color w:val="FF0000"/>
        </w:rPr>
      </w:pPr>
      <w:r>
        <w:rPr>
          <w:rFonts w:hint="eastAsia"/>
        </w:rPr>
        <w:t xml:space="preserve">                                       </w:t>
      </w:r>
      <w:r>
        <w:rPr>
          <w:rFonts w:hint="eastAsia" w:ascii="宋体" w:hAnsi="宋体" w:cs="宋体"/>
          <w:color w:val="FF0000"/>
        </w:rPr>
        <w:t xml:space="preserve">                        </w:t>
      </w:r>
    </w:p>
    <w:sectPr>
      <w:pgSz w:w="11907" w:h="16839"/>
      <w:pgMar w:top="1134" w:right="1077" w:bottom="1134" w:left="1077" w:header="567" w:footer="567" w:gutter="0"/>
      <w:cols w:space="720" w:num="1"/>
      <w:docGrid w:type="lines"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叶根友毛笔行书2.0版">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pict>
        <v:shape id="_x0000_s4116" o:spid="_x0000_s4116"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3"/>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36</w:t>
                </w:r>
                <w:r>
                  <w:rPr>
                    <w:rFonts w:hint="eastAsia"/>
                  </w:rP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pict>
        <v:shape id="_x0000_s4119" o:spid="_x0000_s4119"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joinstyle="miter"/>
          <v:imagedata o:title=""/>
          <o:lock v:ext="edit"/>
          <v:textbox inset="0mm,0mm,0mm,0mm" style="mso-fit-shape-to-text:t;">
            <w:txbxContent>
              <w:p>
                <w:pPr>
                  <w:ind w:firstLine="420"/>
                </w:pPr>
              </w:p>
            </w:txbxContent>
          </v:textbox>
        </v:shape>
      </w:pict>
    </w:r>
    <w:r>
      <w:ptab w:relativeTo="margin" w:alignment="center"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pict>
        <v:shape id="_x0000_s4118" o:spid="_x0000_s4118"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joinstyle="miter"/>
          <v:imagedata o:title=""/>
          <o:lock v:ext="edit"/>
          <v:textbox inset="0mm,0mm,0mm,0mm" style="mso-fit-shape-to-text:t;">
            <w:txbxContent>
              <w:p>
                <w:pPr>
                  <w:pStyle w:val="13"/>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rPr>
                    <w:rFonts w:hint="eastAsia"/>
                    <w:lang w:val="en-US" w:eastAsia="zh-CN"/>
                  </w:rPr>
                  <w:t>40</w:t>
                </w:r>
                <w:r>
                  <w:rPr>
                    <w:rFonts w:hint="eastAsia"/>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pict>
        <v:shape id="_x0000_s4120" o:spid="_x0000_s4120" o:spt="202" type="#_x0000_t202" style="position:absolute;left:0pt;margin-top:0pt;height:144pt;width:144pt;mso-position-horizontal:center;mso-position-horizontal-relative:margin;mso-wrap-style:none;z-index:251673600;mso-width-relative:page;mso-height-relative:page;" filled="f" stroked="f" coordsize="21600,21600">
          <v:path/>
          <v:fill on="f" focussize="0,0"/>
          <v:stroke on="f" joinstyle="miter"/>
          <v:imagedata o:title=""/>
          <o:lock v:ext="edit"/>
          <v:textbox inset="0mm,0mm,0mm,0mm" style="mso-fit-shape-to-text:t;">
            <w:txbxContent>
              <w:p>
                <w:pPr>
                  <w:pStyle w:val="13"/>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r>
                  <w:rPr>
                    <w:rFonts w:hint="eastAsia"/>
                  </w:rPr>
                  <w:t xml:space="preserve"> 页 共 </w:t>
                </w:r>
                <w:r>
                  <w:rPr>
                    <w:rFonts w:hint="eastAsia"/>
                    <w:lang w:val="en-US" w:eastAsia="zh-CN"/>
                  </w:rPr>
                  <w:t>40</w:t>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1980" w:firstLineChars="1100"/>
      <w:rPr>
        <w:rFonts w:ascii="宋体" w:hAnsi="宋体"/>
      </w:rPr>
    </w:pPr>
    <w:r>
      <w:drawing>
        <wp:anchor distT="0" distB="0" distL="114300" distR="114300" simplePos="0" relativeHeight="251665408" behindDoc="0" locked="0" layoutInCell="1" allowOverlap="1">
          <wp:simplePos x="0" y="0"/>
          <wp:positionH relativeFrom="column">
            <wp:posOffset>45085</wp:posOffset>
          </wp:positionH>
          <wp:positionV relativeFrom="paragraph">
            <wp:posOffset>129540</wp:posOffset>
          </wp:positionV>
          <wp:extent cx="422910" cy="114300"/>
          <wp:effectExtent l="0" t="0" r="15240" b="0"/>
          <wp:wrapSquare wrapText="bothSides"/>
          <wp:docPr id="1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
                  <pic:cNvPicPr>
                    <a:picLocks noChangeAspect="1"/>
                  </pic:cNvPicPr>
                </pic:nvPicPr>
                <pic:blipFill>
                  <a:blip r:embed="rId1" r:link="rId2"/>
                  <a:stretch>
                    <a:fillRect/>
                  </a:stretch>
                </pic:blipFill>
                <pic:spPr>
                  <a:xfrm>
                    <a:off x="0" y="0"/>
                    <a:ext cx="422910" cy="114300"/>
                  </a:xfrm>
                  <a:prstGeom prst="rect">
                    <a:avLst/>
                  </a:prstGeom>
                  <a:noFill/>
                  <a:ln w="9525">
                    <a:noFill/>
                  </a:ln>
                </pic:spPr>
              </pic:pic>
            </a:graphicData>
          </a:graphic>
        </wp:anchor>
      </w:drawing>
    </w:r>
  </w:p>
  <w:p>
    <w:pPr>
      <w:pStyle w:val="14"/>
      <w:ind w:firstLine="7200" w:firstLineChars="4800"/>
      <w:rPr>
        <w:sz w:val="15"/>
        <w:szCs w:val="15"/>
      </w:rPr>
    </w:pPr>
    <w:r>
      <w:rPr>
        <w:rFonts w:hint="eastAsia" w:ascii="宋体" w:hAnsi="宋体"/>
        <w:sz w:val="15"/>
        <w:szCs w:val="15"/>
      </w:rPr>
      <w:t>蓝电电池测试系统</w:t>
    </w:r>
    <w:r>
      <w:rPr>
        <w:rFonts w:ascii="宋体" w:hAnsi="宋体"/>
        <w:sz w:val="15"/>
        <w:szCs w:val="15"/>
      </w:rPr>
      <w:t>–</w:t>
    </w:r>
    <w:r>
      <w:rPr>
        <w:rFonts w:hint="eastAsia" w:ascii="宋体" w:hAnsi="宋体"/>
        <w:sz w:val="15"/>
        <w:szCs w:val="15"/>
      </w:rPr>
      <w:t>监控软件V7.0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420"/>
  <w:drawingGridHorizontalSpacing w:val="120"/>
  <w:drawingGridVerticalSpacing w:val="170"/>
  <w:noPunctuationKerning w:val="1"/>
  <w:characterSpacingControl w:val="compressPunctuation"/>
  <w:hdrShapeDefaults>
    <o:shapelayout v:ext="edit">
      <o:idmap v:ext="edit" data="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CB41EA1"/>
    <w:rsid w:val="00000174"/>
    <w:rsid w:val="000001F1"/>
    <w:rsid w:val="00000627"/>
    <w:rsid w:val="000006D5"/>
    <w:rsid w:val="00000A2E"/>
    <w:rsid w:val="00000DC4"/>
    <w:rsid w:val="0000122F"/>
    <w:rsid w:val="00001C16"/>
    <w:rsid w:val="00001E0D"/>
    <w:rsid w:val="000020D5"/>
    <w:rsid w:val="000022E9"/>
    <w:rsid w:val="00002356"/>
    <w:rsid w:val="000023FB"/>
    <w:rsid w:val="000024B8"/>
    <w:rsid w:val="000029C2"/>
    <w:rsid w:val="00003602"/>
    <w:rsid w:val="000038AB"/>
    <w:rsid w:val="00003BF7"/>
    <w:rsid w:val="00004CC0"/>
    <w:rsid w:val="000052E9"/>
    <w:rsid w:val="00005850"/>
    <w:rsid w:val="00005A8C"/>
    <w:rsid w:val="00005C9B"/>
    <w:rsid w:val="00005DFB"/>
    <w:rsid w:val="000063C3"/>
    <w:rsid w:val="00006933"/>
    <w:rsid w:val="00006AA0"/>
    <w:rsid w:val="00006B0B"/>
    <w:rsid w:val="00006D89"/>
    <w:rsid w:val="0000733D"/>
    <w:rsid w:val="000076B2"/>
    <w:rsid w:val="00010627"/>
    <w:rsid w:val="000112E0"/>
    <w:rsid w:val="0001195B"/>
    <w:rsid w:val="00011CD1"/>
    <w:rsid w:val="0001275E"/>
    <w:rsid w:val="00012B9C"/>
    <w:rsid w:val="000132D8"/>
    <w:rsid w:val="000135EA"/>
    <w:rsid w:val="0001364B"/>
    <w:rsid w:val="0001435C"/>
    <w:rsid w:val="0001456A"/>
    <w:rsid w:val="00014D0D"/>
    <w:rsid w:val="00015649"/>
    <w:rsid w:val="00015677"/>
    <w:rsid w:val="00016395"/>
    <w:rsid w:val="000163C2"/>
    <w:rsid w:val="00016714"/>
    <w:rsid w:val="00016737"/>
    <w:rsid w:val="00017006"/>
    <w:rsid w:val="00020206"/>
    <w:rsid w:val="0002080C"/>
    <w:rsid w:val="00020892"/>
    <w:rsid w:val="000209C5"/>
    <w:rsid w:val="00020C0F"/>
    <w:rsid w:val="00021142"/>
    <w:rsid w:val="00021517"/>
    <w:rsid w:val="00021D49"/>
    <w:rsid w:val="00021D67"/>
    <w:rsid w:val="0002216E"/>
    <w:rsid w:val="00022A04"/>
    <w:rsid w:val="00022A05"/>
    <w:rsid w:val="00022B28"/>
    <w:rsid w:val="00022E5E"/>
    <w:rsid w:val="0002322D"/>
    <w:rsid w:val="00023347"/>
    <w:rsid w:val="00023A27"/>
    <w:rsid w:val="00023C1E"/>
    <w:rsid w:val="00023D8C"/>
    <w:rsid w:val="0002415A"/>
    <w:rsid w:val="00024E8D"/>
    <w:rsid w:val="0002533A"/>
    <w:rsid w:val="0002543D"/>
    <w:rsid w:val="00025615"/>
    <w:rsid w:val="000261AC"/>
    <w:rsid w:val="000261AE"/>
    <w:rsid w:val="000261ED"/>
    <w:rsid w:val="000264CF"/>
    <w:rsid w:val="0002652D"/>
    <w:rsid w:val="000269D9"/>
    <w:rsid w:val="00026ACF"/>
    <w:rsid w:val="00026B19"/>
    <w:rsid w:val="00027498"/>
    <w:rsid w:val="00027EAA"/>
    <w:rsid w:val="0003008B"/>
    <w:rsid w:val="00030956"/>
    <w:rsid w:val="000309F5"/>
    <w:rsid w:val="00030B96"/>
    <w:rsid w:val="00030D99"/>
    <w:rsid w:val="00031020"/>
    <w:rsid w:val="000313E2"/>
    <w:rsid w:val="00031565"/>
    <w:rsid w:val="00031C2E"/>
    <w:rsid w:val="000321E1"/>
    <w:rsid w:val="00032337"/>
    <w:rsid w:val="000324D5"/>
    <w:rsid w:val="000327BA"/>
    <w:rsid w:val="000328C5"/>
    <w:rsid w:val="000335CD"/>
    <w:rsid w:val="00033806"/>
    <w:rsid w:val="00033A95"/>
    <w:rsid w:val="00033AE7"/>
    <w:rsid w:val="00033D8E"/>
    <w:rsid w:val="000340E8"/>
    <w:rsid w:val="00034207"/>
    <w:rsid w:val="00034416"/>
    <w:rsid w:val="000347DC"/>
    <w:rsid w:val="00034AAF"/>
    <w:rsid w:val="00034B20"/>
    <w:rsid w:val="00034C38"/>
    <w:rsid w:val="00034CBE"/>
    <w:rsid w:val="00034EFF"/>
    <w:rsid w:val="00034F70"/>
    <w:rsid w:val="00035164"/>
    <w:rsid w:val="000355CE"/>
    <w:rsid w:val="00035CFA"/>
    <w:rsid w:val="00035D18"/>
    <w:rsid w:val="00035E95"/>
    <w:rsid w:val="0003625B"/>
    <w:rsid w:val="00036B2D"/>
    <w:rsid w:val="00036FE1"/>
    <w:rsid w:val="000374CC"/>
    <w:rsid w:val="00037C88"/>
    <w:rsid w:val="00037D62"/>
    <w:rsid w:val="0004005E"/>
    <w:rsid w:val="00040136"/>
    <w:rsid w:val="00040170"/>
    <w:rsid w:val="000401C0"/>
    <w:rsid w:val="00040CF9"/>
    <w:rsid w:val="00040DA1"/>
    <w:rsid w:val="000411F9"/>
    <w:rsid w:val="00041382"/>
    <w:rsid w:val="00041E37"/>
    <w:rsid w:val="000426DB"/>
    <w:rsid w:val="00042732"/>
    <w:rsid w:val="000428F5"/>
    <w:rsid w:val="00042F62"/>
    <w:rsid w:val="000434B6"/>
    <w:rsid w:val="0004388D"/>
    <w:rsid w:val="00044199"/>
    <w:rsid w:val="00044554"/>
    <w:rsid w:val="00044781"/>
    <w:rsid w:val="00045481"/>
    <w:rsid w:val="0004581E"/>
    <w:rsid w:val="00045F4C"/>
    <w:rsid w:val="00046007"/>
    <w:rsid w:val="000466FC"/>
    <w:rsid w:val="0004693A"/>
    <w:rsid w:val="0004739A"/>
    <w:rsid w:val="0004752B"/>
    <w:rsid w:val="000477E5"/>
    <w:rsid w:val="00050A8E"/>
    <w:rsid w:val="00050B70"/>
    <w:rsid w:val="00050D70"/>
    <w:rsid w:val="00051111"/>
    <w:rsid w:val="000513A2"/>
    <w:rsid w:val="0005168E"/>
    <w:rsid w:val="000517E9"/>
    <w:rsid w:val="0005195A"/>
    <w:rsid w:val="00051AE2"/>
    <w:rsid w:val="00051C1C"/>
    <w:rsid w:val="00052DAB"/>
    <w:rsid w:val="00052F81"/>
    <w:rsid w:val="0005301F"/>
    <w:rsid w:val="00053107"/>
    <w:rsid w:val="00053290"/>
    <w:rsid w:val="000537EA"/>
    <w:rsid w:val="00053901"/>
    <w:rsid w:val="00053A22"/>
    <w:rsid w:val="00053BA7"/>
    <w:rsid w:val="00053C88"/>
    <w:rsid w:val="00053DA6"/>
    <w:rsid w:val="0005408B"/>
    <w:rsid w:val="00054149"/>
    <w:rsid w:val="0005427E"/>
    <w:rsid w:val="00054944"/>
    <w:rsid w:val="00054F67"/>
    <w:rsid w:val="00054F8B"/>
    <w:rsid w:val="0005505B"/>
    <w:rsid w:val="000556C8"/>
    <w:rsid w:val="00055A98"/>
    <w:rsid w:val="00055C1A"/>
    <w:rsid w:val="00055EFC"/>
    <w:rsid w:val="000566EA"/>
    <w:rsid w:val="000566F2"/>
    <w:rsid w:val="00056813"/>
    <w:rsid w:val="00056C17"/>
    <w:rsid w:val="00056DC9"/>
    <w:rsid w:val="00056E33"/>
    <w:rsid w:val="00057C5D"/>
    <w:rsid w:val="00057DD0"/>
    <w:rsid w:val="00057E35"/>
    <w:rsid w:val="0006031A"/>
    <w:rsid w:val="00060710"/>
    <w:rsid w:val="00060B4D"/>
    <w:rsid w:val="0006191F"/>
    <w:rsid w:val="00061AA0"/>
    <w:rsid w:val="00061C8D"/>
    <w:rsid w:val="0006215E"/>
    <w:rsid w:val="000621D4"/>
    <w:rsid w:val="000625F3"/>
    <w:rsid w:val="000629EC"/>
    <w:rsid w:val="00062A69"/>
    <w:rsid w:val="00062ED2"/>
    <w:rsid w:val="0006478A"/>
    <w:rsid w:val="00064828"/>
    <w:rsid w:val="00064ED6"/>
    <w:rsid w:val="0006527D"/>
    <w:rsid w:val="00065614"/>
    <w:rsid w:val="000656A8"/>
    <w:rsid w:val="000659FC"/>
    <w:rsid w:val="00065E02"/>
    <w:rsid w:val="00065FB0"/>
    <w:rsid w:val="000668AA"/>
    <w:rsid w:val="00066FB7"/>
    <w:rsid w:val="00067065"/>
    <w:rsid w:val="000670D4"/>
    <w:rsid w:val="0006734C"/>
    <w:rsid w:val="000675A0"/>
    <w:rsid w:val="00067722"/>
    <w:rsid w:val="00067962"/>
    <w:rsid w:val="00067F06"/>
    <w:rsid w:val="0007019E"/>
    <w:rsid w:val="0007033A"/>
    <w:rsid w:val="0007045F"/>
    <w:rsid w:val="000713F1"/>
    <w:rsid w:val="000714AE"/>
    <w:rsid w:val="00071A3D"/>
    <w:rsid w:val="00072440"/>
    <w:rsid w:val="0007258B"/>
    <w:rsid w:val="000725C9"/>
    <w:rsid w:val="00072B9E"/>
    <w:rsid w:val="00073338"/>
    <w:rsid w:val="00073429"/>
    <w:rsid w:val="00073649"/>
    <w:rsid w:val="00073692"/>
    <w:rsid w:val="00073D24"/>
    <w:rsid w:val="00073D35"/>
    <w:rsid w:val="000740C7"/>
    <w:rsid w:val="00074299"/>
    <w:rsid w:val="00074990"/>
    <w:rsid w:val="0007528F"/>
    <w:rsid w:val="00075D26"/>
    <w:rsid w:val="00075F37"/>
    <w:rsid w:val="00075F7C"/>
    <w:rsid w:val="000760FF"/>
    <w:rsid w:val="000761AE"/>
    <w:rsid w:val="00076386"/>
    <w:rsid w:val="00076978"/>
    <w:rsid w:val="00076FC6"/>
    <w:rsid w:val="00077213"/>
    <w:rsid w:val="000775D1"/>
    <w:rsid w:val="000776CE"/>
    <w:rsid w:val="00077A47"/>
    <w:rsid w:val="00077CA1"/>
    <w:rsid w:val="00080360"/>
    <w:rsid w:val="000804D3"/>
    <w:rsid w:val="000809D3"/>
    <w:rsid w:val="00081B61"/>
    <w:rsid w:val="00081D73"/>
    <w:rsid w:val="0008277A"/>
    <w:rsid w:val="0008313F"/>
    <w:rsid w:val="00083531"/>
    <w:rsid w:val="00083869"/>
    <w:rsid w:val="00083C06"/>
    <w:rsid w:val="00083CA9"/>
    <w:rsid w:val="00083F3D"/>
    <w:rsid w:val="00084046"/>
    <w:rsid w:val="00084374"/>
    <w:rsid w:val="0008494E"/>
    <w:rsid w:val="00084C61"/>
    <w:rsid w:val="00084E3E"/>
    <w:rsid w:val="00085505"/>
    <w:rsid w:val="00085711"/>
    <w:rsid w:val="00085793"/>
    <w:rsid w:val="000858C2"/>
    <w:rsid w:val="00085A48"/>
    <w:rsid w:val="00085B51"/>
    <w:rsid w:val="00085D17"/>
    <w:rsid w:val="00085FA7"/>
    <w:rsid w:val="00086579"/>
    <w:rsid w:val="0008661C"/>
    <w:rsid w:val="000866D6"/>
    <w:rsid w:val="0008674C"/>
    <w:rsid w:val="00086847"/>
    <w:rsid w:val="00086954"/>
    <w:rsid w:val="00086A61"/>
    <w:rsid w:val="00086E9F"/>
    <w:rsid w:val="0008740E"/>
    <w:rsid w:val="00090087"/>
    <w:rsid w:val="000905C9"/>
    <w:rsid w:val="000906CD"/>
    <w:rsid w:val="00090B03"/>
    <w:rsid w:val="00090E61"/>
    <w:rsid w:val="00091255"/>
    <w:rsid w:val="00091831"/>
    <w:rsid w:val="00092762"/>
    <w:rsid w:val="00092A4A"/>
    <w:rsid w:val="00092BA8"/>
    <w:rsid w:val="00092EB8"/>
    <w:rsid w:val="00093055"/>
    <w:rsid w:val="0009364E"/>
    <w:rsid w:val="00094662"/>
    <w:rsid w:val="00094A9C"/>
    <w:rsid w:val="00096084"/>
    <w:rsid w:val="00096585"/>
    <w:rsid w:val="00096666"/>
    <w:rsid w:val="000966D3"/>
    <w:rsid w:val="0009691F"/>
    <w:rsid w:val="000969A0"/>
    <w:rsid w:val="00096D8C"/>
    <w:rsid w:val="00096D9C"/>
    <w:rsid w:val="00096E25"/>
    <w:rsid w:val="00096EDA"/>
    <w:rsid w:val="00097209"/>
    <w:rsid w:val="000978F4"/>
    <w:rsid w:val="000A00D4"/>
    <w:rsid w:val="000A043D"/>
    <w:rsid w:val="000A0491"/>
    <w:rsid w:val="000A0630"/>
    <w:rsid w:val="000A09F3"/>
    <w:rsid w:val="000A0A7F"/>
    <w:rsid w:val="000A0B5D"/>
    <w:rsid w:val="000A0CDB"/>
    <w:rsid w:val="000A101C"/>
    <w:rsid w:val="000A150A"/>
    <w:rsid w:val="000A1562"/>
    <w:rsid w:val="000A15F5"/>
    <w:rsid w:val="000A1835"/>
    <w:rsid w:val="000A1A92"/>
    <w:rsid w:val="000A1C4E"/>
    <w:rsid w:val="000A2515"/>
    <w:rsid w:val="000A2EC7"/>
    <w:rsid w:val="000A3E51"/>
    <w:rsid w:val="000A411D"/>
    <w:rsid w:val="000A4341"/>
    <w:rsid w:val="000A462E"/>
    <w:rsid w:val="000A480A"/>
    <w:rsid w:val="000A4A13"/>
    <w:rsid w:val="000A4B29"/>
    <w:rsid w:val="000A4F76"/>
    <w:rsid w:val="000A55C2"/>
    <w:rsid w:val="000A5E7E"/>
    <w:rsid w:val="000A5EDD"/>
    <w:rsid w:val="000A6103"/>
    <w:rsid w:val="000A6449"/>
    <w:rsid w:val="000A66EA"/>
    <w:rsid w:val="000A68FF"/>
    <w:rsid w:val="000A69A3"/>
    <w:rsid w:val="000A6AF9"/>
    <w:rsid w:val="000A6C3C"/>
    <w:rsid w:val="000A6D88"/>
    <w:rsid w:val="000A702C"/>
    <w:rsid w:val="000A76DA"/>
    <w:rsid w:val="000A786E"/>
    <w:rsid w:val="000A78A3"/>
    <w:rsid w:val="000A7943"/>
    <w:rsid w:val="000A7E28"/>
    <w:rsid w:val="000B01FF"/>
    <w:rsid w:val="000B03AD"/>
    <w:rsid w:val="000B05C9"/>
    <w:rsid w:val="000B0609"/>
    <w:rsid w:val="000B06DF"/>
    <w:rsid w:val="000B0F01"/>
    <w:rsid w:val="000B13AC"/>
    <w:rsid w:val="000B19D6"/>
    <w:rsid w:val="000B1BB4"/>
    <w:rsid w:val="000B2537"/>
    <w:rsid w:val="000B2934"/>
    <w:rsid w:val="000B2BA0"/>
    <w:rsid w:val="000B2BD2"/>
    <w:rsid w:val="000B39AD"/>
    <w:rsid w:val="000B3A25"/>
    <w:rsid w:val="000B3A8C"/>
    <w:rsid w:val="000B3AF0"/>
    <w:rsid w:val="000B4258"/>
    <w:rsid w:val="000B4263"/>
    <w:rsid w:val="000B42AB"/>
    <w:rsid w:val="000B4AE9"/>
    <w:rsid w:val="000B4FDE"/>
    <w:rsid w:val="000B538C"/>
    <w:rsid w:val="000B5AFA"/>
    <w:rsid w:val="000B5FD0"/>
    <w:rsid w:val="000B6473"/>
    <w:rsid w:val="000B64C6"/>
    <w:rsid w:val="000B680A"/>
    <w:rsid w:val="000B6ADF"/>
    <w:rsid w:val="000B6AE7"/>
    <w:rsid w:val="000B7860"/>
    <w:rsid w:val="000B7A89"/>
    <w:rsid w:val="000B7B58"/>
    <w:rsid w:val="000B7DEA"/>
    <w:rsid w:val="000B7FC9"/>
    <w:rsid w:val="000C0503"/>
    <w:rsid w:val="000C07FC"/>
    <w:rsid w:val="000C09ED"/>
    <w:rsid w:val="000C0C9C"/>
    <w:rsid w:val="000C0DA4"/>
    <w:rsid w:val="000C1388"/>
    <w:rsid w:val="000C166C"/>
    <w:rsid w:val="000C193B"/>
    <w:rsid w:val="000C1987"/>
    <w:rsid w:val="000C1ADC"/>
    <w:rsid w:val="000C1B29"/>
    <w:rsid w:val="000C2017"/>
    <w:rsid w:val="000C2118"/>
    <w:rsid w:val="000C23D5"/>
    <w:rsid w:val="000C2664"/>
    <w:rsid w:val="000C2B8E"/>
    <w:rsid w:val="000C3554"/>
    <w:rsid w:val="000C4073"/>
    <w:rsid w:val="000C40FE"/>
    <w:rsid w:val="000C41B3"/>
    <w:rsid w:val="000C4F85"/>
    <w:rsid w:val="000C501B"/>
    <w:rsid w:val="000C50E8"/>
    <w:rsid w:val="000C58DF"/>
    <w:rsid w:val="000C5CF0"/>
    <w:rsid w:val="000C5F4D"/>
    <w:rsid w:val="000C652A"/>
    <w:rsid w:val="000C6685"/>
    <w:rsid w:val="000C66C8"/>
    <w:rsid w:val="000C68CD"/>
    <w:rsid w:val="000C6EC5"/>
    <w:rsid w:val="000C79E8"/>
    <w:rsid w:val="000C7C4B"/>
    <w:rsid w:val="000C7E7A"/>
    <w:rsid w:val="000D0248"/>
    <w:rsid w:val="000D06E6"/>
    <w:rsid w:val="000D0A3D"/>
    <w:rsid w:val="000D0D0C"/>
    <w:rsid w:val="000D10E3"/>
    <w:rsid w:val="000D136B"/>
    <w:rsid w:val="000D1634"/>
    <w:rsid w:val="000D1843"/>
    <w:rsid w:val="000D1916"/>
    <w:rsid w:val="000D1C12"/>
    <w:rsid w:val="000D1D42"/>
    <w:rsid w:val="000D2297"/>
    <w:rsid w:val="000D2BD9"/>
    <w:rsid w:val="000D2FAD"/>
    <w:rsid w:val="000D340F"/>
    <w:rsid w:val="000D38B9"/>
    <w:rsid w:val="000D3A25"/>
    <w:rsid w:val="000D3A99"/>
    <w:rsid w:val="000D3F41"/>
    <w:rsid w:val="000D5323"/>
    <w:rsid w:val="000D56E8"/>
    <w:rsid w:val="000D5A23"/>
    <w:rsid w:val="000D5A73"/>
    <w:rsid w:val="000D5CD3"/>
    <w:rsid w:val="000D5E6F"/>
    <w:rsid w:val="000D60AB"/>
    <w:rsid w:val="000D6168"/>
    <w:rsid w:val="000D61BD"/>
    <w:rsid w:val="000D65B4"/>
    <w:rsid w:val="000D66D3"/>
    <w:rsid w:val="000D675D"/>
    <w:rsid w:val="000D6A9D"/>
    <w:rsid w:val="000D6D72"/>
    <w:rsid w:val="000D6F1C"/>
    <w:rsid w:val="000D70F6"/>
    <w:rsid w:val="000D71B2"/>
    <w:rsid w:val="000D7541"/>
    <w:rsid w:val="000D7C3A"/>
    <w:rsid w:val="000E01D7"/>
    <w:rsid w:val="000E0319"/>
    <w:rsid w:val="000E09D6"/>
    <w:rsid w:val="000E0EA0"/>
    <w:rsid w:val="000E0ED1"/>
    <w:rsid w:val="000E1745"/>
    <w:rsid w:val="000E1797"/>
    <w:rsid w:val="000E1EAC"/>
    <w:rsid w:val="000E2350"/>
    <w:rsid w:val="000E245D"/>
    <w:rsid w:val="000E2E57"/>
    <w:rsid w:val="000E3518"/>
    <w:rsid w:val="000E3899"/>
    <w:rsid w:val="000E3902"/>
    <w:rsid w:val="000E3CD0"/>
    <w:rsid w:val="000E449D"/>
    <w:rsid w:val="000E4C64"/>
    <w:rsid w:val="000E5203"/>
    <w:rsid w:val="000E589B"/>
    <w:rsid w:val="000E5A3A"/>
    <w:rsid w:val="000E6AD7"/>
    <w:rsid w:val="000E6E50"/>
    <w:rsid w:val="000E7934"/>
    <w:rsid w:val="000E7942"/>
    <w:rsid w:val="000E7C01"/>
    <w:rsid w:val="000E7C08"/>
    <w:rsid w:val="000E7C46"/>
    <w:rsid w:val="000E7CD1"/>
    <w:rsid w:val="000F091F"/>
    <w:rsid w:val="000F1F2D"/>
    <w:rsid w:val="000F215B"/>
    <w:rsid w:val="000F2250"/>
    <w:rsid w:val="000F2B2B"/>
    <w:rsid w:val="000F2C08"/>
    <w:rsid w:val="000F2E76"/>
    <w:rsid w:val="000F2E79"/>
    <w:rsid w:val="000F2EED"/>
    <w:rsid w:val="000F33A2"/>
    <w:rsid w:val="000F3622"/>
    <w:rsid w:val="000F3C10"/>
    <w:rsid w:val="000F3C9A"/>
    <w:rsid w:val="000F44DC"/>
    <w:rsid w:val="000F4B9E"/>
    <w:rsid w:val="000F4CF9"/>
    <w:rsid w:val="000F5169"/>
    <w:rsid w:val="000F516F"/>
    <w:rsid w:val="000F547E"/>
    <w:rsid w:val="000F5768"/>
    <w:rsid w:val="000F58F6"/>
    <w:rsid w:val="000F5B6C"/>
    <w:rsid w:val="000F623B"/>
    <w:rsid w:val="000F6707"/>
    <w:rsid w:val="000F68C8"/>
    <w:rsid w:val="000F731E"/>
    <w:rsid w:val="000F774E"/>
    <w:rsid w:val="000F7F83"/>
    <w:rsid w:val="0010063C"/>
    <w:rsid w:val="00100677"/>
    <w:rsid w:val="00100713"/>
    <w:rsid w:val="00100C72"/>
    <w:rsid w:val="00100E37"/>
    <w:rsid w:val="001011DA"/>
    <w:rsid w:val="0010191C"/>
    <w:rsid w:val="00101CA8"/>
    <w:rsid w:val="0010210A"/>
    <w:rsid w:val="0010226A"/>
    <w:rsid w:val="00102751"/>
    <w:rsid w:val="00102976"/>
    <w:rsid w:val="00102C4B"/>
    <w:rsid w:val="00102D80"/>
    <w:rsid w:val="00102DEF"/>
    <w:rsid w:val="0010303D"/>
    <w:rsid w:val="001039E6"/>
    <w:rsid w:val="00103FCF"/>
    <w:rsid w:val="001044DF"/>
    <w:rsid w:val="001045DC"/>
    <w:rsid w:val="0010475A"/>
    <w:rsid w:val="00104C17"/>
    <w:rsid w:val="00104E23"/>
    <w:rsid w:val="001050FA"/>
    <w:rsid w:val="001052FE"/>
    <w:rsid w:val="001053AD"/>
    <w:rsid w:val="001055D3"/>
    <w:rsid w:val="00105682"/>
    <w:rsid w:val="00105846"/>
    <w:rsid w:val="00105850"/>
    <w:rsid w:val="00105857"/>
    <w:rsid w:val="00105B48"/>
    <w:rsid w:val="00105C13"/>
    <w:rsid w:val="00105D71"/>
    <w:rsid w:val="00106107"/>
    <w:rsid w:val="00106192"/>
    <w:rsid w:val="001061B0"/>
    <w:rsid w:val="0010664B"/>
    <w:rsid w:val="0010672A"/>
    <w:rsid w:val="00106DE4"/>
    <w:rsid w:val="001076F7"/>
    <w:rsid w:val="0010795F"/>
    <w:rsid w:val="00107A50"/>
    <w:rsid w:val="00107AAF"/>
    <w:rsid w:val="00107B15"/>
    <w:rsid w:val="00110B2A"/>
    <w:rsid w:val="00111602"/>
    <w:rsid w:val="00111DB8"/>
    <w:rsid w:val="00112705"/>
    <w:rsid w:val="001127D5"/>
    <w:rsid w:val="0011295E"/>
    <w:rsid w:val="00112D57"/>
    <w:rsid w:val="00112F99"/>
    <w:rsid w:val="00113720"/>
    <w:rsid w:val="00113C50"/>
    <w:rsid w:val="00113CE6"/>
    <w:rsid w:val="00113DF9"/>
    <w:rsid w:val="00113FE7"/>
    <w:rsid w:val="00114160"/>
    <w:rsid w:val="00114401"/>
    <w:rsid w:val="00114428"/>
    <w:rsid w:val="0011453C"/>
    <w:rsid w:val="00114856"/>
    <w:rsid w:val="001148A3"/>
    <w:rsid w:val="00114990"/>
    <w:rsid w:val="00114B2F"/>
    <w:rsid w:val="00114E29"/>
    <w:rsid w:val="00114E89"/>
    <w:rsid w:val="00115964"/>
    <w:rsid w:val="00116498"/>
    <w:rsid w:val="00116536"/>
    <w:rsid w:val="001168C0"/>
    <w:rsid w:val="00116ED4"/>
    <w:rsid w:val="0011758B"/>
    <w:rsid w:val="001176CF"/>
    <w:rsid w:val="00117FBE"/>
    <w:rsid w:val="00120685"/>
    <w:rsid w:val="00120742"/>
    <w:rsid w:val="00120C34"/>
    <w:rsid w:val="00120D6E"/>
    <w:rsid w:val="00120DA4"/>
    <w:rsid w:val="00121337"/>
    <w:rsid w:val="00121378"/>
    <w:rsid w:val="00121444"/>
    <w:rsid w:val="00121898"/>
    <w:rsid w:val="00121A2A"/>
    <w:rsid w:val="00121B66"/>
    <w:rsid w:val="00121B6B"/>
    <w:rsid w:val="001223A5"/>
    <w:rsid w:val="0012260E"/>
    <w:rsid w:val="001226D0"/>
    <w:rsid w:val="0012275B"/>
    <w:rsid w:val="0012276A"/>
    <w:rsid w:val="00122A4E"/>
    <w:rsid w:val="001230A0"/>
    <w:rsid w:val="0012341B"/>
    <w:rsid w:val="00123449"/>
    <w:rsid w:val="00124177"/>
    <w:rsid w:val="001241A0"/>
    <w:rsid w:val="001241FC"/>
    <w:rsid w:val="0012482D"/>
    <w:rsid w:val="00124AA3"/>
    <w:rsid w:val="00124C6C"/>
    <w:rsid w:val="0012531E"/>
    <w:rsid w:val="00125420"/>
    <w:rsid w:val="001259F5"/>
    <w:rsid w:val="00125B1F"/>
    <w:rsid w:val="00125C6E"/>
    <w:rsid w:val="00125F85"/>
    <w:rsid w:val="00126DFD"/>
    <w:rsid w:val="00126EB9"/>
    <w:rsid w:val="001277C7"/>
    <w:rsid w:val="00127ACA"/>
    <w:rsid w:val="00127B57"/>
    <w:rsid w:val="00127D6B"/>
    <w:rsid w:val="00130BC4"/>
    <w:rsid w:val="00130D55"/>
    <w:rsid w:val="00131273"/>
    <w:rsid w:val="00131304"/>
    <w:rsid w:val="00131876"/>
    <w:rsid w:val="00131A9A"/>
    <w:rsid w:val="00132016"/>
    <w:rsid w:val="0013219E"/>
    <w:rsid w:val="00132901"/>
    <w:rsid w:val="00132A1F"/>
    <w:rsid w:val="00132BD8"/>
    <w:rsid w:val="00133E51"/>
    <w:rsid w:val="001342A7"/>
    <w:rsid w:val="00134311"/>
    <w:rsid w:val="00134745"/>
    <w:rsid w:val="00134ABE"/>
    <w:rsid w:val="00134FFD"/>
    <w:rsid w:val="001352E5"/>
    <w:rsid w:val="001357BB"/>
    <w:rsid w:val="00135A3E"/>
    <w:rsid w:val="00135B8A"/>
    <w:rsid w:val="00135F5D"/>
    <w:rsid w:val="001363FC"/>
    <w:rsid w:val="00136683"/>
    <w:rsid w:val="00136732"/>
    <w:rsid w:val="001368CA"/>
    <w:rsid w:val="00136D12"/>
    <w:rsid w:val="001371A2"/>
    <w:rsid w:val="001371BC"/>
    <w:rsid w:val="0013725D"/>
    <w:rsid w:val="00137398"/>
    <w:rsid w:val="00137509"/>
    <w:rsid w:val="001376C4"/>
    <w:rsid w:val="001400FF"/>
    <w:rsid w:val="00140728"/>
    <w:rsid w:val="00140B77"/>
    <w:rsid w:val="00140D2F"/>
    <w:rsid w:val="001425C4"/>
    <w:rsid w:val="0014260B"/>
    <w:rsid w:val="00142692"/>
    <w:rsid w:val="00142B80"/>
    <w:rsid w:val="00143B5E"/>
    <w:rsid w:val="00143C7D"/>
    <w:rsid w:val="00143EA6"/>
    <w:rsid w:val="00144160"/>
    <w:rsid w:val="001444C6"/>
    <w:rsid w:val="00144774"/>
    <w:rsid w:val="00144908"/>
    <w:rsid w:val="00144A35"/>
    <w:rsid w:val="00144C49"/>
    <w:rsid w:val="00144D00"/>
    <w:rsid w:val="00144F86"/>
    <w:rsid w:val="001455AF"/>
    <w:rsid w:val="00146163"/>
    <w:rsid w:val="0014625B"/>
    <w:rsid w:val="001462F9"/>
    <w:rsid w:val="0014712B"/>
    <w:rsid w:val="0014730C"/>
    <w:rsid w:val="00150831"/>
    <w:rsid w:val="00150B5C"/>
    <w:rsid w:val="00150CC1"/>
    <w:rsid w:val="00150D02"/>
    <w:rsid w:val="00150DD9"/>
    <w:rsid w:val="001511BA"/>
    <w:rsid w:val="00151617"/>
    <w:rsid w:val="00151BC9"/>
    <w:rsid w:val="00151CE4"/>
    <w:rsid w:val="00151D57"/>
    <w:rsid w:val="0015204C"/>
    <w:rsid w:val="001523C8"/>
    <w:rsid w:val="00152689"/>
    <w:rsid w:val="001526B4"/>
    <w:rsid w:val="00152B96"/>
    <w:rsid w:val="00153985"/>
    <w:rsid w:val="00153C7A"/>
    <w:rsid w:val="00154080"/>
    <w:rsid w:val="0015437B"/>
    <w:rsid w:val="00154B56"/>
    <w:rsid w:val="00154B80"/>
    <w:rsid w:val="00154F26"/>
    <w:rsid w:val="00155009"/>
    <w:rsid w:val="0015510F"/>
    <w:rsid w:val="00155144"/>
    <w:rsid w:val="001555FF"/>
    <w:rsid w:val="00155A69"/>
    <w:rsid w:val="00155ABB"/>
    <w:rsid w:val="00156373"/>
    <w:rsid w:val="001564F8"/>
    <w:rsid w:val="0015653E"/>
    <w:rsid w:val="0015667B"/>
    <w:rsid w:val="0015668F"/>
    <w:rsid w:val="00156DB3"/>
    <w:rsid w:val="00156DDB"/>
    <w:rsid w:val="00160052"/>
    <w:rsid w:val="0016023D"/>
    <w:rsid w:val="00160600"/>
    <w:rsid w:val="001608FB"/>
    <w:rsid w:val="00161E04"/>
    <w:rsid w:val="00161E51"/>
    <w:rsid w:val="00161EFC"/>
    <w:rsid w:val="001623FC"/>
    <w:rsid w:val="00162CC9"/>
    <w:rsid w:val="00162E99"/>
    <w:rsid w:val="00163344"/>
    <w:rsid w:val="00163891"/>
    <w:rsid w:val="00163E9A"/>
    <w:rsid w:val="001640FD"/>
    <w:rsid w:val="0016457A"/>
    <w:rsid w:val="00164BF4"/>
    <w:rsid w:val="00164C3E"/>
    <w:rsid w:val="00164CE5"/>
    <w:rsid w:val="001651C1"/>
    <w:rsid w:val="00165623"/>
    <w:rsid w:val="00165955"/>
    <w:rsid w:val="00166035"/>
    <w:rsid w:val="00166483"/>
    <w:rsid w:val="001664D9"/>
    <w:rsid w:val="001669C3"/>
    <w:rsid w:val="00166FDB"/>
    <w:rsid w:val="00167260"/>
    <w:rsid w:val="0016731B"/>
    <w:rsid w:val="00167469"/>
    <w:rsid w:val="001674F3"/>
    <w:rsid w:val="0016791C"/>
    <w:rsid w:val="001679C6"/>
    <w:rsid w:val="00167B24"/>
    <w:rsid w:val="001708CA"/>
    <w:rsid w:val="00170F96"/>
    <w:rsid w:val="0017130D"/>
    <w:rsid w:val="001714A4"/>
    <w:rsid w:val="00171797"/>
    <w:rsid w:val="00171889"/>
    <w:rsid w:val="00171915"/>
    <w:rsid w:val="00171D56"/>
    <w:rsid w:val="001733BC"/>
    <w:rsid w:val="00173524"/>
    <w:rsid w:val="00173977"/>
    <w:rsid w:val="00173D74"/>
    <w:rsid w:val="001740A4"/>
    <w:rsid w:val="0017436C"/>
    <w:rsid w:val="0017437C"/>
    <w:rsid w:val="0017472E"/>
    <w:rsid w:val="001747E4"/>
    <w:rsid w:val="00174B19"/>
    <w:rsid w:val="00175280"/>
    <w:rsid w:val="001754B3"/>
    <w:rsid w:val="00175A36"/>
    <w:rsid w:val="00175B54"/>
    <w:rsid w:val="001760C8"/>
    <w:rsid w:val="00176352"/>
    <w:rsid w:val="00176847"/>
    <w:rsid w:val="00176889"/>
    <w:rsid w:val="00176BC3"/>
    <w:rsid w:val="00176E7C"/>
    <w:rsid w:val="00177001"/>
    <w:rsid w:val="0017730B"/>
    <w:rsid w:val="00177779"/>
    <w:rsid w:val="00177D48"/>
    <w:rsid w:val="001801A1"/>
    <w:rsid w:val="001804F2"/>
    <w:rsid w:val="001807CC"/>
    <w:rsid w:val="00180A7F"/>
    <w:rsid w:val="00180DD4"/>
    <w:rsid w:val="00181271"/>
    <w:rsid w:val="0018145C"/>
    <w:rsid w:val="001814EA"/>
    <w:rsid w:val="001820CB"/>
    <w:rsid w:val="00182634"/>
    <w:rsid w:val="001826B8"/>
    <w:rsid w:val="00182A69"/>
    <w:rsid w:val="00182D9B"/>
    <w:rsid w:val="001831E9"/>
    <w:rsid w:val="0018345A"/>
    <w:rsid w:val="001836B0"/>
    <w:rsid w:val="0018396A"/>
    <w:rsid w:val="00183FE5"/>
    <w:rsid w:val="001841D1"/>
    <w:rsid w:val="001849C2"/>
    <w:rsid w:val="00185020"/>
    <w:rsid w:val="001856FD"/>
    <w:rsid w:val="0018582E"/>
    <w:rsid w:val="001858DD"/>
    <w:rsid w:val="00185B44"/>
    <w:rsid w:val="00185CF7"/>
    <w:rsid w:val="00186158"/>
    <w:rsid w:val="001863FF"/>
    <w:rsid w:val="00186CBD"/>
    <w:rsid w:val="00186EEB"/>
    <w:rsid w:val="00187272"/>
    <w:rsid w:val="0018789E"/>
    <w:rsid w:val="00187C0D"/>
    <w:rsid w:val="00187C16"/>
    <w:rsid w:val="00187CFB"/>
    <w:rsid w:val="00190559"/>
    <w:rsid w:val="00190C82"/>
    <w:rsid w:val="001910D4"/>
    <w:rsid w:val="001917EF"/>
    <w:rsid w:val="0019188A"/>
    <w:rsid w:val="00191B01"/>
    <w:rsid w:val="00191B5C"/>
    <w:rsid w:val="0019207C"/>
    <w:rsid w:val="00192656"/>
    <w:rsid w:val="00192C30"/>
    <w:rsid w:val="00193218"/>
    <w:rsid w:val="00193278"/>
    <w:rsid w:val="00193309"/>
    <w:rsid w:val="0019386B"/>
    <w:rsid w:val="001938A9"/>
    <w:rsid w:val="00193B4A"/>
    <w:rsid w:val="00194152"/>
    <w:rsid w:val="001941F1"/>
    <w:rsid w:val="0019435B"/>
    <w:rsid w:val="0019459C"/>
    <w:rsid w:val="00194800"/>
    <w:rsid w:val="001949E4"/>
    <w:rsid w:val="00194BD5"/>
    <w:rsid w:val="001956CC"/>
    <w:rsid w:val="00195801"/>
    <w:rsid w:val="00195A06"/>
    <w:rsid w:val="00195BDB"/>
    <w:rsid w:val="00195C62"/>
    <w:rsid w:val="00195FD0"/>
    <w:rsid w:val="00196320"/>
    <w:rsid w:val="00196665"/>
    <w:rsid w:val="00196864"/>
    <w:rsid w:val="00196894"/>
    <w:rsid w:val="00196A10"/>
    <w:rsid w:val="00196C80"/>
    <w:rsid w:val="00196F75"/>
    <w:rsid w:val="00197300"/>
    <w:rsid w:val="00197324"/>
    <w:rsid w:val="001973E4"/>
    <w:rsid w:val="0019741E"/>
    <w:rsid w:val="0019771C"/>
    <w:rsid w:val="00197AD9"/>
    <w:rsid w:val="00197E24"/>
    <w:rsid w:val="001A0608"/>
    <w:rsid w:val="001A06D1"/>
    <w:rsid w:val="001A0856"/>
    <w:rsid w:val="001A0959"/>
    <w:rsid w:val="001A0A68"/>
    <w:rsid w:val="001A0B65"/>
    <w:rsid w:val="001A0F94"/>
    <w:rsid w:val="001A1005"/>
    <w:rsid w:val="001A1288"/>
    <w:rsid w:val="001A22CC"/>
    <w:rsid w:val="001A2645"/>
    <w:rsid w:val="001A2831"/>
    <w:rsid w:val="001A2A65"/>
    <w:rsid w:val="001A33EC"/>
    <w:rsid w:val="001A3593"/>
    <w:rsid w:val="001A386D"/>
    <w:rsid w:val="001A5556"/>
    <w:rsid w:val="001A5BCA"/>
    <w:rsid w:val="001A5C9A"/>
    <w:rsid w:val="001A5D68"/>
    <w:rsid w:val="001A6435"/>
    <w:rsid w:val="001A670C"/>
    <w:rsid w:val="001A67B9"/>
    <w:rsid w:val="001A68D5"/>
    <w:rsid w:val="001A6D31"/>
    <w:rsid w:val="001A70B8"/>
    <w:rsid w:val="001A71EF"/>
    <w:rsid w:val="001A78A1"/>
    <w:rsid w:val="001A7976"/>
    <w:rsid w:val="001A7AD9"/>
    <w:rsid w:val="001A7C0E"/>
    <w:rsid w:val="001A7E12"/>
    <w:rsid w:val="001B001D"/>
    <w:rsid w:val="001B0196"/>
    <w:rsid w:val="001B0AA4"/>
    <w:rsid w:val="001B0AF0"/>
    <w:rsid w:val="001B0F22"/>
    <w:rsid w:val="001B1A57"/>
    <w:rsid w:val="001B1F46"/>
    <w:rsid w:val="001B21AD"/>
    <w:rsid w:val="001B2591"/>
    <w:rsid w:val="001B26D8"/>
    <w:rsid w:val="001B2861"/>
    <w:rsid w:val="001B2949"/>
    <w:rsid w:val="001B2C56"/>
    <w:rsid w:val="001B3019"/>
    <w:rsid w:val="001B3028"/>
    <w:rsid w:val="001B333D"/>
    <w:rsid w:val="001B3705"/>
    <w:rsid w:val="001B38D1"/>
    <w:rsid w:val="001B397E"/>
    <w:rsid w:val="001B3B99"/>
    <w:rsid w:val="001B3C59"/>
    <w:rsid w:val="001B40C8"/>
    <w:rsid w:val="001B470C"/>
    <w:rsid w:val="001B4C3D"/>
    <w:rsid w:val="001B5EE3"/>
    <w:rsid w:val="001B5F21"/>
    <w:rsid w:val="001B6445"/>
    <w:rsid w:val="001B693B"/>
    <w:rsid w:val="001B6AA4"/>
    <w:rsid w:val="001B6B34"/>
    <w:rsid w:val="001B70E0"/>
    <w:rsid w:val="001B7597"/>
    <w:rsid w:val="001B7B3B"/>
    <w:rsid w:val="001B7D7F"/>
    <w:rsid w:val="001B7DAC"/>
    <w:rsid w:val="001C0341"/>
    <w:rsid w:val="001C09D6"/>
    <w:rsid w:val="001C0F0A"/>
    <w:rsid w:val="001C11FB"/>
    <w:rsid w:val="001C1781"/>
    <w:rsid w:val="001C1975"/>
    <w:rsid w:val="001C1F8A"/>
    <w:rsid w:val="001C22EE"/>
    <w:rsid w:val="001C26EE"/>
    <w:rsid w:val="001C2984"/>
    <w:rsid w:val="001C29EC"/>
    <w:rsid w:val="001C2ABE"/>
    <w:rsid w:val="001C2C8C"/>
    <w:rsid w:val="001C2D8F"/>
    <w:rsid w:val="001C2FA2"/>
    <w:rsid w:val="001C3171"/>
    <w:rsid w:val="001C33AB"/>
    <w:rsid w:val="001C36A4"/>
    <w:rsid w:val="001C37CC"/>
    <w:rsid w:val="001C40E4"/>
    <w:rsid w:val="001C425F"/>
    <w:rsid w:val="001C44EA"/>
    <w:rsid w:val="001C4859"/>
    <w:rsid w:val="001C4B3B"/>
    <w:rsid w:val="001C4D1A"/>
    <w:rsid w:val="001C4DC6"/>
    <w:rsid w:val="001C4ED2"/>
    <w:rsid w:val="001C504A"/>
    <w:rsid w:val="001C5135"/>
    <w:rsid w:val="001C537D"/>
    <w:rsid w:val="001C5779"/>
    <w:rsid w:val="001C5970"/>
    <w:rsid w:val="001C5D5F"/>
    <w:rsid w:val="001C5D70"/>
    <w:rsid w:val="001C6127"/>
    <w:rsid w:val="001C64C7"/>
    <w:rsid w:val="001C6688"/>
    <w:rsid w:val="001C67FC"/>
    <w:rsid w:val="001C6849"/>
    <w:rsid w:val="001C714E"/>
    <w:rsid w:val="001C77D1"/>
    <w:rsid w:val="001C7D51"/>
    <w:rsid w:val="001C7F9B"/>
    <w:rsid w:val="001D00C9"/>
    <w:rsid w:val="001D04A4"/>
    <w:rsid w:val="001D0549"/>
    <w:rsid w:val="001D06F6"/>
    <w:rsid w:val="001D0CAD"/>
    <w:rsid w:val="001D0E84"/>
    <w:rsid w:val="001D10B1"/>
    <w:rsid w:val="001D14F6"/>
    <w:rsid w:val="001D19F6"/>
    <w:rsid w:val="001D1A40"/>
    <w:rsid w:val="001D1D4F"/>
    <w:rsid w:val="001D1EA3"/>
    <w:rsid w:val="001D262F"/>
    <w:rsid w:val="001D291D"/>
    <w:rsid w:val="001D2BDB"/>
    <w:rsid w:val="001D3071"/>
    <w:rsid w:val="001D3200"/>
    <w:rsid w:val="001D32F5"/>
    <w:rsid w:val="001D36FD"/>
    <w:rsid w:val="001D3908"/>
    <w:rsid w:val="001D3ACE"/>
    <w:rsid w:val="001D3FA2"/>
    <w:rsid w:val="001D4CF5"/>
    <w:rsid w:val="001D5414"/>
    <w:rsid w:val="001D57F4"/>
    <w:rsid w:val="001D5929"/>
    <w:rsid w:val="001D5C4F"/>
    <w:rsid w:val="001D5CC7"/>
    <w:rsid w:val="001D610D"/>
    <w:rsid w:val="001D6193"/>
    <w:rsid w:val="001D63B7"/>
    <w:rsid w:val="001D63D5"/>
    <w:rsid w:val="001D64DA"/>
    <w:rsid w:val="001D683C"/>
    <w:rsid w:val="001D6A82"/>
    <w:rsid w:val="001D757D"/>
    <w:rsid w:val="001D7DAC"/>
    <w:rsid w:val="001D7DC5"/>
    <w:rsid w:val="001D7FAE"/>
    <w:rsid w:val="001E01BB"/>
    <w:rsid w:val="001E05A1"/>
    <w:rsid w:val="001E08E8"/>
    <w:rsid w:val="001E09E3"/>
    <w:rsid w:val="001E14DA"/>
    <w:rsid w:val="001E161D"/>
    <w:rsid w:val="001E19A8"/>
    <w:rsid w:val="001E1C95"/>
    <w:rsid w:val="001E1D98"/>
    <w:rsid w:val="001E1DFE"/>
    <w:rsid w:val="001E2035"/>
    <w:rsid w:val="001E206F"/>
    <w:rsid w:val="001E20B8"/>
    <w:rsid w:val="001E2110"/>
    <w:rsid w:val="001E21EA"/>
    <w:rsid w:val="001E2797"/>
    <w:rsid w:val="001E2883"/>
    <w:rsid w:val="001E2A33"/>
    <w:rsid w:val="001E2AFC"/>
    <w:rsid w:val="001E2B93"/>
    <w:rsid w:val="001E2D81"/>
    <w:rsid w:val="001E2DD1"/>
    <w:rsid w:val="001E301D"/>
    <w:rsid w:val="001E336F"/>
    <w:rsid w:val="001E3592"/>
    <w:rsid w:val="001E3682"/>
    <w:rsid w:val="001E3701"/>
    <w:rsid w:val="001E3715"/>
    <w:rsid w:val="001E3775"/>
    <w:rsid w:val="001E3B9B"/>
    <w:rsid w:val="001E3C37"/>
    <w:rsid w:val="001E3E60"/>
    <w:rsid w:val="001E4279"/>
    <w:rsid w:val="001E454E"/>
    <w:rsid w:val="001E4929"/>
    <w:rsid w:val="001E4C0E"/>
    <w:rsid w:val="001E508C"/>
    <w:rsid w:val="001E5175"/>
    <w:rsid w:val="001E56D3"/>
    <w:rsid w:val="001E5812"/>
    <w:rsid w:val="001E5881"/>
    <w:rsid w:val="001E5D0C"/>
    <w:rsid w:val="001E5D1E"/>
    <w:rsid w:val="001E5E95"/>
    <w:rsid w:val="001E638D"/>
    <w:rsid w:val="001E65F5"/>
    <w:rsid w:val="001E67C5"/>
    <w:rsid w:val="001E68D3"/>
    <w:rsid w:val="001E6A0A"/>
    <w:rsid w:val="001E6F90"/>
    <w:rsid w:val="001E74B1"/>
    <w:rsid w:val="001E79E1"/>
    <w:rsid w:val="001E7A5C"/>
    <w:rsid w:val="001E7BE1"/>
    <w:rsid w:val="001E7F84"/>
    <w:rsid w:val="001F0058"/>
    <w:rsid w:val="001F0113"/>
    <w:rsid w:val="001F0452"/>
    <w:rsid w:val="001F045C"/>
    <w:rsid w:val="001F0B43"/>
    <w:rsid w:val="001F0D6E"/>
    <w:rsid w:val="001F169F"/>
    <w:rsid w:val="001F1875"/>
    <w:rsid w:val="001F1B1A"/>
    <w:rsid w:val="001F20EA"/>
    <w:rsid w:val="001F2182"/>
    <w:rsid w:val="001F2933"/>
    <w:rsid w:val="001F2B52"/>
    <w:rsid w:val="001F31F8"/>
    <w:rsid w:val="001F3216"/>
    <w:rsid w:val="001F3342"/>
    <w:rsid w:val="001F38B4"/>
    <w:rsid w:val="001F4252"/>
    <w:rsid w:val="001F42E3"/>
    <w:rsid w:val="001F44AA"/>
    <w:rsid w:val="001F4E1C"/>
    <w:rsid w:val="001F4EB3"/>
    <w:rsid w:val="001F5279"/>
    <w:rsid w:val="001F55A4"/>
    <w:rsid w:val="001F594F"/>
    <w:rsid w:val="001F59A5"/>
    <w:rsid w:val="001F6197"/>
    <w:rsid w:val="001F6213"/>
    <w:rsid w:val="001F64F2"/>
    <w:rsid w:val="001F6525"/>
    <w:rsid w:val="001F65FB"/>
    <w:rsid w:val="001F6DCF"/>
    <w:rsid w:val="001F7223"/>
    <w:rsid w:val="001F75FA"/>
    <w:rsid w:val="001F7705"/>
    <w:rsid w:val="001F7AC6"/>
    <w:rsid w:val="001F7C17"/>
    <w:rsid w:val="001F7FDA"/>
    <w:rsid w:val="002003CB"/>
    <w:rsid w:val="00200701"/>
    <w:rsid w:val="00200821"/>
    <w:rsid w:val="00200A74"/>
    <w:rsid w:val="00200E6F"/>
    <w:rsid w:val="0020131E"/>
    <w:rsid w:val="002017FB"/>
    <w:rsid w:val="002018C6"/>
    <w:rsid w:val="0020198F"/>
    <w:rsid w:val="00201EDF"/>
    <w:rsid w:val="0020254F"/>
    <w:rsid w:val="002026C8"/>
    <w:rsid w:val="00202AB6"/>
    <w:rsid w:val="00202E8B"/>
    <w:rsid w:val="00203046"/>
    <w:rsid w:val="00203314"/>
    <w:rsid w:val="00203899"/>
    <w:rsid w:val="00203BC5"/>
    <w:rsid w:val="0020436D"/>
    <w:rsid w:val="002049D4"/>
    <w:rsid w:val="00204ADB"/>
    <w:rsid w:val="002053DA"/>
    <w:rsid w:val="0020545E"/>
    <w:rsid w:val="00205698"/>
    <w:rsid w:val="002056FB"/>
    <w:rsid w:val="00205D08"/>
    <w:rsid w:val="00206B9D"/>
    <w:rsid w:val="00207037"/>
    <w:rsid w:val="00207141"/>
    <w:rsid w:val="0020719A"/>
    <w:rsid w:val="002073A1"/>
    <w:rsid w:val="00207872"/>
    <w:rsid w:val="002079B8"/>
    <w:rsid w:val="002102B8"/>
    <w:rsid w:val="00210696"/>
    <w:rsid w:val="00210CC5"/>
    <w:rsid w:val="0021110F"/>
    <w:rsid w:val="00211482"/>
    <w:rsid w:val="002114E4"/>
    <w:rsid w:val="00211F37"/>
    <w:rsid w:val="002122EE"/>
    <w:rsid w:val="0021260A"/>
    <w:rsid w:val="00212686"/>
    <w:rsid w:val="0021363A"/>
    <w:rsid w:val="0021386B"/>
    <w:rsid w:val="00213DEE"/>
    <w:rsid w:val="00213FDA"/>
    <w:rsid w:val="00214B01"/>
    <w:rsid w:val="00214DC9"/>
    <w:rsid w:val="002154C1"/>
    <w:rsid w:val="00215714"/>
    <w:rsid w:val="00215973"/>
    <w:rsid w:val="00215BA5"/>
    <w:rsid w:val="00215F90"/>
    <w:rsid w:val="00216209"/>
    <w:rsid w:val="002162C2"/>
    <w:rsid w:val="0021706F"/>
    <w:rsid w:val="0021707C"/>
    <w:rsid w:val="0021760A"/>
    <w:rsid w:val="002207BC"/>
    <w:rsid w:val="0022082F"/>
    <w:rsid w:val="00220AC9"/>
    <w:rsid w:val="00220E0E"/>
    <w:rsid w:val="002215A8"/>
    <w:rsid w:val="002216B0"/>
    <w:rsid w:val="00221B03"/>
    <w:rsid w:val="00221D1D"/>
    <w:rsid w:val="00221DCC"/>
    <w:rsid w:val="00221E75"/>
    <w:rsid w:val="00222249"/>
    <w:rsid w:val="002222FC"/>
    <w:rsid w:val="002224C4"/>
    <w:rsid w:val="002226FC"/>
    <w:rsid w:val="0022280B"/>
    <w:rsid w:val="0022299B"/>
    <w:rsid w:val="00222C52"/>
    <w:rsid w:val="00222CF5"/>
    <w:rsid w:val="00222E29"/>
    <w:rsid w:val="00222F14"/>
    <w:rsid w:val="002232AC"/>
    <w:rsid w:val="002234B0"/>
    <w:rsid w:val="002236F7"/>
    <w:rsid w:val="00223905"/>
    <w:rsid w:val="00223D97"/>
    <w:rsid w:val="00223F7D"/>
    <w:rsid w:val="00224054"/>
    <w:rsid w:val="002245A8"/>
    <w:rsid w:val="00224B5A"/>
    <w:rsid w:val="00224E03"/>
    <w:rsid w:val="00224ED3"/>
    <w:rsid w:val="002253F7"/>
    <w:rsid w:val="00225DB5"/>
    <w:rsid w:val="00226485"/>
    <w:rsid w:val="00226D23"/>
    <w:rsid w:val="00226ECF"/>
    <w:rsid w:val="00226ED5"/>
    <w:rsid w:val="00227040"/>
    <w:rsid w:val="00227079"/>
    <w:rsid w:val="00227622"/>
    <w:rsid w:val="00227625"/>
    <w:rsid w:val="00227A9E"/>
    <w:rsid w:val="00227BC6"/>
    <w:rsid w:val="00227EA7"/>
    <w:rsid w:val="00227FE6"/>
    <w:rsid w:val="002302B1"/>
    <w:rsid w:val="00230A14"/>
    <w:rsid w:val="00230A3E"/>
    <w:rsid w:val="0023109E"/>
    <w:rsid w:val="0023141D"/>
    <w:rsid w:val="00231571"/>
    <w:rsid w:val="002316F8"/>
    <w:rsid w:val="002319E8"/>
    <w:rsid w:val="00231C47"/>
    <w:rsid w:val="002321BD"/>
    <w:rsid w:val="002322A7"/>
    <w:rsid w:val="002323C6"/>
    <w:rsid w:val="0023246B"/>
    <w:rsid w:val="002328F4"/>
    <w:rsid w:val="00232C17"/>
    <w:rsid w:val="00232D54"/>
    <w:rsid w:val="00232EEC"/>
    <w:rsid w:val="002334EF"/>
    <w:rsid w:val="00233730"/>
    <w:rsid w:val="002337AC"/>
    <w:rsid w:val="002339CF"/>
    <w:rsid w:val="00233A20"/>
    <w:rsid w:val="00233E43"/>
    <w:rsid w:val="0023412B"/>
    <w:rsid w:val="002345E3"/>
    <w:rsid w:val="00234609"/>
    <w:rsid w:val="00234633"/>
    <w:rsid w:val="0023467D"/>
    <w:rsid w:val="0023471E"/>
    <w:rsid w:val="00234B8E"/>
    <w:rsid w:val="0023525A"/>
    <w:rsid w:val="0023532F"/>
    <w:rsid w:val="002354D3"/>
    <w:rsid w:val="00235654"/>
    <w:rsid w:val="00235AD5"/>
    <w:rsid w:val="00235F04"/>
    <w:rsid w:val="00235FD8"/>
    <w:rsid w:val="002360EF"/>
    <w:rsid w:val="00236554"/>
    <w:rsid w:val="00236E9D"/>
    <w:rsid w:val="00236EB6"/>
    <w:rsid w:val="002372E9"/>
    <w:rsid w:val="0023742D"/>
    <w:rsid w:val="002376F4"/>
    <w:rsid w:val="00237AB6"/>
    <w:rsid w:val="00240020"/>
    <w:rsid w:val="00240A6F"/>
    <w:rsid w:val="00240A79"/>
    <w:rsid w:val="00240A95"/>
    <w:rsid w:val="00240B47"/>
    <w:rsid w:val="00240C18"/>
    <w:rsid w:val="00241162"/>
    <w:rsid w:val="00241202"/>
    <w:rsid w:val="00241441"/>
    <w:rsid w:val="00241B5A"/>
    <w:rsid w:val="00241CA4"/>
    <w:rsid w:val="00241CE7"/>
    <w:rsid w:val="00241DEC"/>
    <w:rsid w:val="0024219E"/>
    <w:rsid w:val="00242442"/>
    <w:rsid w:val="0024261A"/>
    <w:rsid w:val="00242E5F"/>
    <w:rsid w:val="00242E71"/>
    <w:rsid w:val="002435E0"/>
    <w:rsid w:val="002436BC"/>
    <w:rsid w:val="00243791"/>
    <w:rsid w:val="002448D4"/>
    <w:rsid w:val="00244C38"/>
    <w:rsid w:val="00244C7E"/>
    <w:rsid w:val="00244FA9"/>
    <w:rsid w:val="00245449"/>
    <w:rsid w:val="00245492"/>
    <w:rsid w:val="00245551"/>
    <w:rsid w:val="00245D1A"/>
    <w:rsid w:val="00245D93"/>
    <w:rsid w:val="00245DB0"/>
    <w:rsid w:val="002460AE"/>
    <w:rsid w:val="002462F6"/>
    <w:rsid w:val="00246839"/>
    <w:rsid w:val="00247334"/>
    <w:rsid w:val="00247A16"/>
    <w:rsid w:val="00247C50"/>
    <w:rsid w:val="00247CFB"/>
    <w:rsid w:val="00250CA7"/>
    <w:rsid w:val="00250EEC"/>
    <w:rsid w:val="00251097"/>
    <w:rsid w:val="00251E88"/>
    <w:rsid w:val="002529B8"/>
    <w:rsid w:val="00252CEC"/>
    <w:rsid w:val="00252F7A"/>
    <w:rsid w:val="00252FCC"/>
    <w:rsid w:val="00253136"/>
    <w:rsid w:val="00253352"/>
    <w:rsid w:val="002535B0"/>
    <w:rsid w:val="002535E1"/>
    <w:rsid w:val="0025374D"/>
    <w:rsid w:val="00253D55"/>
    <w:rsid w:val="00253E8D"/>
    <w:rsid w:val="002545F3"/>
    <w:rsid w:val="00255A78"/>
    <w:rsid w:val="00255ED0"/>
    <w:rsid w:val="00255FB2"/>
    <w:rsid w:val="0025626D"/>
    <w:rsid w:val="002566A9"/>
    <w:rsid w:val="00257301"/>
    <w:rsid w:val="002575B1"/>
    <w:rsid w:val="0025773A"/>
    <w:rsid w:val="00257A5A"/>
    <w:rsid w:val="00257F00"/>
    <w:rsid w:val="00257F1B"/>
    <w:rsid w:val="00257F2D"/>
    <w:rsid w:val="002603DE"/>
    <w:rsid w:val="00260517"/>
    <w:rsid w:val="00260E82"/>
    <w:rsid w:val="00261165"/>
    <w:rsid w:val="0026118F"/>
    <w:rsid w:val="00261404"/>
    <w:rsid w:val="002618CF"/>
    <w:rsid w:val="00261CD1"/>
    <w:rsid w:val="0026206A"/>
    <w:rsid w:val="00262374"/>
    <w:rsid w:val="00262717"/>
    <w:rsid w:val="00262875"/>
    <w:rsid w:val="00262A32"/>
    <w:rsid w:val="00262B46"/>
    <w:rsid w:val="0026367C"/>
    <w:rsid w:val="002639CC"/>
    <w:rsid w:val="00263AEC"/>
    <w:rsid w:val="00263CB1"/>
    <w:rsid w:val="002650FF"/>
    <w:rsid w:val="0026558F"/>
    <w:rsid w:val="00265A81"/>
    <w:rsid w:val="00265BD4"/>
    <w:rsid w:val="00265BFB"/>
    <w:rsid w:val="00265FD2"/>
    <w:rsid w:val="002661F1"/>
    <w:rsid w:val="0026630C"/>
    <w:rsid w:val="00266461"/>
    <w:rsid w:val="002664FB"/>
    <w:rsid w:val="00266F03"/>
    <w:rsid w:val="002675B2"/>
    <w:rsid w:val="00267978"/>
    <w:rsid w:val="00267C8F"/>
    <w:rsid w:val="00267ED8"/>
    <w:rsid w:val="002704B4"/>
    <w:rsid w:val="00270656"/>
    <w:rsid w:val="00270E0C"/>
    <w:rsid w:val="0027102D"/>
    <w:rsid w:val="0027179C"/>
    <w:rsid w:val="00271CE6"/>
    <w:rsid w:val="00272443"/>
    <w:rsid w:val="002729B1"/>
    <w:rsid w:val="002729D4"/>
    <w:rsid w:val="00273024"/>
    <w:rsid w:val="0027322D"/>
    <w:rsid w:val="00273315"/>
    <w:rsid w:val="00273646"/>
    <w:rsid w:val="00273AE3"/>
    <w:rsid w:val="0027408F"/>
    <w:rsid w:val="002740CE"/>
    <w:rsid w:val="00274238"/>
    <w:rsid w:val="0027495C"/>
    <w:rsid w:val="00274FD2"/>
    <w:rsid w:val="00275419"/>
    <w:rsid w:val="00275447"/>
    <w:rsid w:val="00275AE6"/>
    <w:rsid w:val="00275BE9"/>
    <w:rsid w:val="00275E32"/>
    <w:rsid w:val="00275E61"/>
    <w:rsid w:val="0027647E"/>
    <w:rsid w:val="00276586"/>
    <w:rsid w:val="002766E1"/>
    <w:rsid w:val="00276DD9"/>
    <w:rsid w:val="0027714A"/>
    <w:rsid w:val="002803C9"/>
    <w:rsid w:val="00280E76"/>
    <w:rsid w:val="002818EF"/>
    <w:rsid w:val="00281DC4"/>
    <w:rsid w:val="00281F0A"/>
    <w:rsid w:val="00282106"/>
    <w:rsid w:val="00282642"/>
    <w:rsid w:val="002836F3"/>
    <w:rsid w:val="00283A13"/>
    <w:rsid w:val="00283A80"/>
    <w:rsid w:val="00283F82"/>
    <w:rsid w:val="0028438C"/>
    <w:rsid w:val="002846B0"/>
    <w:rsid w:val="00284A5E"/>
    <w:rsid w:val="00284C59"/>
    <w:rsid w:val="0028541A"/>
    <w:rsid w:val="00285755"/>
    <w:rsid w:val="0028577B"/>
    <w:rsid w:val="00285C65"/>
    <w:rsid w:val="00286360"/>
    <w:rsid w:val="0028646A"/>
    <w:rsid w:val="00286788"/>
    <w:rsid w:val="00286BD7"/>
    <w:rsid w:val="00286C1F"/>
    <w:rsid w:val="00286C54"/>
    <w:rsid w:val="00286DBF"/>
    <w:rsid w:val="00287208"/>
    <w:rsid w:val="00287A36"/>
    <w:rsid w:val="00287B2C"/>
    <w:rsid w:val="00287EDE"/>
    <w:rsid w:val="00287FEE"/>
    <w:rsid w:val="002909EA"/>
    <w:rsid w:val="00290CC0"/>
    <w:rsid w:val="00291642"/>
    <w:rsid w:val="002918EC"/>
    <w:rsid w:val="00291B60"/>
    <w:rsid w:val="00291EBC"/>
    <w:rsid w:val="0029202F"/>
    <w:rsid w:val="0029217B"/>
    <w:rsid w:val="002922AD"/>
    <w:rsid w:val="002929E8"/>
    <w:rsid w:val="00292F30"/>
    <w:rsid w:val="00292FA5"/>
    <w:rsid w:val="0029333D"/>
    <w:rsid w:val="0029352B"/>
    <w:rsid w:val="00293851"/>
    <w:rsid w:val="002939C1"/>
    <w:rsid w:val="00293AC2"/>
    <w:rsid w:val="00294278"/>
    <w:rsid w:val="0029435D"/>
    <w:rsid w:val="00294586"/>
    <w:rsid w:val="0029474A"/>
    <w:rsid w:val="00294915"/>
    <w:rsid w:val="00294EA2"/>
    <w:rsid w:val="00294F50"/>
    <w:rsid w:val="00295A58"/>
    <w:rsid w:val="00295A5F"/>
    <w:rsid w:val="00295C20"/>
    <w:rsid w:val="002961C1"/>
    <w:rsid w:val="002965BD"/>
    <w:rsid w:val="00296D07"/>
    <w:rsid w:val="00297069"/>
    <w:rsid w:val="00297516"/>
    <w:rsid w:val="002975C5"/>
    <w:rsid w:val="0029776A"/>
    <w:rsid w:val="002977D3"/>
    <w:rsid w:val="002A038F"/>
    <w:rsid w:val="002A09A5"/>
    <w:rsid w:val="002A0D19"/>
    <w:rsid w:val="002A1ED7"/>
    <w:rsid w:val="002A1FC4"/>
    <w:rsid w:val="002A24EE"/>
    <w:rsid w:val="002A28EA"/>
    <w:rsid w:val="002A2957"/>
    <w:rsid w:val="002A2BD7"/>
    <w:rsid w:val="002A2FDB"/>
    <w:rsid w:val="002A32AB"/>
    <w:rsid w:val="002A32C6"/>
    <w:rsid w:val="002A32E4"/>
    <w:rsid w:val="002A358D"/>
    <w:rsid w:val="002A373F"/>
    <w:rsid w:val="002A3746"/>
    <w:rsid w:val="002A3AF5"/>
    <w:rsid w:val="002A3C1F"/>
    <w:rsid w:val="002A4105"/>
    <w:rsid w:val="002A4765"/>
    <w:rsid w:val="002A5124"/>
    <w:rsid w:val="002A55C6"/>
    <w:rsid w:val="002A5EF6"/>
    <w:rsid w:val="002A5F04"/>
    <w:rsid w:val="002A6CB4"/>
    <w:rsid w:val="002A6D81"/>
    <w:rsid w:val="002A74A0"/>
    <w:rsid w:val="002A7762"/>
    <w:rsid w:val="002A7802"/>
    <w:rsid w:val="002B01BB"/>
    <w:rsid w:val="002B0502"/>
    <w:rsid w:val="002B06AC"/>
    <w:rsid w:val="002B0B86"/>
    <w:rsid w:val="002B149E"/>
    <w:rsid w:val="002B1520"/>
    <w:rsid w:val="002B1A85"/>
    <w:rsid w:val="002B1ABD"/>
    <w:rsid w:val="002B21C8"/>
    <w:rsid w:val="002B23B8"/>
    <w:rsid w:val="002B2449"/>
    <w:rsid w:val="002B2AB5"/>
    <w:rsid w:val="002B2D2C"/>
    <w:rsid w:val="002B32CA"/>
    <w:rsid w:val="002B3670"/>
    <w:rsid w:val="002B3B26"/>
    <w:rsid w:val="002B3BEA"/>
    <w:rsid w:val="002B3CD3"/>
    <w:rsid w:val="002B40F0"/>
    <w:rsid w:val="002B422C"/>
    <w:rsid w:val="002B4F88"/>
    <w:rsid w:val="002B56BB"/>
    <w:rsid w:val="002B57D1"/>
    <w:rsid w:val="002B5AFC"/>
    <w:rsid w:val="002B63A9"/>
    <w:rsid w:val="002B6BF5"/>
    <w:rsid w:val="002B6FEF"/>
    <w:rsid w:val="002B71F1"/>
    <w:rsid w:val="002B733D"/>
    <w:rsid w:val="002B75B9"/>
    <w:rsid w:val="002B788F"/>
    <w:rsid w:val="002B7989"/>
    <w:rsid w:val="002B79F6"/>
    <w:rsid w:val="002B7A18"/>
    <w:rsid w:val="002B7F1C"/>
    <w:rsid w:val="002C020D"/>
    <w:rsid w:val="002C09FA"/>
    <w:rsid w:val="002C11DD"/>
    <w:rsid w:val="002C127D"/>
    <w:rsid w:val="002C12D5"/>
    <w:rsid w:val="002C1359"/>
    <w:rsid w:val="002C17D8"/>
    <w:rsid w:val="002C1945"/>
    <w:rsid w:val="002C1A12"/>
    <w:rsid w:val="002C216A"/>
    <w:rsid w:val="002C2302"/>
    <w:rsid w:val="002C2AD6"/>
    <w:rsid w:val="002C2DBB"/>
    <w:rsid w:val="002C2EB2"/>
    <w:rsid w:val="002C3116"/>
    <w:rsid w:val="002C31A8"/>
    <w:rsid w:val="002C322F"/>
    <w:rsid w:val="002C3C6D"/>
    <w:rsid w:val="002C3D3E"/>
    <w:rsid w:val="002C3FEF"/>
    <w:rsid w:val="002C4050"/>
    <w:rsid w:val="002C42AD"/>
    <w:rsid w:val="002C476C"/>
    <w:rsid w:val="002C47D8"/>
    <w:rsid w:val="002C49EF"/>
    <w:rsid w:val="002C4A06"/>
    <w:rsid w:val="002C4AD3"/>
    <w:rsid w:val="002C4C71"/>
    <w:rsid w:val="002C4DC3"/>
    <w:rsid w:val="002C4FDF"/>
    <w:rsid w:val="002C5060"/>
    <w:rsid w:val="002C5490"/>
    <w:rsid w:val="002C5593"/>
    <w:rsid w:val="002C55EF"/>
    <w:rsid w:val="002C5740"/>
    <w:rsid w:val="002C58EC"/>
    <w:rsid w:val="002C5914"/>
    <w:rsid w:val="002C5F9D"/>
    <w:rsid w:val="002C6D3C"/>
    <w:rsid w:val="002C6F19"/>
    <w:rsid w:val="002C7092"/>
    <w:rsid w:val="002C71D2"/>
    <w:rsid w:val="002C7BDF"/>
    <w:rsid w:val="002C7C46"/>
    <w:rsid w:val="002C7F45"/>
    <w:rsid w:val="002D012A"/>
    <w:rsid w:val="002D01DF"/>
    <w:rsid w:val="002D063C"/>
    <w:rsid w:val="002D08B2"/>
    <w:rsid w:val="002D0A2C"/>
    <w:rsid w:val="002D14FA"/>
    <w:rsid w:val="002D17D8"/>
    <w:rsid w:val="002D21FB"/>
    <w:rsid w:val="002D26C7"/>
    <w:rsid w:val="002D2704"/>
    <w:rsid w:val="002D2BBD"/>
    <w:rsid w:val="002D2C1E"/>
    <w:rsid w:val="002D2D61"/>
    <w:rsid w:val="002D2F89"/>
    <w:rsid w:val="002D319F"/>
    <w:rsid w:val="002D3212"/>
    <w:rsid w:val="002D348A"/>
    <w:rsid w:val="002D3759"/>
    <w:rsid w:val="002D3934"/>
    <w:rsid w:val="002D46F2"/>
    <w:rsid w:val="002D4DB5"/>
    <w:rsid w:val="002D57F0"/>
    <w:rsid w:val="002D58B4"/>
    <w:rsid w:val="002D5F3F"/>
    <w:rsid w:val="002D606E"/>
    <w:rsid w:val="002D666E"/>
    <w:rsid w:val="002D6791"/>
    <w:rsid w:val="002D6890"/>
    <w:rsid w:val="002D69DC"/>
    <w:rsid w:val="002D6CF5"/>
    <w:rsid w:val="002D75BD"/>
    <w:rsid w:val="002D7652"/>
    <w:rsid w:val="002D7700"/>
    <w:rsid w:val="002D7A8C"/>
    <w:rsid w:val="002E07EF"/>
    <w:rsid w:val="002E0817"/>
    <w:rsid w:val="002E0B10"/>
    <w:rsid w:val="002E0D62"/>
    <w:rsid w:val="002E0FB0"/>
    <w:rsid w:val="002E115A"/>
    <w:rsid w:val="002E297F"/>
    <w:rsid w:val="002E29E7"/>
    <w:rsid w:val="002E2D49"/>
    <w:rsid w:val="002E306D"/>
    <w:rsid w:val="002E3F98"/>
    <w:rsid w:val="002E4025"/>
    <w:rsid w:val="002E404E"/>
    <w:rsid w:val="002E45B3"/>
    <w:rsid w:val="002E46F3"/>
    <w:rsid w:val="002E4AB0"/>
    <w:rsid w:val="002E4F3D"/>
    <w:rsid w:val="002E50B9"/>
    <w:rsid w:val="002E58A9"/>
    <w:rsid w:val="002E59DF"/>
    <w:rsid w:val="002E59EA"/>
    <w:rsid w:val="002E5A47"/>
    <w:rsid w:val="002E5FE5"/>
    <w:rsid w:val="002E635C"/>
    <w:rsid w:val="002E6670"/>
    <w:rsid w:val="002E67BE"/>
    <w:rsid w:val="002E7D05"/>
    <w:rsid w:val="002E7E29"/>
    <w:rsid w:val="002F04F1"/>
    <w:rsid w:val="002F0503"/>
    <w:rsid w:val="002F079A"/>
    <w:rsid w:val="002F07DA"/>
    <w:rsid w:val="002F12CD"/>
    <w:rsid w:val="002F13C5"/>
    <w:rsid w:val="002F148A"/>
    <w:rsid w:val="002F15FA"/>
    <w:rsid w:val="002F1674"/>
    <w:rsid w:val="002F1A32"/>
    <w:rsid w:val="002F1DC3"/>
    <w:rsid w:val="002F1F2F"/>
    <w:rsid w:val="002F27B1"/>
    <w:rsid w:val="002F2A21"/>
    <w:rsid w:val="002F3058"/>
    <w:rsid w:val="002F3271"/>
    <w:rsid w:val="002F3772"/>
    <w:rsid w:val="002F3C91"/>
    <w:rsid w:val="002F4109"/>
    <w:rsid w:val="002F44A2"/>
    <w:rsid w:val="002F4B94"/>
    <w:rsid w:val="002F4FB3"/>
    <w:rsid w:val="002F51CA"/>
    <w:rsid w:val="002F5952"/>
    <w:rsid w:val="002F597F"/>
    <w:rsid w:val="002F645C"/>
    <w:rsid w:val="002F6511"/>
    <w:rsid w:val="002F79AE"/>
    <w:rsid w:val="0030087E"/>
    <w:rsid w:val="00300DC6"/>
    <w:rsid w:val="00300F30"/>
    <w:rsid w:val="00301525"/>
    <w:rsid w:val="00301B0D"/>
    <w:rsid w:val="00301D02"/>
    <w:rsid w:val="00301D67"/>
    <w:rsid w:val="00302002"/>
    <w:rsid w:val="0030291C"/>
    <w:rsid w:val="0030360D"/>
    <w:rsid w:val="00303623"/>
    <w:rsid w:val="0030387C"/>
    <w:rsid w:val="00303923"/>
    <w:rsid w:val="00303AB0"/>
    <w:rsid w:val="00304DE7"/>
    <w:rsid w:val="003058B3"/>
    <w:rsid w:val="00305A75"/>
    <w:rsid w:val="00305C28"/>
    <w:rsid w:val="00305E67"/>
    <w:rsid w:val="00305F22"/>
    <w:rsid w:val="003067B3"/>
    <w:rsid w:val="003068BE"/>
    <w:rsid w:val="00306FE6"/>
    <w:rsid w:val="00306FF7"/>
    <w:rsid w:val="003070B2"/>
    <w:rsid w:val="003070D7"/>
    <w:rsid w:val="0030740B"/>
    <w:rsid w:val="0030771F"/>
    <w:rsid w:val="003077D1"/>
    <w:rsid w:val="00307A72"/>
    <w:rsid w:val="00307E3B"/>
    <w:rsid w:val="0031016C"/>
    <w:rsid w:val="00310383"/>
    <w:rsid w:val="00310596"/>
    <w:rsid w:val="00311529"/>
    <w:rsid w:val="00311C1D"/>
    <w:rsid w:val="003121B7"/>
    <w:rsid w:val="0031274A"/>
    <w:rsid w:val="003130A4"/>
    <w:rsid w:val="0031358A"/>
    <w:rsid w:val="00313961"/>
    <w:rsid w:val="00313A45"/>
    <w:rsid w:val="00313D91"/>
    <w:rsid w:val="00313E1C"/>
    <w:rsid w:val="00313EAC"/>
    <w:rsid w:val="003144ED"/>
    <w:rsid w:val="00314574"/>
    <w:rsid w:val="00314ED0"/>
    <w:rsid w:val="00315026"/>
    <w:rsid w:val="0031526E"/>
    <w:rsid w:val="0031582F"/>
    <w:rsid w:val="00315BB1"/>
    <w:rsid w:val="00315E68"/>
    <w:rsid w:val="00315FB5"/>
    <w:rsid w:val="0031652A"/>
    <w:rsid w:val="003165DA"/>
    <w:rsid w:val="00316937"/>
    <w:rsid w:val="003169A0"/>
    <w:rsid w:val="00316E1C"/>
    <w:rsid w:val="00317049"/>
    <w:rsid w:val="0031750B"/>
    <w:rsid w:val="003177A8"/>
    <w:rsid w:val="003177D1"/>
    <w:rsid w:val="00317801"/>
    <w:rsid w:val="003179AC"/>
    <w:rsid w:val="00317CB8"/>
    <w:rsid w:val="00320296"/>
    <w:rsid w:val="00320757"/>
    <w:rsid w:val="003209B0"/>
    <w:rsid w:val="00320AAB"/>
    <w:rsid w:val="00320AC9"/>
    <w:rsid w:val="00320FF0"/>
    <w:rsid w:val="00321195"/>
    <w:rsid w:val="00321C3E"/>
    <w:rsid w:val="00321C69"/>
    <w:rsid w:val="00321D9A"/>
    <w:rsid w:val="0032206F"/>
    <w:rsid w:val="00322735"/>
    <w:rsid w:val="003228B1"/>
    <w:rsid w:val="00322A9A"/>
    <w:rsid w:val="003234D5"/>
    <w:rsid w:val="00323685"/>
    <w:rsid w:val="00323CE5"/>
    <w:rsid w:val="0032538A"/>
    <w:rsid w:val="00325D74"/>
    <w:rsid w:val="003260C7"/>
    <w:rsid w:val="0032639D"/>
    <w:rsid w:val="0032649C"/>
    <w:rsid w:val="00326A0B"/>
    <w:rsid w:val="00326B12"/>
    <w:rsid w:val="00326D87"/>
    <w:rsid w:val="00326DA2"/>
    <w:rsid w:val="00326E5F"/>
    <w:rsid w:val="003271E2"/>
    <w:rsid w:val="003276B2"/>
    <w:rsid w:val="00327D06"/>
    <w:rsid w:val="00330712"/>
    <w:rsid w:val="0033077E"/>
    <w:rsid w:val="00330949"/>
    <w:rsid w:val="00330A11"/>
    <w:rsid w:val="00330BC9"/>
    <w:rsid w:val="003313F3"/>
    <w:rsid w:val="003314A7"/>
    <w:rsid w:val="00331681"/>
    <w:rsid w:val="00331C6B"/>
    <w:rsid w:val="00332830"/>
    <w:rsid w:val="003328A3"/>
    <w:rsid w:val="00332CF9"/>
    <w:rsid w:val="003332A0"/>
    <w:rsid w:val="003332F6"/>
    <w:rsid w:val="003334AE"/>
    <w:rsid w:val="00333CA2"/>
    <w:rsid w:val="00333E52"/>
    <w:rsid w:val="00333E9F"/>
    <w:rsid w:val="00334180"/>
    <w:rsid w:val="00334341"/>
    <w:rsid w:val="0033439B"/>
    <w:rsid w:val="0033491A"/>
    <w:rsid w:val="00334C5B"/>
    <w:rsid w:val="00334E8A"/>
    <w:rsid w:val="00335075"/>
    <w:rsid w:val="003350BA"/>
    <w:rsid w:val="0033532D"/>
    <w:rsid w:val="00335575"/>
    <w:rsid w:val="00335C07"/>
    <w:rsid w:val="00335D0D"/>
    <w:rsid w:val="00335D24"/>
    <w:rsid w:val="0033600C"/>
    <w:rsid w:val="00336B85"/>
    <w:rsid w:val="00336CAD"/>
    <w:rsid w:val="003372A2"/>
    <w:rsid w:val="003378DD"/>
    <w:rsid w:val="00337905"/>
    <w:rsid w:val="00337B13"/>
    <w:rsid w:val="00337F95"/>
    <w:rsid w:val="003402F9"/>
    <w:rsid w:val="00340FC2"/>
    <w:rsid w:val="003415F8"/>
    <w:rsid w:val="0034180E"/>
    <w:rsid w:val="00341938"/>
    <w:rsid w:val="00341A85"/>
    <w:rsid w:val="00341E28"/>
    <w:rsid w:val="00341E5B"/>
    <w:rsid w:val="00342119"/>
    <w:rsid w:val="00342710"/>
    <w:rsid w:val="003427F3"/>
    <w:rsid w:val="003429EC"/>
    <w:rsid w:val="00342A12"/>
    <w:rsid w:val="00342A39"/>
    <w:rsid w:val="00342EA2"/>
    <w:rsid w:val="00342F90"/>
    <w:rsid w:val="003431EC"/>
    <w:rsid w:val="00343A7E"/>
    <w:rsid w:val="00343BCF"/>
    <w:rsid w:val="00343CE3"/>
    <w:rsid w:val="00343D41"/>
    <w:rsid w:val="00343F4F"/>
    <w:rsid w:val="003446B2"/>
    <w:rsid w:val="0034549C"/>
    <w:rsid w:val="00345560"/>
    <w:rsid w:val="00345983"/>
    <w:rsid w:val="00345AF3"/>
    <w:rsid w:val="003462ED"/>
    <w:rsid w:val="0034697C"/>
    <w:rsid w:val="00346AE1"/>
    <w:rsid w:val="003472EF"/>
    <w:rsid w:val="00347622"/>
    <w:rsid w:val="0034771B"/>
    <w:rsid w:val="00347914"/>
    <w:rsid w:val="00347CD4"/>
    <w:rsid w:val="00347FA3"/>
    <w:rsid w:val="003502BC"/>
    <w:rsid w:val="0035141F"/>
    <w:rsid w:val="003516A6"/>
    <w:rsid w:val="00351788"/>
    <w:rsid w:val="0035221F"/>
    <w:rsid w:val="003526FB"/>
    <w:rsid w:val="003528C0"/>
    <w:rsid w:val="00352D1F"/>
    <w:rsid w:val="0035368E"/>
    <w:rsid w:val="00353BD0"/>
    <w:rsid w:val="00353F9F"/>
    <w:rsid w:val="00354027"/>
    <w:rsid w:val="00354150"/>
    <w:rsid w:val="00354512"/>
    <w:rsid w:val="003545F4"/>
    <w:rsid w:val="00354655"/>
    <w:rsid w:val="00354660"/>
    <w:rsid w:val="00354703"/>
    <w:rsid w:val="0035496F"/>
    <w:rsid w:val="00354E1A"/>
    <w:rsid w:val="00354EDC"/>
    <w:rsid w:val="00354F2B"/>
    <w:rsid w:val="00355E2E"/>
    <w:rsid w:val="00356278"/>
    <w:rsid w:val="003563F9"/>
    <w:rsid w:val="00356466"/>
    <w:rsid w:val="0035684E"/>
    <w:rsid w:val="00356B36"/>
    <w:rsid w:val="00356CA8"/>
    <w:rsid w:val="003571C5"/>
    <w:rsid w:val="003571D6"/>
    <w:rsid w:val="003572AD"/>
    <w:rsid w:val="00357322"/>
    <w:rsid w:val="0035742A"/>
    <w:rsid w:val="00357826"/>
    <w:rsid w:val="003578DF"/>
    <w:rsid w:val="00357900"/>
    <w:rsid w:val="00360FE7"/>
    <w:rsid w:val="00361024"/>
    <w:rsid w:val="003610D2"/>
    <w:rsid w:val="003610DA"/>
    <w:rsid w:val="00361168"/>
    <w:rsid w:val="003614D6"/>
    <w:rsid w:val="0036160C"/>
    <w:rsid w:val="00361632"/>
    <w:rsid w:val="00361741"/>
    <w:rsid w:val="00361963"/>
    <w:rsid w:val="00361A54"/>
    <w:rsid w:val="00361D58"/>
    <w:rsid w:val="003621B8"/>
    <w:rsid w:val="0036220B"/>
    <w:rsid w:val="00362F29"/>
    <w:rsid w:val="00362FDB"/>
    <w:rsid w:val="00363310"/>
    <w:rsid w:val="00363339"/>
    <w:rsid w:val="003634DD"/>
    <w:rsid w:val="00363B2E"/>
    <w:rsid w:val="00363DAF"/>
    <w:rsid w:val="00364374"/>
    <w:rsid w:val="003643C6"/>
    <w:rsid w:val="0036457B"/>
    <w:rsid w:val="00364962"/>
    <w:rsid w:val="00364EDF"/>
    <w:rsid w:val="00365DF6"/>
    <w:rsid w:val="00365E84"/>
    <w:rsid w:val="00366206"/>
    <w:rsid w:val="003664E0"/>
    <w:rsid w:val="0036652A"/>
    <w:rsid w:val="003669BD"/>
    <w:rsid w:val="0036708E"/>
    <w:rsid w:val="003678AD"/>
    <w:rsid w:val="003706C8"/>
    <w:rsid w:val="003707E5"/>
    <w:rsid w:val="003707E9"/>
    <w:rsid w:val="00370875"/>
    <w:rsid w:val="00370B63"/>
    <w:rsid w:val="00370FE0"/>
    <w:rsid w:val="00371602"/>
    <w:rsid w:val="00371B9C"/>
    <w:rsid w:val="003722B3"/>
    <w:rsid w:val="003727F1"/>
    <w:rsid w:val="003728F8"/>
    <w:rsid w:val="00372A91"/>
    <w:rsid w:val="00373833"/>
    <w:rsid w:val="00373910"/>
    <w:rsid w:val="00374664"/>
    <w:rsid w:val="003746D1"/>
    <w:rsid w:val="00374A3D"/>
    <w:rsid w:val="003758A8"/>
    <w:rsid w:val="00376387"/>
    <w:rsid w:val="0037638E"/>
    <w:rsid w:val="0037661D"/>
    <w:rsid w:val="003766B6"/>
    <w:rsid w:val="00376867"/>
    <w:rsid w:val="003768F5"/>
    <w:rsid w:val="0037705E"/>
    <w:rsid w:val="00377763"/>
    <w:rsid w:val="00377773"/>
    <w:rsid w:val="00377B6B"/>
    <w:rsid w:val="00377DF6"/>
    <w:rsid w:val="00380A83"/>
    <w:rsid w:val="0038105A"/>
    <w:rsid w:val="003818C2"/>
    <w:rsid w:val="00381D2A"/>
    <w:rsid w:val="00381FD3"/>
    <w:rsid w:val="00382E00"/>
    <w:rsid w:val="0038356D"/>
    <w:rsid w:val="003836B0"/>
    <w:rsid w:val="003837FD"/>
    <w:rsid w:val="00383E12"/>
    <w:rsid w:val="00383FDB"/>
    <w:rsid w:val="00384231"/>
    <w:rsid w:val="00384532"/>
    <w:rsid w:val="00384AC1"/>
    <w:rsid w:val="00385009"/>
    <w:rsid w:val="003852DC"/>
    <w:rsid w:val="00385912"/>
    <w:rsid w:val="00385AFC"/>
    <w:rsid w:val="00385BB0"/>
    <w:rsid w:val="0038606D"/>
    <w:rsid w:val="003862E1"/>
    <w:rsid w:val="0038648B"/>
    <w:rsid w:val="00386937"/>
    <w:rsid w:val="00386DEE"/>
    <w:rsid w:val="00386EAC"/>
    <w:rsid w:val="00387282"/>
    <w:rsid w:val="00387343"/>
    <w:rsid w:val="00387E7D"/>
    <w:rsid w:val="00390345"/>
    <w:rsid w:val="00390C9D"/>
    <w:rsid w:val="00391137"/>
    <w:rsid w:val="0039190F"/>
    <w:rsid w:val="00391D82"/>
    <w:rsid w:val="003921A5"/>
    <w:rsid w:val="0039243D"/>
    <w:rsid w:val="00392758"/>
    <w:rsid w:val="00392863"/>
    <w:rsid w:val="00392A5A"/>
    <w:rsid w:val="00392C20"/>
    <w:rsid w:val="00393531"/>
    <w:rsid w:val="00393D49"/>
    <w:rsid w:val="003940A3"/>
    <w:rsid w:val="0039435F"/>
    <w:rsid w:val="00394401"/>
    <w:rsid w:val="00394448"/>
    <w:rsid w:val="003944E6"/>
    <w:rsid w:val="00394B29"/>
    <w:rsid w:val="00394BD0"/>
    <w:rsid w:val="00394FE7"/>
    <w:rsid w:val="00395E50"/>
    <w:rsid w:val="00395F3B"/>
    <w:rsid w:val="003960D4"/>
    <w:rsid w:val="003961BE"/>
    <w:rsid w:val="00396430"/>
    <w:rsid w:val="003964B3"/>
    <w:rsid w:val="00396AA1"/>
    <w:rsid w:val="00396F0B"/>
    <w:rsid w:val="00397050"/>
    <w:rsid w:val="003973B5"/>
    <w:rsid w:val="00397985"/>
    <w:rsid w:val="00397C3B"/>
    <w:rsid w:val="00397D17"/>
    <w:rsid w:val="003A0182"/>
    <w:rsid w:val="003A0183"/>
    <w:rsid w:val="003A0526"/>
    <w:rsid w:val="003A05B2"/>
    <w:rsid w:val="003A071D"/>
    <w:rsid w:val="003A1176"/>
    <w:rsid w:val="003A127D"/>
    <w:rsid w:val="003A18A1"/>
    <w:rsid w:val="003A19E1"/>
    <w:rsid w:val="003A1A0F"/>
    <w:rsid w:val="003A1B8E"/>
    <w:rsid w:val="003A1BF8"/>
    <w:rsid w:val="003A25E2"/>
    <w:rsid w:val="003A2782"/>
    <w:rsid w:val="003A27F6"/>
    <w:rsid w:val="003A2E32"/>
    <w:rsid w:val="003A3311"/>
    <w:rsid w:val="003A3AAF"/>
    <w:rsid w:val="003A4230"/>
    <w:rsid w:val="003A4402"/>
    <w:rsid w:val="003A4C36"/>
    <w:rsid w:val="003A4EEE"/>
    <w:rsid w:val="003A56CE"/>
    <w:rsid w:val="003A5DE1"/>
    <w:rsid w:val="003A5E99"/>
    <w:rsid w:val="003A641E"/>
    <w:rsid w:val="003A65E8"/>
    <w:rsid w:val="003A66CC"/>
    <w:rsid w:val="003A6DA9"/>
    <w:rsid w:val="003A72EC"/>
    <w:rsid w:val="003A7C82"/>
    <w:rsid w:val="003B01A6"/>
    <w:rsid w:val="003B0214"/>
    <w:rsid w:val="003B0643"/>
    <w:rsid w:val="003B1D01"/>
    <w:rsid w:val="003B1E3C"/>
    <w:rsid w:val="003B2367"/>
    <w:rsid w:val="003B246B"/>
    <w:rsid w:val="003B309F"/>
    <w:rsid w:val="003B3443"/>
    <w:rsid w:val="003B34ED"/>
    <w:rsid w:val="003B4861"/>
    <w:rsid w:val="003B48F1"/>
    <w:rsid w:val="003B49E8"/>
    <w:rsid w:val="003B51B7"/>
    <w:rsid w:val="003B52FF"/>
    <w:rsid w:val="003B5329"/>
    <w:rsid w:val="003B5722"/>
    <w:rsid w:val="003B5CD7"/>
    <w:rsid w:val="003B66A9"/>
    <w:rsid w:val="003B6761"/>
    <w:rsid w:val="003B68D5"/>
    <w:rsid w:val="003B68E2"/>
    <w:rsid w:val="003B6A64"/>
    <w:rsid w:val="003B7204"/>
    <w:rsid w:val="003B7450"/>
    <w:rsid w:val="003B7BC4"/>
    <w:rsid w:val="003B7F98"/>
    <w:rsid w:val="003C05D0"/>
    <w:rsid w:val="003C071A"/>
    <w:rsid w:val="003C073B"/>
    <w:rsid w:val="003C09E2"/>
    <w:rsid w:val="003C09E6"/>
    <w:rsid w:val="003C1178"/>
    <w:rsid w:val="003C19F6"/>
    <w:rsid w:val="003C1BEB"/>
    <w:rsid w:val="003C26B1"/>
    <w:rsid w:val="003C28BA"/>
    <w:rsid w:val="003C2920"/>
    <w:rsid w:val="003C2F07"/>
    <w:rsid w:val="003C36E8"/>
    <w:rsid w:val="003C3BB1"/>
    <w:rsid w:val="003C45C3"/>
    <w:rsid w:val="003C47AB"/>
    <w:rsid w:val="003C4A20"/>
    <w:rsid w:val="003C4B46"/>
    <w:rsid w:val="003C539D"/>
    <w:rsid w:val="003C6035"/>
    <w:rsid w:val="003C6424"/>
    <w:rsid w:val="003C6655"/>
    <w:rsid w:val="003C66A5"/>
    <w:rsid w:val="003C6BF2"/>
    <w:rsid w:val="003C708F"/>
    <w:rsid w:val="003C7226"/>
    <w:rsid w:val="003C7309"/>
    <w:rsid w:val="003D07E2"/>
    <w:rsid w:val="003D0995"/>
    <w:rsid w:val="003D0B26"/>
    <w:rsid w:val="003D0FA9"/>
    <w:rsid w:val="003D1594"/>
    <w:rsid w:val="003D15B8"/>
    <w:rsid w:val="003D168B"/>
    <w:rsid w:val="003D19A6"/>
    <w:rsid w:val="003D1DC6"/>
    <w:rsid w:val="003D2336"/>
    <w:rsid w:val="003D2638"/>
    <w:rsid w:val="003D286E"/>
    <w:rsid w:val="003D2D3C"/>
    <w:rsid w:val="003D2EFB"/>
    <w:rsid w:val="003D33AD"/>
    <w:rsid w:val="003D3F16"/>
    <w:rsid w:val="003D4052"/>
    <w:rsid w:val="003D413B"/>
    <w:rsid w:val="003D4565"/>
    <w:rsid w:val="003D593A"/>
    <w:rsid w:val="003D5B77"/>
    <w:rsid w:val="003D5DF8"/>
    <w:rsid w:val="003D6257"/>
    <w:rsid w:val="003D6F90"/>
    <w:rsid w:val="003D7BE6"/>
    <w:rsid w:val="003E0009"/>
    <w:rsid w:val="003E0134"/>
    <w:rsid w:val="003E0325"/>
    <w:rsid w:val="003E0614"/>
    <w:rsid w:val="003E081A"/>
    <w:rsid w:val="003E116A"/>
    <w:rsid w:val="003E12A9"/>
    <w:rsid w:val="003E1600"/>
    <w:rsid w:val="003E18E0"/>
    <w:rsid w:val="003E1FAC"/>
    <w:rsid w:val="003E218F"/>
    <w:rsid w:val="003E2E3A"/>
    <w:rsid w:val="003E3203"/>
    <w:rsid w:val="003E329F"/>
    <w:rsid w:val="003E3549"/>
    <w:rsid w:val="003E36EE"/>
    <w:rsid w:val="003E3ECE"/>
    <w:rsid w:val="003E41BD"/>
    <w:rsid w:val="003E460C"/>
    <w:rsid w:val="003E4770"/>
    <w:rsid w:val="003E4D11"/>
    <w:rsid w:val="003E4DD7"/>
    <w:rsid w:val="003E50AF"/>
    <w:rsid w:val="003E50FF"/>
    <w:rsid w:val="003E5868"/>
    <w:rsid w:val="003E5DA3"/>
    <w:rsid w:val="003E5FCB"/>
    <w:rsid w:val="003E5FF3"/>
    <w:rsid w:val="003E610A"/>
    <w:rsid w:val="003E618F"/>
    <w:rsid w:val="003E61B7"/>
    <w:rsid w:val="003E7456"/>
    <w:rsid w:val="003E78E2"/>
    <w:rsid w:val="003F01B5"/>
    <w:rsid w:val="003F0778"/>
    <w:rsid w:val="003F07D1"/>
    <w:rsid w:val="003F0CD3"/>
    <w:rsid w:val="003F0F4B"/>
    <w:rsid w:val="003F1041"/>
    <w:rsid w:val="003F106B"/>
    <w:rsid w:val="003F11B5"/>
    <w:rsid w:val="003F1458"/>
    <w:rsid w:val="003F19B2"/>
    <w:rsid w:val="003F1AA1"/>
    <w:rsid w:val="003F23BF"/>
    <w:rsid w:val="003F27E5"/>
    <w:rsid w:val="003F2E33"/>
    <w:rsid w:val="003F2F4E"/>
    <w:rsid w:val="003F37A4"/>
    <w:rsid w:val="003F3A8F"/>
    <w:rsid w:val="003F4631"/>
    <w:rsid w:val="003F4889"/>
    <w:rsid w:val="003F48BC"/>
    <w:rsid w:val="003F4A77"/>
    <w:rsid w:val="003F57A3"/>
    <w:rsid w:val="003F57B6"/>
    <w:rsid w:val="003F5CD2"/>
    <w:rsid w:val="003F5D88"/>
    <w:rsid w:val="003F6A98"/>
    <w:rsid w:val="003F6EA5"/>
    <w:rsid w:val="003F6EFC"/>
    <w:rsid w:val="003F70A9"/>
    <w:rsid w:val="003F786D"/>
    <w:rsid w:val="003F790C"/>
    <w:rsid w:val="003F7B27"/>
    <w:rsid w:val="003F7D4B"/>
    <w:rsid w:val="003F7F58"/>
    <w:rsid w:val="0040015C"/>
    <w:rsid w:val="004009DB"/>
    <w:rsid w:val="00400DDA"/>
    <w:rsid w:val="00400EB9"/>
    <w:rsid w:val="0040128E"/>
    <w:rsid w:val="0040140C"/>
    <w:rsid w:val="004017B6"/>
    <w:rsid w:val="0040186A"/>
    <w:rsid w:val="00401FF1"/>
    <w:rsid w:val="004021A1"/>
    <w:rsid w:val="00402353"/>
    <w:rsid w:val="00402457"/>
    <w:rsid w:val="0040258A"/>
    <w:rsid w:val="00402930"/>
    <w:rsid w:val="0040326F"/>
    <w:rsid w:val="004037A8"/>
    <w:rsid w:val="004038BC"/>
    <w:rsid w:val="00404040"/>
    <w:rsid w:val="00404A64"/>
    <w:rsid w:val="00404CC1"/>
    <w:rsid w:val="00404D92"/>
    <w:rsid w:val="0040512E"/>
    <w:rsid w:val="00405A59"/>
    <w:rsid w:val="00405AC9"/>
    <w:rsid w:val="00405BEA"/>
    <w:rsid w:val="00405E3D"/>
    <w:rsid w:val="004062C9"/>
    <w:rsid w:val="004063C9"/>
    <w:rsid w:val="0040678D"/>
    <w:rsid w:val="004071C1"/>
    <w:rsid w:val="00407334"/>
    <w:rsid w:val="00407DFF"/>
    <w:rsid w:val="00410168"/>
    <w:rsid w:val="004102C4"/>
    <w:rsid w:val="00410998"/>
    <w:rsid w:val="00410DC0"/>
    <w:rsid w:val="0041101E"/>
    <w:rsid w:val="00411566"/>
    <w:rsid w:val="004118D1"/>
    <w:rsid w:val="0041192A"/>
    <w:rsid w:val="00411C7E"/>
    <w:rsid w:val="0041248F"/>
    <w:rsid w:val="00412995"/>
    <w:rsid w:val="00412A61"/>
    <w:rsid w:val="00412E11"/>
    <w:rsid w:val="0041389E"/>
    <w:rsid w:val="00414819"/>
    <w:rsid w:val="00414B16"/>
    <w:rsid w:val="00414E25"/>
    <w:rsid w:val="00414EC2"/>
    <w:rsid w:val="0041530E"/>
    <w:rsid w:val="0041531E"/>
    <w:rsid w:val="00415335"/>
    <w:rsid w:val="00415370"/>
    <w:rsid w:val="004153E2"/>
    <w:rsid w:val="004157FF"/>
    <w:rsid w:val="00415D0A"/>
    <w:rsid w:val="00417398"/>
    <w:rsid w:val="0041749A"/>
    <w:rsid w:val="0042052C"/>
    <w:rsid w:val="00420665"/>
    <w:rsid w:val="004207EE"/>
    <w:rsid w:val="00420CB1"/>
    <w:rsid w:val="00420EDE"/>
    <w:rsid w:val="004212C8"/>
    <w:rsid w:val="00421380"/>
    <w:rsid w:val="0042141A"/>
    <w:rsid w:val="00421729"/>
    <w:rsid w:val="004217B4"/>
    <w:rsid w:val="00421953"/>
    <w:rsid w:val="00421DCF"/>
    <w:rsid w:val="00421ECE"/>
    <w:rsid w:val="00421F4E"/>
    <w:rsid w:val="00422426"/>
    <w:rsid w:val="00422BC5"/>
    <w:rsid w:val="00422CFA"/>
    <w:rsid w:val="00422DFB"/>
    <w:rsid w:val="00423360"/>
    <w:rsid w:val="00425427"/>
    <w:rsid w:val="00425D3D"/>
    <w:rsid w:val="00426064"/>
    <w:rsid w:val="00426733"/>
    <w:rsid w:val="0042676B"/>
    <w:rsid w:val="00426CA9"/>
    <w:rsid w:val="00426E35"/>
    <w:rsid w:val="0042764A"/>
    <w:rsid w:val="004276DE"/>
    <w:rsid w:val="004278F7"/>
    <w:rsid w:val="00427A57"/>
    <w:rsid w:val="00427B9A"/>
    <w:rsid w:val="00430448"/>
    <w:rsid w:val="004306E6"/>
    <w:rsid w:val="00430DAC"/>
    <w:rsid w:val="00430F0A"/>
    <w:rsid w:val="004313F4"/>
    <w:rsid w:val="0043159A"/>
    <w:rsid w:val="00431948"/>
    <w:rsid w:val="00432106"/>
    <w:rsid w:val="00432565"/>
    <w:rsid w:val="00432C0D"/>
    <w:rsid w:val="00433060"/>
    <w:rsid w:val="004345B1"/>
    <w:rsid w:val="00434716"/>
    <w:rsid w:val="004349B1"/>
    <w:rsid w:val="004349EF"/>
    <w:rsid w:val="00434B01"/>
    <w:rsid w:val="00435A9B"/>
    <w:rsid w:val="00435D5F"/>
    <w:rsid w:val="00436196"/>
    <w:rsid w:val="0043660A"/>
    <w:rsid w:val="004368A1"/>
    <w:rsid w:val="00436934"/>
    <w:rsid w:val="0043742C"/>
    <w:rsid w:val="00437B7A"/>
    <w:rsid w:val="00437CA5"/>
    <w:rsid w:val="00437CD2"/>
    <w:rsid w:val="00437EF8"/>
    <w:rsid w:val="0044008B"/>
    <w:rsid w:val="004405DD"/>
    <w:rsid w:val="004408E5"/>
    <w:rsid w:val="00440C94"/>
    <w:rsid w:val="00441395"/>
    <w:rsid w:val="004417D4"/>
    <w:rsid w:val="004418A1"/>
    <w:rsid w:val="00441AC9"/>
    <w:rsid w:val="00441B71"/>
    <w:rsid w:val="00441F49"/>
    <w:rsid w:val="00442089"/>
    <w:rsid w:val="00442328"/>
    <w:rsid w:val="0044245F"/>
    <w:rsid w:val="00442484"/>
    <w:rsid w:val="00442B71"/>
    <w:rsid w:val="00442EDE"/>
    <w:rsid w:val="004430F5"/>
    <w:rsid w:val="004433AA"/>
    <w:rsid w:val="0044368E"/>
    <w:rsid w:val="004438D4"/>
    <w:rsid w:val="00443CF7"/>
    <w:rsid w:val="00443DF3"/>
    <w:rsid w:val="00444C8D"/>
    <w:rsid w:val="00444CAA"/>
    <w:rsid w:val="00445231"/>
    <w:rsid w:val="00445327"/>
    <w:rsid w:val="004457A9"/>
    <w:rsid w:val="00445AE3"/>
    <w:rsid w:val="004461AF"/>
    <w:rsid w:val="004462EB"/>
    <w:rsid w:val="00446CC0"/>
    <w:rsid w:val="00446E0B"/>
    <w:rsid w:val="004477F5"/>
    <w:rsid w:val="00447C2E"/>
    <w:rsid w:val="00447DB5"/>
    <w:rsid w:val="00447F3E"/>
    <w:rsid w:val="004502D8"/>
    <w:rsid w:val="004503C7"/>
    <w:rsid w:val="0045067F"/>
    <w:rsid w:val="0045069C"/>
    <w:rsid w:val="00450721"/>
    <w:rsid w:val="0045080E"/>
    <w:rsid w:val="00450ADA"/>
    <w:rsid w:val="00450BEE"/>
    <w:rsid w:val="004511D2"/>
    <w:rsid w:val="004512A1"/>
    <w:rsid w:val="004512C7"/>
    <w:rsid w:val="004517F4"/>
    <w:rsid w:val="00451916"/>
    <w:rsid w:val="004524B3"/>
    <w:rsid w:val="0045260F"/>
    <w:rsid w:val="004527A7"/>
    <w:rsid w:val="0045329F"/>
    <w:rsid w:val="004532F5"/>
    <w:rsid w:val="00453900"/>
    <w:rsid w:val="004539A2"/>
    <w:rsid w:val="00453D23"/>
    <w:rsid w:val="00453E96"/>
    <w:rsid w:val="00453F0F"/>
    <w:rsid w:val="00454847"/>
    <w:rsid w:val="00454D1B"/>
    <w:rsid w:val="00454E71"/>
    <w:rsid w:val="00454F67"/>
    <w:rsid w:val="00455033"/>
    <w:rsid w:val="00455BD9"/>
    <w:rsid w:val="00455DF9"/>
    <w:rsid w:val="00456935"/>
    <w:rsid w:val="00456A12"/>
    <w:rsid w:val="00456F29"/>
    <w:rsid w:val="004573E3"/>
    <w:rsid w:val="00460632"/>
    <w:rsid w:val="00460F72"/>
    <w:rsid w:val="004611A2"/>
    <w:rsid w:val="00461477"/>
    <w:rsid w:val="004617C6"/>
    <w:rsid w:val="0046186D"/>
    <w:rsid w:val="00461D68"/>
    <w:rsid w:val="00461E4B"/>
    <w:rsid w:val="00461E77"/>
    <w:rsid w:val="00461F22"/>
    <w:rsid w:val="00461FBD"/>
    <w:rsid w:val="00462266"/>
    <w:rsid w:val="004626B9"/>
    <w:rsid w:val="00462DDD"/>
    <w:rsid w:val="00462E35"/>
    <w:rsid w:val="004630B6"/>
    <w:rsid w:val="004631A9"/>
    <w:rsid w:val="0046344C"/>
    <w:rsid w:val="00463890"/>
    <w:rsid w:val="00463EE1"/>
    <w:rsid w:val="00464293"/>
    <w:rsid w:val="004644B9"/>
    <w:rsid w:val="00464C2A"/>
    <w:rsid w:val="00464EFB"/>
    <w:rsid w:val="00465102"/>
    <w:rsid w:val="004653CE"/>
    <w:rsid w:val="00465551"/>
    <w:rsid w:val="00465558"/>
    <w:rsid w:val="0046564B"/>
    <w:rsid w:val="00465670"/>
    <w:rsid w:val="00465857"/>
    <w:rsid w:val="00465A26"/>
    <w:rsid w:val="004664BD"/>
    <w:rsid w:val="004665AC"/>
    <w:rsid w:val="00467ED0"/>
    <w:rsid w:val="00470156"/>
    <w:rsid w:val="004708BD"/>
    <w:rsid w:val="00470CBF"/>
    <w:rsid w:val="00470FDA"/>
    <w:rsid w:val="00471A6C"/>
    <w:rsid w:val="004724B9"/>
    <w:rsid w:val="004727F6"/>
    <w:rsid w:val="00473729"/>
    <w:rsid w:val="004737CA"/>
    <w:rsid w:val="00473CBC"/>
    <w:rsid w:val="00473D59"/>
    <w:rsid w:val="0047428E"/>
    <w:rsid w:val="004745BC"/>
    <w:rsid w:val="004748B8"/>
    <w:rsid w:val="00475041"/>
    <w:rsid w:val="0047521B"/>
    <w:rsid w:val="00475358"/>
    <w:rsid w:val="004756AA"/>
    <w:rsid w:val="00475EBD"/>
    <w:rsid w:val="004761F0"/>
    <w:rsid w:val="00476442"/>
    <w:rsid w:val="00476658"/>
    <w:rsid w:val="004771E3"/>
    <w:rsid w:val="004772A0"/>
    <w:rsid w:val="004772AE"/>
    <w:rsid w:val="00477347"/>
    <w:rsid w:val="00477384"/>
    <w:rsid w:val="00477D19"/>
    <w:rsid w:val="00477E64"/>
    <w:rsid w:val="00480167"/>
    <w:rsid w:val="00480761"/>
    <w:rsid w:val="00481099"/>
    <w:rsid w:val="004813E6"/>
    <w:rsid w:val="0048142D"/>
    <w:rsid w:val="004816CD"/>
    <w:rsid w:val="00481766"/>
    <w:rsid w:val="004819ED"/>
    <w:rsid w:val="00481F44"/>
    <w:rsid w:val="00482160"/>
    <w:rsid w:val="00482A22"/>
    <w:rsid w:val="00482DDF"/>
    <w:rsid w:val="00482F10"/>
    <w:rsid w:val="00483267"/>
    <w:rsid w:val="004836D4"/>
    <w:rsid w:val="00483C96"/>
    <w:rsid w:val="00483FB0"/>
    <w:rsid w:val="00484E7F"/>
    <w:rsid w:val="00484F40"/>
    <w:rsid w:val="00485030"/>
    <w:rsid w:val="004850B9"/>
    <w:rsid w:val="004850F4"/>
    <w:rsid w:val="004853E1"/>
    <w:rsid w:val="004854A3"/>
    <w:rsid w:val="00485576"/>
    <w:rsid w:val="004855C7"/>
    <w:rsid w:val="004855CE"/>
    <w:rsid w:val="004855E6"/>
    <w:rsid w:val="00485621"/>
    <w:rsid w:val="00485679"/>
    <w:rsid w:val="004857ED"/>
    <w:rsid w:val="00485958"/>
    <w:rsid w:val="00486377"/>
    <w:rsid w:val="00486478"/>
    <w:rsid w:val="00486C39"/>
    <w:rsid w:val="00486FFA"/>
    <w:rsid w:val="00487656"/>
    <w:rsid w:val="00487B24"/>
    <w:rsid w:val="00490408"/>
    <w:rsid w:val="00490675"/>
    <w:rsid w:val="00490827"/>
    <w:rsid w:val="00490837"/>
    <w:rsid w:val="00490D3E"/>
    <w:rsid w:val="00490EE7"/>
    <w:rsid w:val="004915CF"/>
    <w:rsid w:val="004916D1"/>
    <w:rsid w:val="00491A99"/>
    <w:rsid w:val="00492212"/>
    <w:rsid w:val="004927BD"/>
    <w:rsid w:val="00492C6D"/>
    <w:rsid w:val="00492E2C"/>
    <w:rsid w:val="004930EA"/>
    <w:rsid w:val="0049339F"/>
    <w:rsid w:val="00493F11"/>
    <w:rsid w:val="004940D8"/>
    <w:rsid w:val="0049447B"/>
    <w:rsid w:val="004946AC"/>
    <w:rsid w:val="00494968"/>
    <w:rsid w:val="00494ACC"/>
    <w:rsid w:val="00494F70"/>
    <w:rsid w:val="00495191"/>
    <w:rsid w:val="00495346"/>
    <w:rsid w:val="0049555A"/>
    <w:rsid w:val="00495774"/>
    <w:rsid w:val="00495F93"/>
    <w:rsid w:val="0049650A"/>
    <w:rsid w:val="004968D7"/>
    <w:rsid w:val="0049715B"/>
    <w:rsid w:val="004977D8"/>
    <w:rsid w:val="00497CCE"/>
    <w:rsid w:val="004A00A2"/>
    <w:rsid w:val="004A0331"/>
    <w:rsid w:val="004A0412"/>
    <w:rsid w:val="004A06FC"/>
    <w:rsid w:val="004A1054"/>
    <w:rsid w:val="004A1509"/>
    <w:rsid w:val="004A1608"/>
    <w:rsid w:val="004A1E26"/>
    <w:rsid w:val="004A2542"/>
    <w:rsid w:val="004A2939"/>
    <w:rsid w:val="004A2F3F"/>
    <w:rsid w:val="004A31D1"/>
    <w:rsid w:val="004A3300"/>
    <w:rsid w:val="004A35D6"/>
    <w:rsid w:val="004A3C71"/>
    <w:rsid w:val="004A4480"/>
    <w:rsid w:val="004A4BDF"/>
    <w:rsid w:val="004A4E27"/>
    <w:rsid w:val="004A4FC5"/>
    <w:rsid w:val="004A51B7"/>
    <w:rsid w:val="004A5337"/>
    <w:rsid w:val="004A533A"/>
    <w:rsid w:val="004A5443"/>
    <w:rsid w:val="004A56FF"/>
    <w:rsid w:val="004A5B22"/>
    <w:rsid w:val="004A5D1F"/>
    <w:rsid w:val="004A60DD"/>
    <w:rsid w:val="004A754F"/>
    <w:rsid w:val="004A781A"/>
    <w:rsid w:val="004A7B21"/>
    <w:rsid w:val="004A7C7E"/>
    <w:rsid w:val="004B0181"/>
    <w:rsid w:val="004B0450"/>
    <w:rsid w:val="004B0886"/>
    <w:rsid w:val="004B0D29"/>
    <w:rsid w:val="004B0DB6"/>
    <w:rsid w:val="004B1632"/>
    <w:rsid w:val="004B2313"/>
    <w:rsid w:val="004B2490"/>
    <w:rsid w:val="004B2573"/>
    <w:rsid w:val="004B2F00"/>
    <w:rsid w:val="004B2F3C"/>
    <w:rsid w:val="004B31C5"/>
    <w:rsid w:val="004B3AC6"/>
    <w:rsid w:val="004B3BC9"/>
    <w:rsid w:val="004B3DCE"/>
    <w:rsid w:val="004B4768"/>
    <w:rsid w:val="004B5783"/>
    <w:rsid w:val="004B5796"/>
    <w:rsid w:val="004B5FBF"/>
    <w:rsid w:val="004B64F4"/>
    <w:rsid w:val="004B6643"/>
    <w:rsid w:val="004B67EE"/>
    <w:rsid w:val="004B6813"/>
    <w:rsid w:val="004B69E0"/>
    <w:rsid w:val="004B6A05"/>
    <w:rsid w:val="004B6D18"/>
    <w:rsid w:val="004B6D69"/>
    <w:rsid w:val="004B700B"/>
    <w:rsid w:val="004B71F6"/>
    <w:rsid w:val="004B77CA"/>
    <w:rsid w:val="004B7EA9"/>
    <w:rsid w:val="004B7F4D"/>
    <w:rsid w:val="004C026C"/>
    <w:rsid w:val="004C0341"/>
    <w:rsid w:val="004C0400"/>
    <w:rsid w:val="004C07CB"/>
    <w:rsid w:val="004C09B9"/>
    <w:rsid w:val="004C09D5"/>
    <w:rsid w:val="004C0DDF"/>
    <w:rsid w:val="004C0F02"/>
    <w:rsid w:val="004C1370"/>
    <w:rsid w:val="004C1BE1"/>
    <w:rsid w:val="004C1DC3"/>
    <w:rsid w:val="004C1E15"/>
    <w:rsid w:val="004C2CE4"/>
    <w:rsid w:val="004C3109"/>
    <w:rsid w:val="004C34D8"/>
    <w:rsid w:val="004C351D"/>
    <w:rsid w:val="004C3A30"/>
    <w:rsid w:val="004C3B9C"/>
    <w:rsid w:val="004C4344"/>
    <w:rsid w:val="004C4387"/>
    <w:rsid w:val="004C43B5"/>
    <w:rsid w:val="004C4A83"/>
    <w:rsid w:val="004C4AC0"/>
    <w:rsid w:val="004C4C02"/>
    <w:rsid w:val="004C4E59"/>
    <w:rsid w:val="004C4E87"/>
    <w:rsid w:val="004C5710"/>
    <w:rsid w:val="004C63DD"/>
    <w:rsid w:val="004C6465"/>
    <w:rsid w:val="004C65A5"/>
    <w:rsid w:val="004C7728"/>
    <w:rsid w:val="004C7978"/>
    <w:rsid w:val="004C7D4F"/>
    <w:rsid w:val="004D005D"/>
    <w:rsid w:val="004D0171"/>
    <w:rsid w:val="004D027B"/>
    <w:rsid w:val="004D0943"/>
    <w:rsid w:val="004D0C44"/>
    <w:rsid w:val="004D1381"/>
    <w:rsid w:val="004D16D2"/>
    <w:rsid w:val="004D196E"/>
    <w:rsid w:val="004D1A82"/>
    <w:rsid w:val="004D1BE3"/>
    <w:rsid w:val="004D1D50"/>
    <w:rsid w:val="004D1D5C"/>
    <w:rsid w:val="004D1DEA"/>
    <w:rsid w:val="004D206E"/>
    <w:rsid w:val="004D2ABC"/>
    <w:rsid w:val="004D2CE3"/>
    <w:rsid w:val="004D2D7C"/>
    <w:rsid w:val="004D3198"/>
    <w:rsid w:val="004D376D"/>
    <w:rsid w:val="004D37FC"/>
    <w:rsid w:val="004D3F2B"/>
    <w:rsid w:val="004D413E"/>
    <w:rsid w:val="004D4CA1"/>
    <w:rsid w:val="004D4D4B"/>
    <w:rsid w:val="004D4DF8"/>
    <w:rsid w:val="004D52F1"/>
    <w:rsid w:val="004D59A9"/>
    <w:rsid w:val="004D5D73"/>
    <w:rsid w:val="004D60FC"/>
    <w:rsid w:val="004D690D"/>
    <w:rsid w:val="004D6C7E"/>
    <w:rsid w:val="004D787B"/>
    <w:rsid w:val="004D7908"/>
    <w:rsid w:val="004D7968"/>
    <w:rsid w:val="004D7FA9"/>
    <w:rsid w:val="004E022D"/>
    <w:rsid w:val="004E0317"/>
    <w:rsid w:val="004E053D"/>
    <w:rsid w:val="004E0A0B"/>
    <w:rsid w:val="004E0EB3"/>
    <w:rsid w:val="004E1691"/>
    <w:rsid w:val="004E1788"/>
    <w:rsid w:val="004E17DB"/>
    <w:rsid w:val="004E1F80"/>
    <w:rsid w:val="004E2165"/>
    <w:rsid w:val="004E27D5"/>
    <w:rsid w:val="004E2E23"/>
    <w:rsid w:val="004E2E33"/>
    <w:rsid w:val="004E2F09"/>
    <w:rsid w:val="004E3424"/>
    <w:rsid w:val="004E49F1"/>
    <w:rsid w:val="004E5024"/>
    <w:rsid w:val="004E5764"/>
    <w:rsid w:val="004E5DD2"/>
    <w:rsid w:val="004E6467"/>
    <w:rsid w:val="004E66D1"/>
    <w:rsid w:val="004E6DFF"/>
    <w:rsid w:val="004E6FBB"/>
    <w:rsid w:val="004E70C0"/>
    <w:rsid w:val="004F02BC"/>
    <w:rsid w:val="004F1010"/>
    <w:rsid w:val="004F20BD"/>
    <w:rsid w:val="004F21B3"/>
    <w:rsid w:val="004F2238"/>
    <w:rsid w:val="004F2260"/>
    <w:rsid w:val="004F29E7"/>
    <w:rsid w:val="004F2A77"/>
    <w:rsid w:val="004F2B67"/>
    <w:rsid w:val="004F35AC"/>
    <w:rsid w:val="004F3967"/>
    <w:rsid w:val="004F3B70"/>
    <w:rsid w:val="004F419B"/>
    <w:rsid w:val="004F4522"/>
    <w:rsid w:val="004F456B"/>
    <w:rsid w:val="004F4A73"/>
    <w:rsid w:val="004F4CB5"/>
    <w:rsid w:val="004F4E31"/>
    <w:rsid w:val="004F4E86"/>
    <w:rsid w:val="004F4FD1"/>
    <w:rsid w:val="004F5080"/>
    <w:rsid w:val="004F529E"/>
    <w:rsid w:val="004F5447"/>
    <w:rsid w:val="004F57F7"/>
    <w:rsid w:val="004F5BD5"/>
    <w:rsid w:val="004F5E1D"/>
    <w:rsid w:val="004F5FF1"/>
    <w:rsid w:val="004F6036"/>
    <w:rsid w:val="004F6A0C"/>
    <w:rsid w:val="004F6B42"/>
    <w:rsid w:val="004F733E"/>
    <w:rsid w:val="004F77B0"/>
    <w:rsid w:val="004F7832"/>
    <w:rsid w:val="004F78BF"/>
    <w:rsid w:val="004F7909"/>
    <w:rsid w:val="004F7B68"/>
    <w:rsid w:val="004F7EC8"/>
    <w:rsid w:val="004F7F29"/>
    <w:rsid w:val="005000AB"/>
    <w:rsid w:val="0050025B"/>
    <w:rsid w:val="005002F6"/>
    <w:rsid w:val="0050042A"/>
    <w:rsid w:val="00500778"/>
    <w:rsid w:val="005009CD"/>
    <w:rsid w:val="005016BD"/>
    <w:rsid w:val="00501C09"/>
    <w:rsid w:val="00501DB2"/>
    <w:rsid w:val="005022FB"/>
    <w:rsid w:val="005023F9"/>
    <w:rsid w:val="00502511"/>
    <w:rsid w:val="00502DDD"/>
    <w:rsid w:val="00502FEC"/>
    <w:rsid w:val="00503142"/>
    <w:rsid w:val="005043CB"/>
    <w:rsid w:val="00504A9A"/>
    <w:rsid w:val="00505044"/>
    <w:rsid w:val="00505F04"/>
    <w:rsid w:val="0050670F"/>
    <w:rsid w:val="0050708B"/>
    <w:rsid w:val="00507368"/>
    <w:rsid w:val="00507766"/>
    <w:rsid w:val="00507B1B"/>
    <w:rsid w:val="00507EB4"/>
    <w:rsid w:val="00507F1A"/>
    <w:rsid w:val="00507F3B"/>
    <w:rsid w:val="00510616"/>
    <w:rsid w:val="005107FC"/>
    <w:rsid w:val="00510E1C"/>
    <w:rsid w:val="005110E2"/>
    <w:rsid w:val="005111C7"/>
    <w:rsid w:val="00511459"/>
    <w:rsid w:val="005117DE"/>
    <w:rsid w:val="00511A1F"/>
    <w:rsid w:val="00511DBE"/>
    <w:rsid w:val="00511F8D"/>
    <w:rsid w:val="00511FB8"/>
    <w:rsid w:val="00512429"/>
    <w:rsid w:val="00512880"/>
    <w:rsid w:val="00512B63"/>
    <w:rsid w:val="00512E88"/>
    <w:rsid w:val="00512E8A"/>
    <w:rsid w:val="005130C6"/>
    <w:rsid w:val="005130D6"/>
    <w:rsid w:val="0051337E"/>
    <w:rsid w:val="00513990"/>
    <w:rsid w:val="00513B44"/>
    <w:rsid w:val="00514FE0"/>
    <w:rsid w:val="00515161"/>
    <w:rsid w:val="005151CC"/>
    <w:rsid w:val="00515208"/>
    <w:rsid w:val="005159C1"/>
    <w:rsid w:val="00515C1C"/>
    <w:rsid w:val="0051611F"/>
    <w:rsid w:val="00516B21"/>
    <w:rsid w:val="00516CCE"/>
    <w:rsid w:val="005176AD"/>
    <w:rsid w:val="0051799A"/>
    <w:rsid w:val="0052016D"/>
    <w:rsid w:val="0052049A"/>
    <w:rsid w:val="00520685"/>
    <w:rsid w:val="00520BF6"/>
    <w:rsid w:val="00520BF9"/>
    <w:rsid w:val="00520CEE"/>
    <w:rsid w:val="00521244"/>
    <w:rsid w:val="005217D1"/>
    <w:rsid w:val="00521A50"/>
    <w:rsid w:val="00521C36"/>
    <w:rsid w:val="00521CFA"/>
    <w:rsid w:val="00522058"/>
    <w:rsid w:val="005220C2"/>
    <w:rsid w:val="00522399"/>
    <w:rsid w:val="00523224"/>
    <w:rsid w:val="00523A41"/>
    <w:rsid w:val="00523C9A"/>
    <w:rsid w:val="00523F03"/>
    <w:rsid w:val="005249F8"/>
    <w:rsid w:val="0052542C"/>
    <w:rsid w:val="0052591B"/>
    <w:rsid w:val="00525DE1"/>
    <w:rsid w:val="00525DE7"/>
    <w:rsid w:val="00526673"/>
    <w:rsid w:val="0052669A"/>
    <w:rsid w:val="00526BB0"/>
    <w:rsid w:val="00526CEA"/>
    <w:rsid w:val="00526DE7"/>
    <w:rsid w:val="0052742D"/>
    <w:rsid w:val="00527AFB"/>
    <w:rsid w:val="00527F13"/>
    <w:rsid w:val="005305B0"/>
    <w:rsid w:val="0053066D"/>
    <w:rsid w:val="005307BB"/>
    <w:rsid w:val="00530C25"/>
    <w:rsid w:val="00530DC5"/>
    <w:rsid w:val="0053112F"/>
    <w:rsid w:val="00531245"/>
    <w:rsid w:val="00531444"/>
    <w:rsid w:val="005319E3"/>
    <w:rsid w:val="00531A3B"/>
    <w:rsid w:val="00532563"/>
    <w:rsid w:val="0053269A"/>
    <w:rsid w:val="0053286B"/>
    <w:rsid w:val="00532F63"/>
    <w:rsid w:val="00532F6E"/>
    <w:rsid w:val="00533352"/>
    <w:rsid w:val="00533B92"/>
    <w:rsid w:val="00534093"/>
    <w:rsid w:val="0053415E"/>
    <w:rsid w:val="00534D45"/>
    <w:rsid w:val="005350EF"/>
    <w:rsid w:val="005350FD"/>
    <w:rsid w:val="00535608"/>
    <w:rsid w:val="00536239"/>
    <w:rsid w:val="005363B0"/>
    <w:rsid w:val="0053671A"/>
    <w:rsid w:val="0053714F"/>
    <w:rsid w:val="00537243"/>
    <w:rsid w:val="0053786A"/>
    <w:rsid w:val="005402BF"/>
    <w:rsid w:val="0054073A"/>
    <w:rsid w:val="0054077F"/>
    <w:rsid w:val="00540D8D"/>
    <w:rsid w:val="005417CB"/>
    <w:rsid w:val="00541EB9"/>
    <w:rsid w:val="00541F41"/>
    <w:rsid w:val="0054237C"/>
    <w:rsid w:val="00542B0E"/>
    <w:rsid w:val="00542B81"/>
    <w:rsid w:val="00542E1D"/>
    <w:rsid w:val="005432D3"/>
    <w:rsid w:val="005433AA"/>
    <w:rsid w:val="005435A8"/>
    <w:rsid w:val="005435BD"/>
    <w:rsid w:val="0054403C"/>
    <w:rsid w:val="0054441B"/>
    <w:rsid w:val="005449A4"/>
    <w:rsid w:val="005449C5"/>
    <w:rsid w:val="00544D37"/>
    <w:rsid w:val="00545052"/>
    <w:rsid w:val="00545059"/>
    <w:rsid w:val="00545325"/>
    <w:rsid w:val="005459DE"/>
    <w:rsid w:val="00545BC9"/>
    <w:rsid w:val="00545CA3"/>
    <w:rsid w:val="00545DD2"/>
    <w:rsid w:val="00545FAB"/>
    <w:rsid w:val="005460BE"/>
    <w:rsid w:val="00546425"/>
    <w:rsid w:val="00546E00"/>
    <w:rsid w:val="00546FBE"/>
    <w:rsid w:val="00546FFC"/>
    <w:rsid w:val="00547069"/>
    <w:rsid w:val="005470D5"/>
    <w:rsid w:val="005470FB"/>
    <w:rsid w:val="00547AF0"/>
    <w:rsid w:val="00547B01"/>
    <w:rsid w:val="00547C85"/>
    <w:rsid w:val="00547CAD"/>
    <w:rsid w:val="00547DAB"/>
    <w:rsid w:val="00547EFE"/>
    <w:rsid w:val="005500E5"/>
    <w:rsid w:val="005507E8"/>
    <w:rsid w:val="00550994"/>
    <w:rsid w:val="005509CA"/>
    <w:rsid w:val="00550B90"/>
    <w:rsid w:val="00550CA4"/>
    <w:rsid w:val="00550D23"/>
    <w:rsid w:val="0055103A"/>
    <w:rsid w:val="00551584"/>
    <w:rsid w:val="00551995"/>
    <w:rsid w:val="00551997"/>
    <w:rsid w:val="00552A12"/>
    <w:rsid w:val="00552BA0"/>
    <w:rsid w:val="00552BA1"/>
    <w:rsid w:val="0055330B"/>
    <w:rsid w:val="005533D8"/>
    <w:rsid w:val="00553839"/>
    <w:rsid w:val="00553896"/>
    <w:rsid w:val="00553B50"/>
    <w:rsid w:val="005547A8"/>
    <w:rsid w:val="005547FC"/>
    <w:rsid w:val="00554D80"/>
    <w:rsid w:val="00554E55"/>
    <w:rsid w:val="0055500F"/>
    <w:rsid w:val="00555255"/>
    <w:rsid w:val="0055580B"/>
    <w:rsid w:val="00555BBE"/>
    <w:rsid w:val="005560FE"/>
    <w:rsid w:val="005564E8"/>
    <w:rsid w:val="00556B2B"/>
    <w:rsid w:val="00557264"/>
    <w:rsid w:val="00557958"/>
    <w:rsid w:val="00560349"/>
    <w:rsid w:val="005604BA"/>
    <w:rsid w:val="00560AD2"/>
    <w:rsid w:val="00560B80"/>
    <w:rsid w:val="0056110A"/>
    <w:rsid w:val="00561387"/>
    <w:rsid w:val="005618AA"/>
    <w:rsid w:val="005618DB"/>
    <w:rsid w:val="00561A6A"/>
    <w:rsid w:val="00561BB2"/>
    <w:rsid w:val="00561F46"/>
    <w:rsid w:val="00562066"/>
    <w:rsid w:val="00562140"/>
    <w:rsid w:val="005621F7"/>
    <w:rsid w:val="00562399"/>
    <w:rsid w:val="005626B8"/>
    <w:rsid w:val="00562907"/>
    <w:rsid w:val="00562A62"/>
    <w:rsid w:val="00562B1B"/>
    <w:rsid w:val="00562E96"/>
    <w:rsid w:val="00562F44"/>
    <w:rsid w:val="00563071"/>
    <w:rsid w:val="005630BC"/>
    <w:rsid w:val="0056355C"/>
    <w:rsid w:val="0056409A"/>
    <w:rsid w:val="005640A1"/>
    <w:rsid w:val="00564535"/>
    <w:rsid w:val="005646EF"/>
    <w:rsid w:val="00564950"/>
    <w:rsid w:val="005649A3"/>
    <w:rsid w:val="00564A08"/>
    <w:rsid w:val="00564C43"/>
    <w:rsid w:val="00565BFA"/>
    <w:rsid w:val="00565C13"/>
    <w:rsid w:val="00566182"/>
    <w:rsid w:val="00566194"/>
    <w:rsid w:val="00566788"/>
    <w:rsid w:val="00566951"/>
    <w:rsid w:val="00566F8A"/>
    <w:rsid w:val="005670CD"/>
    <w:rsid w:val="0056794F"/>
    <w:rsid w:val="00567AFA"/>
    <w:rsid w:val="00567C62"/>
    <w:rsid w:val="00570679"/>
    <w:rsid w:val="00570A95"/>
    <w:rsid w:val="00570AC3"/>
    <w:rsid w:val="00570ACF"/>
    <w:rsid w:val="00570B60"/>
    <w:rsid w:val="00570CA9"/>
    <w:rsid w:val="00570FE6"/>
    <w:rsid w:val="00571380"/>
    <w:rsid w:val="005715D7"/>
    <w:rsid w:val="00571694"/>
    <w:rsid w:val="00571D51"/>
    <w:rsid w:val="005725BC"/>
    <w:rsid w:val="005726D8"/>
    <w:rsid w:val="00572773"/>
    <w:rsid w:val="00572A67"/>
    <w:rsid w:val="00572AB9"/>
    <w:rsid w:val="00572DBF"/>
    <w:rsid w:val="00572F1F"/>
    <w:rsid w:val="005735DE"/>
    <w:rsid w:val="0057393A"/>
    <w:rsid w:val="0057438A"/>
    <w:rsid w:val="00574663"/>
    <w:rsid w:val="00574CCC"/>
    <w:rsid w:val="00574DA5"/>
    <w:rsid w:val="00574E78"/>
    <w:rsid w:val="00575128"/>
    <w:rsid w:val="005752D3"/>
    <w:rsid w:val="005752E0"/>
    <w:rsid w:val="005756B9"/>
    <w:rsid w:val="005758CC"/>
    <w:rsid w:val="005759EE"/>
    <w:rsid w:val="00575E49"/>
    <w:rsid w:val="00575FAD"/>
    <w:rsid w:val="00576131"/>
    <w:rsid w:val="005761DF"/>
    <w:rsid w:val="00576918"/>
    <w:rsid w:val="00577094"/>
    <w:rsid w:val="005770FD"/>
    <w:rsid w:val="0057722D"/>
    <w:rsid w:val="0057729B"/>
    <w:rsid w:val="005779C0"/>
    <w:rsid w:val="00577D5D"/>
    <w:rsid w:val="00580181"/>
    <w:rsid w:val="00580860"/>
    <w:rsid w:val="0058091B"/>
    <w:rsid w:val="0058092C"/>
    <w:rsid w:val="00580BA6"/>
    <w:rsid w:val="00580C93"/>
    <w:rsid w:val="00580CF1"/>
    <w:rsid w:val="00580D86"/>
    <w:rsid w:val="00581992"/>
    <w:rsid w:val="00581C97"/>
    <w:rsid w:val="005825E1"/>
    <w:rsid w:val="00582953"/>
    <w:rsid w:val="00582DFB"/>
    <w:rsid w:val="00583214"/>
    <w:rsid w:val="005836B1"/>
    <w:rsid w:val="005837B6"/>
    <w:rsid w:val="00584493"/>
    <w:rsid w:val="0058462E"/>
    <w:rsid w:val="00584FD1"/>
    <w:rsid w:val="005850FC"/>
    <w:rsid w:val="00585786"/>
    <w:rsid w:val="00585C2A"/>
    <w:rsid w:val="00585F8A"/>
    <w:rsid w:val="00586B81"/>
    <w:rsid w:val="00586ED2"/>
    <w:rsid w:val="00587375"/>
    <w:rsid w:val="00587575"/>
    <w:rsid w:val="00587A81"/>
    <w:rsid w:val="00587AD0"/>
    <w:rsid w:val="0059031E"/>
    <w:rsid w:val="00590401"/>
    <w:rsid w:val="005907DB"/>
    <w:rsid w:val="00590ADE"/>
    <w:rsid w:val="00590C39"/>
    <w:rsid w:val="00590C86"/>
    <w:rsid w:val="00590D29"/>
    <w:rsid w:val="0059103E"/>
    <w:rsid w:val="005910D8"/>
    <w:rsid w:val="0059115B"/>
    <w:rsid w:val="005912E8"/>
    <w:rsid w:val="005912ED"/>
    <w:rsid w:val="0059132B"/>
    <w:rsid w:val="0059157A"/>
    <w:rsid w:val="00591A25"/>
    <w:rsid w:val="00591AFC"/>
    <w:rsid w:val="00591C41"/>
    <w:rsid w:val="00591D45"/>
    <w:rsid w:val="00591EF2"/>
    <w:rsid w:val="00592025"/>
    <w:rsid w:val="005927A4"/>
    <w:rsid w:val="00592CC7"/>
    <w:rsid w:val="00593024"/>
    <w:rsid w:val="0059325D"/>
    <w:rsid w:val="005932CB"/>
    <w:rsid w:val="0059342D"/>
    <w:rsid w:val="00593455"/>
    <w:rsid w:val="005934ED"/>
    <w:rsid w:val="00593BF2"/>
    <w:rsid w:val="00593FE6"/>
    <w:rsid w:val="00594142"/>
    <w:rsid w:val="00594495"/>
    <w:rsid w:val="005944E0"/>
    <w:rsid w:val="00594702"/>
    <w:rsid w:val="005949C7"/>
    <w:rsid w:val="00594FB5"/>
    <w:rsid w:val="005951C1"/>
    <w:rsid w:val="00596D85"/>
    <w:rsid w:val="00596E77"/>
    <w:rsid w:val="00596EC1"/>
    <w:rsid w:val="00597009"/>
    <w:rsid w:val="00597622"/>
    <w:rsid w:val="0059779E"/>
    <w:rsid w:val="0059797D"/>
    <w:rsid w:val="00597A3D"/>
    <w:rsid w:val="00597DBF"/>
    <w:rsid w:val="00597F16"/>
    <w:rsid w:val="00597FD5"/>
    <w:rsid w:val="005A01C4"/>
    <w:rsid w:val="005A044C"/>
    <w:rsid w:val="005A0465"/>
    <w:rsid w:val="005A170A"/>
    <w:rsid w:val="005A173B"/>
    <w:rsid w:val="005A17D7"/>
    <w:rsid w:val="005A17EA"/>
    <w:rsid w:val="005A1CDC"/>
    <w:rsid w:val="005A1DE1"/>
    <w:rsid w:val="005A20D4"/>
    <w:rsid w:val="005A22BF"/>
    <w:rsid w:val="005A23D4"/>
    <w:rsid w:val="005A23F9"/>
    <w:rsid w:val="005A2C5F"/>
    <w:rsid w:val="005A2CDD"/>
    <w:rsid w:val="005A2E9F"/>
    <w:rsid w:val="005A2F85"/>
    <w:rsid w:val="005A33BF"/>
    <w:rsid w:val="005A3E75"/>
    <w:rsid w:val="005A4726"/>
    <w:rsid w:val="005A4EB1"/>
    <w:rsid w:val="005A5D7D"/>
    <w:rsid w:val="005A5ED9"/>
    <w:rsid w:val="005A64CA"/>
    <w:rsid w:val="005A6AD7"/>
    <w:rsid w:val="005A6C7B"/>
    <w:rsid w:val="005A6FAC"/>
    <w:rsid w:val="005A78AF"/>
    <w:rsid w:val="005A7A0C"/>
    <w:rsid w:val="005A7B30"/>
    <w:rsid w:val="005B0725"/>
    <w:rsid w:val="005B07AC"/>
    <w:rsid w:val="005B07CE"/>
    <w:rsid w:val="005B11F4"/>
    <w:rsid w:val="005B17A5"/>
    <w:rsid w:val="005B196D"/>
    <w:rsid w:val="005B1B6D"/>
    <w:rsid w:val="005B287C"/>
    <w:rsid w:val="005B298B"/>
    <w:rsid w:val="005B2EB5"/>
    <w:rsid w:val="005B3670"/>
    <w:rsid w:val="005B3793"/>
    <w:rsid w:val="005B3A61"/>
    <w:rsid w:val="005B3C6C"/>
    <w:rsid w:val="005B4621"/>
    <w:rsid w:val="005B4642"/>
    <w:rsid w:val="005B4697"/>
    <w:rsid w:val="005B4A36"/>
    <w:rsid w:val="005B4AFC"/>
    <w:rsid w:val="005B4DE2"/>
    <w:rsid w:val="005B5016"/>
    <w:rsid w:val="005B50E2"/>
    <w:rsid w:val="005B51CB"/>
    <w:rsid w:val="005B5537"/>
    <w:rsid w:val="005B566A"/>
    <w:rsid w:val="005B6781"/>
    <w:rsid w:val="005B7061"/>
    <w:rsid w:val="005B7D22"/>
    <w:rsid w:val="005C06F8"/>
    <w:rsid w:val="005C0850"/>
    <w:rsid w:val="005C0919"/>
    <w:rsid w:val="005C0A0A"/>
    <w:rsid w:val="005C0E34"/>
    <w:rsid w:val="005C11A4"/>
    <w:rsid w:val="005C1370"/>
    <w:rsid w:val="005C1518"/>
    <w:rsid w:val="005C2655"/>
    <w:rsid w:val="005C2830"/>
    <w:rsid w:val="005C37CB"/>
    <w:rsid w:val="005C398B"/>
    <w:rsid w:val="005C3992"/>
    <w:rsid w:val="005C3A92"/>
    <w:rsid w:val="005C4447"/>
    <w:rsid w:val="005C49AD"/>
    <w:rsid w:val="005C4A7A"/>
    <w:rsid w:val="005C4B8D"/>
    <w:rsid w:val="005C55F2"/>
    <w:rsid w:val="005C59BD"/>
    <w:rsid w:val="005C5D3C"/>
    <w:rsid w:val="005C6264"/>
    <w:rsid w:val="005C6AE9"/>
    <w:rsid w:val="005C6C96"/>
    <w:rsid w:val="005C6D73"/>
    <w:rsid w:val="005C7733"/>
    <w:rsid w:val="005D0173"/>
    <w:rsid w:val="005D0440"/>
    <w:rsid w:val="005D0845"/>
    <w:rsid w:val="005D0BC6"/>
    <w:rsid w:val="005D0DF5"/>
    <w:rsid w:val="005D0F13"/>
    <w:rsid w:val="005D112C"/>
    <w:rsid w:val="005D165D"/>
    <w:rsid w:val="005D16C2"/>
    <w:rsid w:val="005D1E40"/>
    <w:rsid w:val="005D1E70"/>
    <w:rsid w:val="005D2047"/>
    <w:rsid w:val="005D233A"/>
    <w:rsid w:val="005D24CE"/>
    <w:rsid w:val="005D250D"/>
    <w:rsid w:val="005D2779"/>
    <w:rsid w:val="005D286C"/>
    <w:rsid w:val="005D2B5C"/>
    <w:rsid w:val="005D2BEB"/>
    <w:rsid w:val="005D2D25"/>
    <w:rsid w:val="005D2DE2"/>
    <w:rsid w:val="005D2EB5"/>
    <w:rsid w:val="005D2FAE"/>
    <w:rsid w:val="005D39CF"/>
    <w:rsid w:val="005D39EA"/>
    <w:rsid w:val="005D3DC1"/>
    <w:rsid w:val="005D3E8D"/>
    <w:rsid w:val="005D418A"/>
    <w:rsid w:val="005D4255"/>
    <w:rsid w:val="005D4991"/>
    <w:rsid w:val="005D5868"/>
    <w:rsid w:val="005D58D0"/>
    <w:rsid w:val="005D5CB2"/>
    <w:rsid w:val="005D5F34"/>
    <w:rsid w:val="005D6830"/>
    <w:rsid w:val="005D6A0E"/>
    <w:rsid w:val="005D6A3D"/>
    <w:rsid w:val="005D73D5"/>
    <w:rsid w:val="005D770C"/>
    <w:rsid w:val="005D7738"/>
    <w:rsid w:val="005D78BC"/>
    <w:rsid w:val="005D7B38"/>
    <w:rsid w:val="005E092B"/>
    <w:rsid w:val="005E0DC3"/>
    <w:rsid w:val="005E1513"/>
    <w:rsid w:val="005E1C66"/>
    <w:rsid w:val="005E361B"/>
    <w:rsid w:val="005E3CD7"/>
    <w:rsid w:val="005E3F68"/>
    <w:rsid w:val="005E40DC"/>
    <w:rsid w:val="005E41A2"/>
    <w:rsid w:val="005E44F4"/>
    <w:rsid w:val="005E47FF"/>
    <w:rsid w:val="005E48E6"/>
    <w:rsid w:val="005E5116"/>
    <w:rsid w:val="005E585A"/>
    <w:rsid w:val="005E5D09"/>
    <w:rsid w:val="005E5D38"/>
    <w:rsid w:val="005E634E"/>
    <w:rsid w:val="005E63EF"/>
    <w:rsid w:val="005E6A5E"/>
    <w:rsid w:val="005E6F2C"/>
    <w:rsid w:val="005E6F90"/>
    <w:rsid w:val="005E7487"/>
    <w:rsid w:val="005E7522"/>
    <w:rsid w:val="005E754D"/>
    <w:rsid w:val="005E794F"/>
    <w:rsid w:val="005E7A8A"/>
    <w:rsid w:val="005E7BB8"/>
    <w:rsid w:val="005E7DAF"/>
    <w:rsid w:val="005F0AB4"/>
    <w:rsid w:val="005F0BD5"/>
    <w:rsid w:val="005F0C67"/>
    <w:rsid w:val="005F1493"/>
    <w:rsid w:val="005F25DB"/>
    <w:rsid w:val="005F385A"/>
    <w:rsid w:val="005F3892"/>
    <w:rsid w:val="005F38E1"/>
    <w:rsid w:val="005F3C65"/>
    <w:rsid w:val="005F4038"/>
    <w:rsid w:val="005F4253"/>
    <w:rsid w:val="005F471B"/>
    <w:rsid w:val="005F4B33"/>
    <w:rsid w:val="005F5482"/>
    <w:rsid w:val="005F5A99"/>
    <w:rsid w:val="005F5ECB"/>
    <w:rsid w:val="005F5F13"/>
    <w:rsid w:val="005F6146"/>
    <w:rsid w:val="005F6466"/>
    <w:rsid w:val="005F733C"/>
    <w:rsid w:val="00600F3F"/>
    <w:rsid w:val="0060185F"/>
    <w:rsid w:val="0060190A"/>
    <w:rsid w:val="00602068"/>
    <w:rsid w:val="006021DE"/>
    <w:rsid w:val="00602546"/>
    <w:rsid w:val="00602771"/>
    <w:rsid w:val="00602AD4"/>
    <w:rsid w:val="00602CA3"/>
    <w:rsid w:val="00602DCF"/>
    <w:rsid w:val="00602E7B"/>
    <w:rsid w:val="00603579"/>
    <w:rsid w:val="00603A50"/>
    <w:rsid w:val="00603E53"/>
    <w:rsid w:val="00604B5C"/>
    <w:rsid w:val="00604CAD"/>
    <w:rsid w:val="00604F3B"/>
    <w:rsid w:val="006050B7"/>
    <w:rsid w:val="00605284"/>
    <w:rsid w:val="006058C3"/>
    <w:rsid w:val="00605C70"/>
    <w:rsid w:val="00605CC0"/>
    <w:rsid w:val="006063DD"/>
    <w:rsid w:val="00606BF9"/>
    <w:rsid w:val="00606E46"/>
    <w:rsid w:val="00607476"/>
    <w:rsid w:val="00607785"/>
    <w:rsid w:val="00607A27"/>
    <w:rsid w:val="00610578"/>
    <w:rsid w:val="00610914"/>
    <w:rsid w:val="00610C85"/>
    <w:rsid w:val="00610EE9"/>
    <w:rsid w:val="00610F06"/>
    <w:rsid w:val="006110C0"/>
    <w:rsid w:val="00611675"/>
    <w:rsid w:val="00611A84"/>
    <w:rsid w:val="006126A5"/>
    <w:rsid w:val="00612879"/>
    <w:rsid w:val="00612C77"/>
    <w:rsid w:val="00613062"/>
    <w:rsid w:val="006135A9"/>
    <w:rsid w:val="00613951"/>
    <w:rsid w:val="00614656"/>
    <w:rsid w:val="00614C3E"/>
    <w:rsid w:val="00614F5C"/>
    <w:rsid w:val="006153A0"/>
    <w:rsid w:val="00615683"/>
    <w:rsid w:val="00615C3E"/>
    <w:rsid w:val="00616086"/>
    <w:rsid w:val="006160A7"/>
    <w:rsid w:val="006167F9"/>
    <w:rsid w:val="00616D31"/>
    <w:rsid w:val="00616D57"/>
    <w:rsid w:val="00617333"/>
    <w:rsid w:val="00617920"/>
    <w:rsid w:val="00617A52"/>
    <w:rsid w:val="00617CD1"/>
    <w:rsid w:val="00617CE7"/>
    <w:rsid w:val="00620618"/>
    <w:rsid w:val="006208CB"/>
    <w:rsid w:val="00620C81"/>
    <w:rsid w:val="00620E9A"/>
    <w:rsid w:val="00620EF8"/>
    <w:rsid w:val="00620F95"/>
    <w:rsid w:val="006210DC"/>
    <w:rsid w:val="00621264"/>
    <w:rsid w:val="00621564"/>
    <w:rsid w:val="00621D57"/>
    <w:rsid w:val="00621EC4"/>
    <w:rsid w:val="006229F5"/>
    <w:rsid w:val="00622AFD"/>
    <w:rsid w:val="00622BC7"/>
    <w:rsid w:val="00622E3A"/>
    <w:rsid w:val="0062391E"/>
    <w:rsid w:val="00624091"/>
    <w:rsid w:val="0062484A"/>
    <w:rsid w:val="00624869"/>
    <w:rsid w:val="00624986"/>
    <w:rsid w:val="00625390"/>
    <w:rsid w:val="0062553C"/>
    <w:rsid w:val="006257DD"/>
    <w:rsid w:val="00625BC1"/>
    <w:rsid w:val="00625FF3"/>
    <w:rsid w:val="00626194"/>
    <w:rsid w:val="006263D6"/>
    <w:rsid w:val="0062675D"/>
    <w:rsid w:val="00626C07"/>
    <w:rsid w:val="00626C4B"/>
    <w:rsid w:val="00626CCD"/>
    <w:rsid w:val="00627B56"/>
    <w:rsid w:val="0063005D"/>
    <w:rsid w:val="0063048C"/>
    <w:rsid w:val="0063073E"/>
    <w:rsid w:val="00630968"/>
    <w:rsid w:val="006309EB"/>
    <w:rsid w:val="006312F3"/>
    <w:rsid w:val="00631588"/>
    <w:rsid w:val="006317DE"/>
    <w:rsid w:val="00631AC3"/>
    <w:rsid w:val="00632137"/>
    <w:rsid w:val="00632481"/>
    <w:rsid w:val="0063290F"/>
    <w:rsid w:val="00632F58"/>
    <w:rsid w:val="0063326B"/>
    <w:rsid w:val="0063326E"/>
    <w:rsid w:val="0063355D"/>
    <w:rsid w:val="00634166"/>
    <w:rsid w:val="006345C4"/>
    <w:rsid w:val="00634750"/>
    <w:rsid w:val="0063479B"/>
    <w:rsid w:val="00634AC1"/>
    <w:rsid w:val="00634D58"/>
    <w:rsid w:val="00635558"/>
    <w:rsid w:val="00635625"/>
    <w:rsid w:val="00636079"/>
    <w:rsid w:val="006361CB"/>
    <w:rsid w:val="006362E2"/>
    <w:rsid w:val="006364DE"/>
    <w:rsid w:val="00637148"/>
    <w:rsid w:val="00637894"/>
    <w:rsid w:val="00637CEA"/>
    <w:rsid w:val="00640096"/>
    <w:rsid w:val="00641230"/>
    <w:rsid w:val="00641505"/>
    <w:rsid w:val="0064215B"/>
    <w:rsid w:val="00642296"/>
    <w:rsid w:val="006422BE"/>
    <w:rsid w:val="0064236C"/>
    <w:rsid w:val="00642809"/>
    <w:rsid w:val="0064346C"/>
    <w:rsid w:val="0064387D"/>
    <w:rsid w:val="00643D7D"/>
    <w:rsid w:val="00643DF3"/>
    <w:rsid w:val="00644696"/>
    <w:rsid w:val="00644741"/>
    <w:rsid w:val="00644AAF"/>
    <w:rsid w:val="00644F11"/>
    <w:rsid w:val="00645C1F"/>
    <w:rsid w:val="006462EA"/>
    <w:rsid w:val="006465C6"/>
    <w:rsid w:val="006466FF"/>
    <w:rsid w:val="00646B05"/>
    <w:rsid w:val="00646B42"/>
    <w:rsid w:val="00646E0F"/>
    <w:rsid w:val="00646FFF"/>
    <w:rsid w:val="006470F6"/>
    <w:rsid w:val="0064776B"/>
    <w:rsid w:val="0064777A"/>
    <w:rsid w:val="006478DB"/>
    <w:rsid w:val="00647CA5"/>
    <w:rsid w:val="00650136"/>
    <w:rsid w:val="006508AA"/>
    <w:rsid w:val="00650A85"/>
    <w:rsid w:val="00650AB6"/>
    <w:rsid w:val="00650E3D"/>
    <w:rsid w:val="00650F89"/>
    <w:rsid w:val="006511D8"/>
    <w:rsid w:val="00651750"/>
    <w:rsid w:val="00651A3B"/>
    <w:rsid w:val="00651FDC"/>
    <w:rsid w:val="00652BA8"/>
    <w:rsid w:val="00652F68"/>
    <w:rsid w:val="00652FE6"/>
    <w:rsid w:val="006537FA"/>
    <w:rsid w:val="006539BE"/>
    <w:rsid w:val="00653B13"/>
    <w:rsid w:val="00653D7F"/>
    <w:rsid w:val="00653D8D"/>
    <w:rsid w:val="00653D9F"/>
    <w:rsid w:val="00653DB4"/>
    <w:rsid w:val="00654434"/>
    <w:rsid w:val="0065450B"/>
    <w:rsid w:val="0065452A"/>
    <w:rsid w:val="00654B92"/>
    <w:rsid w:val="00654C9D"/>
    <w:rsid w:val="00654D12"/>
    <w:rsid w:val="00655A09"/>
    <w:rsid w:val="00655DC2"/>
    <w:rsid w:val="00655E85"/>
    <w:rsid w:val="0065680C"/>
    <w:rsid w:val="00656CE7"/>
    <w:rsid w:val="00656D15"/>
    <w:rsid w:val="00657152"/>
    <w:rsid w:val="0065735C"/>
    <w:rsid w:val="0065740D"/>
    <w:rsid w:val="006579F3"/>
    <w:rsid w:val="00660457"/>
    <w:rsid w:val="00660B75"/>
    <w:rsid w:val="006610EA"/>
    <w:rsid w:val="00661139"/>
    <w:rsid w:val="006613FE"/>
    <w:rsid w:val="00661415"/>
    <w:rsid w:val="00662264"/>
    <w:rsid w:val="006625FF"/>
    <w:rsid w:val="006626C9"/>
    <w:rsid w:val="006629DA"/>
    <w:rsid w:val="00663102"/>
    <w:rsid w:val="00663961"/>
    <w:rsid w:val="00663A8A"/>
    <w:rsid w:val="00663AE0"/>
    <w:rsid w:val="006640C5"/>
    <w:rsid w:val="006642CB"/>
    <w:rsid w:val="006643B9"/>
    <w:rsid w:val="00664512"/>
    <w:rsid w:val="006647ED"/>
    <w:rsid w:val="00664CAD"/>
    <w:rsid w:val="00664DF1"/>
    <w:rsid w:val="00665AE0"/>
    <w:rsid w:val="00665DF1"/>
    <w:rsid w:val="00665E84"/>
    <w:rsid w:val="006665B4"/>
    <w:rsid w:val="00666C3F"/>
    <w:rsid w:val="00666E38"/>
    <w:rsid w:val="006673E4"/>
    <w:rsid w:val="0066787D"/>
    <w:rsid w:val="006679D2"/>
    <w:rsid w:val="00667CBA"/>
    <w:rsid w:val="00667D81"/>
    <w:rsid w:val="00667F7B"/>
    <w:rsid w:val="00670032"/>
    <w:rsid w:val="006701E2"/>
    <w:rsid w:val="006706BA"/>
    <w:rsid w:val="00670779"/>
    <w:rsid w:val="0067099D"/>
    <w:rsid w:val="00670F60"/>
    <w:rsid w:val="00670FB3"/>
    <w:rsid w:val="006713FA"/>
    <w:rsid w:val="006714C5"/>
    <w:rsid w:val="00671557"/>
    <w:rsid w:val="00671600"/>
    <w:rsid w:val="00671A61"/>
    <w:rsid w:val="00671B8D"/>
    <w:rsid w:val="00671E5E"/>
    <w:rsid w:val="00671EA0"/>
    <w:rsid w:val="00671F67"/>
    <w:rsid w:val="006724FB"/>
    <w:rsid w:val="006728F0"/>
    <w:rsid w:val="00672CF2"/>
    <w:rsid w:val="0067302E"/>
    <w:rsid w:val="00673317"/>
    <w:rsid w:val="006734B2"/>
    <w:rsid w:val="0067361B"/>
    <w:rsid w:val="00673977"/>
    <w:rsid w:val="006739C3"/>
    <w:rsid w:val="00674044"/>
    <w:rsid w:val="006744E0"/>
    <w:rsid w:val="006747F4"/>
    <w:rsid w:val="00674A69"/>
    <w:rsid w:val="00674C56"/>
    <w:rsid w:val="00674DCC"/>
    <w:rsid w:val="00674E23"/>
    <w:rsid w:val="00674EBF"/>
    <w:rsid w:val="00675142"/>
    <w:rsid w:val="00675B38"/>
    <w:rsid w:val="00675E45"/>
    <w:rsid w:val="00676540"/>
    <w:rsid w:val="00676F5C"/>
    <w:rsid w:val="00677163"/>
    <w:rsid w:val="00677434"/>
    <w:rsid w:val="0067783A"/>
    <w:rsid w:val="006779C5"/>
    <w:rsid w:val="006779C9"/>
    <w:rsid w:val="0068059A"/>
    <w:rsid w:val="00680D7F"/>
    <w:rsid w:val="00680DA4"/>
    <w:rsid w:val="00681540"/>
    <w:rsid w:val="00681D1C"/>
    <w:rsid w:val="00681F23"/>
    <w:rsid w:val="00682851"/>
    <w:rsid w:val="00682A0F"/>
    <w:rsid w:val="00682B42"/>
    <w:rsid w:val="00682BDD"/>
    <w:rsid w:val="00682F50"/>
    <w:rsid w:val="00682FBF"/>
    <w:rsid w:val="00683103"/>
    <w:rsid w:val="006836E4"/>
    <w:rsid w:val="00683A3C"/>
    <w:rsid w:val="00683C46"/>
    <w:rsid w:val="00684494"/>
    <w:rsid w:val="00684632"/>
    <w:rsid w:val="00684DA5"/>
    <w:rsid w:val="0068553A"/>
    <w:rsid w:val="00685714"/>
    <w:rsid w:val="006857E1"/>
    <w:rsid w:val="00685954"/>
    <w:rsid w:val="00685FD4"/>
    <w:rsid w:val="00686333"/>
    <w:rsid w:val="0068638E"/>
    <w:rsid w:val="0068680A"/>
    <w:rsid w:val="0068699D"/>
    <w:rsid w:val="006876D3"/>
    <w:rsid w:val="00687E49"/>
    <w:rsid w:val="00687E7C"/>
    <w:rsid w:val="00687F9E"/>
    <w:rsid w:val="0069027A"/>
    <w:rsid w:val="006904DE"/>
    <w:rsid w:val="0069076F"/>
    <w:rsid w:val="006914E6"/>
    <w:rsid w:val="006919E4"/>
    <w:rsid w:val="00691B9A"/>
    <w:rsid w:val="00691D79"/>
    <w:rsid w:val="0069211D"/>
    <w:rsid w:val="0069230C"/>
    <w:rsid w:val="00692B9C"/>
    <w:rsid w:val="00692D3B"/>
    <w:rsid w:val="00692EED"/>
    <w:rsid w:val="006931B0"/>
    <w:rsid w:val="00693261"/>
    <w:rsid w:val="00693AF7"/>
    <w:rsid w:val="00693D87"/>
    <w:rsid w:val="00694005"/>
    <w:rsid w:val="00694174"/>
    <w:rsid w:val="006944EA"/>
    <w:rsid w:val="00694639"/>
    <w:rsid w:val="00694E49"/>
    <w:rsid w:val="00694ED4"/>
    <w:rsid w:val="0069532C"/>
    <w:rsid w:val="0069568E"/>
    <w:rsid w:val="0069582C"/>
    <w:rsid w:val="00695932"/>
    <w:rsid w:val="00695ED4"/>
    <w:rsid w:val="00695FF0"/>
    <w:rsid w:val="00696114"/>
    <w:rsid w:val="0069616C"/>
    <w:rsid w:val="0069618B"/>
    <w:rsid w:val="00696B51"/>
    <w:rsid w:val="00696F4F"/>
    <w:rsid w:val="006974B4"/>
    <w:rsid w:val="00697D23"/>
    <w:rsid w:val="006A056C"/>
    <w:rsid w:val="006A063A"/>
    <w:rsid w:val="006A0758"/>
    <w:rsid w:val="006A097B"/>
    <w:rsid w:val="006A0A87"/>
    <w:rsid w:val="006A0B7C"/>
    <w:rsid w:val="006A109B"/>
    <w:rsid w:val="006A10F2"/>
    <w:rsid w:val="006A1159"/>
    <w:rsid w:val="006A13EF"/>
    <w:rsid w:val="006A1719"/>
    <w:rsid w:val="006A1763"/>
    <w:rsid w:val="006A209E"/>
    <w:rsid w:val="006A229A"/>
    <w:rsid w:val="006A2450"/>
    <w:rsid w:val="006A26DB"/>
    <w:rsid w:val="006A3031"/>
    <w:rsid w:val="006A3BBA"/>
    <w:rsid w:val="006A3F73"/>
    <w:rsid w:val="006A432D"/>
    <w:rsid w:val="006A484C"/>
    <w:rsid w:val="006A4B31"/>
    <w:rsid w:val="006A4F5E"/>
    <w:rsid w:val="006A4F9D"/>
    <w:rsid w:val="006A59DE"/>
    <w:rsid w:val="006A5CDA"/>
    <w:rsid w:val="006A5DF4"/>
    <w:rsid w:val="006A5F44"/>
    <w:rsid w:val="006A6ABF"/>
    <w:rsid w:val="006A6ECD"/>
    <w:rsid w:val="006A6F06"/>
    <w:rsid w:val="006A7425"/>
    <w:rsid w:val="006A75B9"/>
    <w:rsid w:val="006A75BE"/>
    <w:rsid w:val="006A77C7"/>
    <w:rsid w:val="006A77FC"/>
    <w:rsid w:val="006A7C6A"/>
    <w:rsid w:val="006A7D61"/>
    <w:rsid w:val="006B07AF"/>
    <w:rsid w:val="006B0E19"/>
    <w:rsid w:val="006B123D"/>
    <w:rsid w:val="006B1343"/>
    <w:rsid w:val="006B14EF"/>
    <w:rsid w:val="006B2235"/>
    <w:rsid w:val="006B2547"/>
    <w:rsid w:val="006B2729"/>
    <w:rsid w:val="006B2797"/>
    <w:rsid w:val="006B2D74"/>
    <w:rsid w:val="006B2E8B"/>
    <w:rsid w:val="006B3465"/>
    <w:rsid w:val="006B388E"/>
    <w:rsid w:val="006B39C4"/>
    <w:rsid w:val="006B3C63"/>
    <w:rsid w:val="006B437B"/>
    <w:rsid w:val="006B444B"/>
    <w:rsid w:val="006B4AE6"/>
    <w:rsid w:val="006B4FED"/>
    <w:rsid w:val="006B50D3"/>
    <w:rsid w:val="006B52C0"/>
    <w:rsid w:val="006B53A4"/>
    <w:rsid w:val="006B56B3"/>
    <w:rsid w:val="006B580B"/>
    <w:rsid w:val="006B5C13"/>
    <w:rsid w:val="006B60C5"/>
    <w:rsid w:val="006B6DD6"/>
    <w:rsid w:val="006B7239"/>
    <w:rsid w:val="006B726B"/>
    <w:rsid w:val="006B74D0"/>
    <w:rsid w:val="006B7751"/>
    <w:rsid w:val="006B77DF"/>
    <w:rsid w:val="006B7BF6"/>
    <w:rsid w:val="006C0599"/>
    <w:rsid w:val="006C07DD"/>
    <w:rsid w:val="006C0ED1"/>
    <w:rsid w:val="006C0FFF"/>
    <w:rsid w:val="006C1524"/>
    <w:rsid w:val="006C1CA0"/>
    <w:rsid w:val="006C1E21"/>
    <w:rsid w:val="006C1E39"/>
    <w:rsid w:val="006C2120"/>
    <w:rsid w:val="006C25DF"/>
    <w:rsid w:val="006C2D74"/>
    <w:rsid w:val="006C2D89"/>
    <w:rsid w:val="006C2E72"/>
    <w:rsid w:val="006C3669"/>
    <w:rsid w:val="006C3FCB"/>
    <w:rsid w:val="006C4480"/>
    <w:rsid w:val="006C4A31"/>
    <w:rsid w:val="006C5076"/>
    <w:rsid w:val="006C52D0"/>
    <w:rsid w:val="006C58E9"/>
    <w:rsid w:val="006C64FE"/>
    <w:rsid w:val="006C681E"/>
    <w:rsid w:val="006C69B1"/>
    <w:rsid w:val="006C72F5"/>
    <w:rsid w:val="006C769E"/>
    <w:rsid w:val="006C7A68"/>
    <w:rsid w:val="006D0123"/>
    <w:rsid w:val="006D098B"/>
    <w:rsid w:val="006D0ACE"/>
    <w:rsid w:val="006D185F"/>
    <w:rsid w:val="006D24C0"/>
    <w:rsid w:val="006D2587"/>
    <w:rsid w:val="006D2733"/>
    <w:rsid w:val="006D27EA"/>
    <w:rsid w:val="006D2B5E"/>
    <w:rsid w:val="006D2D2D"/>
    <w:rsid w:val="006D32A6"/>
    <w:rsid w:val="006D3483"/>
    <w:rsid w:val="006D34E1"/>
    <w:rsid w:val="006D350F"/>
    <w:rsid w:val="006D385A"/>
    <w:rsid w:val="006D403A"/>
    <w:rsid w:val="006D4072"/>
    <w:rsid w:val="006D42CE"/>
    <w:rsid w:val="006D4E83"/>
    <w:rsid w:val="006D5268"/>
    <w:rsid w:val="006D5DC3"/>
    <w:rsid w:val="006D5DD4"/>
    <w:rsid w:val="006D5E6D"/>
    <w:rsid w:val="006D601E"/>
    <w:rsid w:val="006D628F"/>
    <w:rsid w:val="006D77A0"/>
    <w:rsid w:val="006E01D3"/>
    <w:rsid w:val="006E0988"/>
    <w:rsid w:val="006E0DBC"/>
    <w:rsid w:val="006E0E3D"/>
    <w:rsid w:val="006E1A4E"/>
    <w:rsid w:val="006E236C"/>
    <w:rsid w:val="006E2501"/>
    <w:rsid w:val="006E2A91"/>
    <w:rsid w:val="006E2BA8"/>
    <w:rsid w:val="006E2E93"/>
    <w:rsid w:val="006E2FD4"/>
    <w:rsid w:val="006E3116"/>
    <w:rsid w:val="006E31B7"/>
    <w:rsid w:val="006E3364"/>
    <w:rsid w:val="006E37C5"/>
    <w:rsid w:val="006E3A6E"/>
    <w:rsid w:val="006E41CE"/>
    <w:rsid w:val="006E42D4"/>
    <w:rsid w:val="006E4413"/>
    <w:rsid w:val="006E443A"/>
    <w:rsid w:val="006E4598"/>
    <w:rsid w:val="006E4616"/>
    <w:rsid w:val="006E46A7"/>
    <w:rsid w:val="006E48B3"/>
    <w:rsid w:val="006E51A6"/>
    <w:rsid w:val="006E5988"/>
    <w:rsid w:val="006E5994"/>
    <w:rsid w:val="006E5CAA"/>
    <w:rsid w:val="006E6683"/>
    <w:rsid w:val="006E686E"/>
    <w:rsid w:val="006E6BC6"/>
    <w:rsid w:val="006E7125"/>
    <w:rsid w:val="006E7438"/>
    <w:rsid w:val="006E76D2"/>
    <w:rsid w:val="006E7BA0"/>
    <w:rsid w:val="006E7EC6"/>
    <w:rsid w:val="006F03F9"/>
    <w:rsid w:val="006F05EB"/>
    <w:rsid w:val="006F07C9"/>
    <w:rsid w:val="006F1273"/>
    <w:rsid w:val="006F1482"/>
    <w:rsid w:val="006F1865"/>
    <w:rsid w:val="006F1BAA"/>
    <w:rsid w:val="006F1BF0"/>
    <w:rsid w:val="006F1DB2"/>
    <w:rsid w:val="006F22C1"/>
    <w:rsid w:val="006F2677"/>
    <w:rsid w:val="006F3018"/>
    <w:rsid w:val="006F3369"/>
    <w:rsid w:val="006F371D"/>
    <w:rsid w:val="006F403D"/>
    <w:rsid w:val="006F4336"/>
    <w:rsid w:val="006F4DAB"/>
    <w:rsid w:val="006F51BC"/>
    <w:rsid w:val="006F5558"/>
    <w:rsid w:val="006F5BDE"/>
    <w:rsid w:val="006F5F82"/>
    <w:rsid w:val="006F66D2"/>
    <w:rsid w:val="006F6713"/>
    <w:rsid w:val="006F67F3"/>
    <w:rsid w:val="006F69A5"/>
    <w:rsid w:val="006F6B91"/>
    <w:rsid w:val="006F6BA3"/>
    <w:rsid w:val="006F6C72"/>
    <w:rsid w:val="006F70A6"/>
    <w:rsid w:val="006F7D70"/>
    <w:rsid w:val="00700079"/>
    <w:rsid w:val="007012D8"/>
    <w:rsid w:val="007019F2"/>
    <w:rsid w:val="00701AD4"/>
    <w:rsid w:val="00701AD7"/>
    <w:rsid w:val="00701CF8"/>
    <w:rsid w:val="00701D2A"/>
    <w:rsid w:val="00701EB6"/>
    <w:rsid w:val="0070216E"/>
    <w:rsid w:val="0070258F"/>
    <w:rsid w:val="0070270F"/>
    <w:rsid w:val="00702AB2"/>
    <w:rsid w:val="00702C2A"/>
    <w:rsid w:val="00703500"/>
    <w:rsid w:val="007035CA"/>
    <w:rsid w:val="007037B0"/>
    <w:rsid w:val="00703BA5"/>
    <w:rsid w:val="00703E3F"/>
    <w:rsid w:val="00704937"/>
    <w:rsid w:val="00704D25"/>
    <w:rsid w:val="00705DF4"/>
    <w:rsid w:val="007060B1"/>
    <w:rsid w:val="007061B5"/>
    <w:rsid w:val="007069AA"/>
    <w:rsid w:val="00706EF5"/>
    <w:rsid w:val="00707E36"/>
    <w:rsid w:val="00710B2A"/>
    <w:rsid w:val="00711035"/>
    <w:rsid w:val="00711C6C"/>
    <w:rsid w:val="00711FC4"/>
    <w:rsid w:val="0071209B"/>
    <w:rsid w:val="007128EB"/>
    <w:rsid w:val="007128F2"/>
    <w:rsid w:val="00713041"/>
    <w:rsid w:val="00713B02"/>
    <w:rsid w:val="00714E7C"/>
    <w:rsid w:val="00714F2B"/>
    <w:rsid w:val="00715470"/>
    <w:rsid w:val="007157F4"/>
    <w:rsid w:val="00716249"/>
    <w:rsid w:val="00716802"/>
    <w:rsid w:val="00716C4E"/>
    <w:rsid w:val="00717D48"/>
    <w:rsid w:val="00720208"/>
    <w:rsid w:val="00720E15"/>
    <w:rsid w:val="007217C5"/>
    <w:rsid w:val="00721977"/>
    <w:rsid w:val="00721BA5"/>
    <w:rsid w:val="00721EAD"/>
    <w:rsid w:val="00722149"/>
    <w:rsid w:val="007223DD"/>
    <w:rsid w:val="007223FF"/>
    <w:rsid w:val="0072301A"/>
    <w:rsid w:val="00723D1B"/>
    <w:rsid w:val="00723F81"/>
    <w:rsid w:val="00723FFD"/>
    <w:rsid w:val="00724529"/>
    <w:rsid w:val="00724849"/>
    <w:rsid w:val="007249B9"/>
    <w:rsid w:val="007253A7"/>
    <w:rsid w:val="007257A7"/>
    <w:rsid w:val="007258D5"/>
    <w:rsid w:val="0072672E"/>
    <w:rsid w:val="00727806"/>
    <w:rsid w:val="00727C3D"/>
    <w:rsid w:val="00730260"/>
    <w:rsid w:val="007306F7"/>
    <w:rsid w:val="0073076B"/>
    <w:rsid w:val="007307BC"/>
    <w:rsid w:val="00730865"/>
    <w:rsid w:val="007308B6"/>
    <w:rsid w:val="007309B1"/>
    <w:rsid w:val="0073181F"/>
    <w:rsid w:val="00731889"/>
    <w:rsid w:val="00731D18"/>
    <w:rsid w:val="00731D47"/>
    <w:rsid w:val="007323B5"/>
    <w:rsid w:val="00732940"/>
    <w:rsid w:val="00732AA8"/>
    <w:rsid w:val="00732C61"/>
    <w:rsid w:val="00732DA2"/>
    <w:rsid w:val="00732E19"/>
    <w:rsid w:val="00732ED3"/>
    <w:rsid w:val="00732F31"/>
    <w:rsid w:val="00733140"/>
    <w:rsid w:val="007335CA"/>
    <w:rsid w:val="0073377A"/>
    <w:rsid w:val="00733D97"/>
    <w:rsid w:val="0073404C"/>
    <w:rsid w:val="007340B8"/>
    <w:rsid w:val="007341CD"/>
    <w:rsid w:val="00734EB9"/>
    <w:rsid w:val="007350B7"/>
    <w:rsid w:val="00735B09"/>
    <w:rsid w:val="00735DF3"/>
    <w:rsid w:val="00735F71"/>
    <w:rsid w:val="00736040"/>
    <w:rsid w:val="00736A5F"/>
    <w:rsid w:val="00736BFD"/>
    <w:rsid w:val="007374B7"/>
    <w:rsid w:val="00737521"/>
    <w:rsid w:val="00737A75"/>
    <w:rsid w:val="00737A7F"/>
    <w:rsid w:val="00737C02"/>
    <w:rsid w:val="00740A23"/>
    <w:rsid w:val="00740BDB"/>
    <w:rsid w:val="00740E5D"/>
    <w:rsid w:val="00740FF7"/>
    <w:rsid w:val="007415B3"/>
    <w:rsid w:val="0074188D"/>
    <w:rsid w:val="00741D1F"/>
    <w:rsid w:val="007420F3"/>
    <w:rsid w:val="00742240"/>
    <w:rsid w:val="0074268C"/>
    <w:rsid w:val="007428D6"/>
    <w:rsid w:val="007429BE"/>
    <w:rsid w:val="00742BC8"/>
    <w:rsid w:val="007434AA"/>
    <w:rsid w:val="007438BF"/>
    <w:rsid w:val="00743D75"/>
    <w:rsid w:val="00743FC7"/>
    <w:rsid w:val="007448FF"/>
    <w:rsid w:val="007449DC"/>
    <w:rsid w:val="00744AEC"/>
    <w:rsid w:val="007453A9"/>
    <w:rsid w:val="0074550E"/>
    <w:rsid w:val="00745729"/>
    <w:rsid w:val="00745BDB"/>
    <w:rsid w:val="00746091"/>
    <w:rsid w:val="007460C0"/>
    <w:rsid w:val="007461F5"/>
    <w:rsid w:val="00746DF1"/>
    <w:rsid w:val="00747157"/>
    <w:rsid w:val="00747BBD"/>
    <w:rsid w:val="00747C7D"/>
    <w:rsid w:val="00750A77"/>
    <w:rsid w:val="00750B7E"/>
    <w:rsid w:val="00750D2B"/>
    <w:rsid w:val="00750D3E"/>
    <w:rsid w:val="00750E27"/>
    <w:rsid w:val="007510D9"/>
    <w:rsid w:val="007511B9"/>
    <w:rsid w:val="00751454"/>
    <w:rsid w:val="00751A6A"/>
    <w:rsid w:val="00751F04"/>
    <w:rsid w:val="00752042"/>
    <w:rsid w:val="007520E0"/>
    <w:rsid w:val="0075271B"/>
    <w:rsid w:val="00752C60"/>
    <w:rsid w:val="00752F52"/>
    <w:rsid w:val="007533ED"/>
    <w:rsid w:val="00753ACE"/>
    <w:rsid w:val="00753D25"/>
    <w:rsid w:val="00753D73"/>
    <w:rsid w:val="00754033"/>
    <w:rsid w:val="0075410F"/>
    <w:rsid w:val="0075447D"/>
    <w:rsid w:val="0075454A"/>
    <w:rsid w:val="00754610"/>
    <w:rsid w:val="00754871"/>
    <w:rsid w:val="007549AF"/>
    <w:rsid w:val="00754CB2"/>
    <w:rsid w:val="00754ED4"/>
    <w:rsid w:val="0075556E"/>
    <w:rsid w:val="00755936"/>
    <w:rsid w:val="00755980"/>
    <w:rsid w:val="00755988"/>
    <w:rsid w:val="00755B9E"/>
    <w:rsid w:val="00755FFA"/>
    <w:rsid w:val="00756407"/>
    <w:rsid w:val="0075654C"/>
    <w:rsid w:val="00756669"/>
    <w:rsid w:val="00756BFD"/>
    <w:rsid w:val="007573DC"/>
    <w:rsid w:val="00757811"/>
    <w:rsid w:val="0076004E"/>
    <w:rsid w:val="007604DD"/>
    <w:rsid w:val="007606DA"/>
    <w:rsid w:val="00760D18"/>
    <w:rsid w:val="00760EED"/>
    <w:rsid w:val="00761E94"/>
    <w:rsid w:val="00761FAB"/>
    <w:rsid w:val="007622EF"/>
    <w:rsid w:val="007627E7"/>
    <w:rsid w:val="00762ADD"/>
    <w:rsid w:val="00763591"/>
    <w:rsid w:val="007638EB"/>
    <w:rsid w:val="00763AD8"/>
    <w:rsid w:val="00763BB7"/>
    <w:rsid w:val="00764065"/>
    <w:rsid w:val="00764141"/>
    <w:rsid w:val="00764173"/>
    <w:rsid w:val="00764485"/>
    <w:rsid w:val="00764A81"/>
    <w:rsid w:val="007650EE"/>
    <w:rsid w:val="00765107"/>
    <w:rsid w:val="007651BF"/>
    <w:rsid w:val="00765381"/>
    <w:rsid w:val="007655EF"/>
    <w:rsid w:val="00765A5A"/>
    <w:rsid w:val="00766096"/>
    <w:rsid w:val="007663AD"/>
    <w:rsid w:val="007668BA"/>
    <w:rsid w:val="0076718F"/>
    <w:rsid w:val="00767A67"/>
    <w:rsid w:val="00770323"/>
    <w:rsid w:val="0077049E"/>
    <w:rsid w:val="0077062D"/>
    <w:rsid w:val="007706D3"/>
    <w:rsid w:val="00770945"/>
    <w:rsid w:val="00770E8C"/>
    <w:rsid w:val="0077101A"/>
    <w:rsid w:val="0077182F"/>
    <w:rsid w:val="007724BB"/>
    <w:rsid w:val="00772666"/>
    <w:rsid w:val="00772BAF"/>
    <w:rsid w:val="00772F9A"/>
    <w:rsid w:val="00773066"/>
    <w:rsid w:val="0077309B"/>
    <w:rsid w:val="00773176"/>
    <w:rsid w:val="007734E0"/>
    <w:rsid w:val="0077379A"/>
    <w:rsid w:val="007739A0"/>
    <w:rsid w:val="00773A70"/>
    <w:rsid w:val="00773E1F"/>
    <w:rsid w:val="00773F77"/>
    <w:rsid w:val="00774167"/>
    <w:rsid w:val="0077427F"/>
    <w:rsid w:val="007746B1"/>
    <w:rsid w:val="007747CB"/>
    <w:rsid w:val="00774EA7"/>
    <w:rsid w:val="0077554A"/>
    <w:rsid w:val="00775757"/>
    <w:rsid w:val="00775ABE"/>
    <w:rsid w:val="007769DF"/>
    <w:rsid w:val="0077738F"/>
    <w:rsid w:val="0078102C"/>
    <w:rsid w:val="007815A7"/>
    <w:rsid w:val="007820AA"/>
    <w:rsid w:val="0078225E"/>
    <w:rsid w:val="00782891"/>
    <w:rsid w:val="00782EC0"/>
    <w:rsid w:val="00783199"/>
    <w:rsid w:val="00783895"/>
    <w:rsid w:val="00784BF4"/>
    <w:rsid w:val="00784E66"/>
    <w:rsid w:val="0078546C"/>
    <w:rsid w:val="00785B6E"/>
    <w:rsid w:val="00785BAD"/>
    <w:rsid w:val="00785CE6"/>
    <w:rsid w:val="00785F16"/>
    <w:rsid w:val="00785F31"/>
    <w:rsid w:val="007860EA"/>
    <w:rsid w:val="007865A5"/>
    <w:rsid w:val="00786648"/>
    <w:rsid w:val="00786967"/>
    <w:rsid w:val="00786CBD"/>
    <w:rsid w:val="00786ED4"/>
    <w:rsid w:val="00787372"/>
    <w:rsid w:val="0078741D"/>
    <w:rsid w:val="0078783C"/>
    <w:rsid w:val="00787BE6"/>
    <w:rsid w:val="00787C51"/>
    <w:rsid w:val="00787F24"/>
    <w:rsid w:val="007904B8"/>
    <w:rsid w:val="00790681"/>
    <w:rsid w:val="00790A82"/>
    <w:rsid w:val="007910CA"/>
    <w:rsid w:val="007915AC"/>
    <w:rsid w:val="00791A04"/>
    <w:rsid w:val="00791C8C"/>
    <w:rsid w:val="007920AA"/>
    <w:rsid w:val="0079230A"/>
    <w:rsid w:val="00792C72"/>
    <w:rsid w:val="00792E9F"/>
    <w:rsid w:val="007934DE"/>
    <w:rsid w:val="007935A2"/>
    <w:rsid w:val="00793A61"/>
    <w:rsid w:val="00793AD1"/>
    <w:rsid w:val="007940E4"/>
    <w:rsid w:val="00794A92"/>
    <w:rsid w:val="00795147"/>
    <w:rsid w:val="00795A6A"/>
    <w:rsid w:val="00795DD5"/>
    <w:rsid w:val="007964BC"/>
    <w:rsid w:val="007966FC"/>
    <w:rsid w:val="007972CE"/>
    <w:rsid w:val="00797BD5"/>
    <w:rsid w:val="00797CC7"/>
    <w:rsid w:val="00797D08"/>
    <w:rsid w:val="007A0304"/>
    <w:rsid w:val="007A0A6E"/>
    <w:rsid w:val="007A0CF4"/>
    <w:rsid w:val="007A0DDB"/>
    <w:rsid w:val="007A1507"/>
    <w:rsid w:val="007A17AB"/>
    <w:rsid w:val="007A21E0"/>
    <w:rsid w:val="007A2661"/>
    <w:rsid w:val="007A27D4"/>
    <w:rsid w:val="007A2E18"/>
    <w:rsid w:val="007A2F6B"/>
    <w:rsid w:val="007A3607"/>
    <w:rsid w:val="007A3790"/>
    <w:rsid w:val="007A387D"/>
    <w:rsid w:val="007A44E2"/>
    <w:rsid w:val="007A52B0"/>
    <w:rsid w:val="007A56FC"/>
    <w:rsid w:val="007A5A24"/>
    <w:rsid w:val="007A5A7A"/>
    <w:rsid w:val="007A5A83"/>
    <w:rsid w:val="007A5DCD"/>
    <w:rsid w:val="007A5F3F"/>
    <w:rsid w:val="007A5FF6"/>
    <w:rsid w:val="007A625F"/>
    <w:rsid w:val="007A63BE"/>
    <w:rsid w:val="007A6F37"/>
    <w:rsid w:val="007A711C"/>
    <w:rsid w:val="007A7139"/>
    <w:rsid w:val="007A76CC"/>
    <w:rsid w:val="007A79A9"/>
    <w:rsid w:val="007A7D10"/>
    <w:rsid w:val="007A7FF0"/>
    <w:rsid w:val="007B095E"/>
    <w:rsid w:val="007B0A30"/>
    <w:rsid w:val="007B13F8"/>
    <w:rsid w:val="007B14D4"/>
    <w:rsid w:val="007B1D57"/>
    <w:rsid w:val="007B1D7F"/>
    <w:rsid w:val="007B2531"/>
    <w:rsid w:val="007B2CC2"/>
    <w:rsid w:val="007B2EB6"/>
    <w:rsid w:val="007B3460"/>
    <w:rsid w:val="007B3496"/>
    <w:rsid w:val="007B3671"/>
    <w:rsid w:val="007B3A03"/>
    <w:rsid w:val="007B4343"/>
    <w:rsid w:val="007B43B3"/>
    <w:rsid w:val="007B4753"/>
    <w:rsid w:val="007B5018"/>
    <w:rsid w:val="007B543C"/>
    <w:rsid w:val="007B548A"/>
    <w:rsid w:val="007B5FD7"/>
    <w:rsid w:val="007B68AC"/>
    <w:rsid w:val="007B74EC"/>
    <w:rsid w:val="007B7533"/>
    <w:rsid w:val="007B7539"/>
    <w:rsid w:val="007B769B"/>
    <w:rsid w:val="007B7BB2"/>
    <w:rsid w:val="007B7EDA"/>
    <w:rsid w:val="007C0936"/>
    <w:rsid w:val="007C09AD"/>
    <w:rsid w:val="007C0B1E"/>
    <w:rsid w:val="007C0B6D"/>
    <w:rsid w:val="007C0EF0"/>
    <w:rsid w:val="007C1128"/>
    <w:rsid w:val="007C1EE7"/>
    <w:rsid w:val="007C1F4A"/>
    <w:rsid w:val="007C2787"/>
    <w:rsid w:val="007C2CF8"/>
    <w:rsid w:val="007C3097"/>
    <w:rsid w:val="007C31D9"/>
    <w:rsid w:val="007C328D"/>
    <w:rsid w:val="007C368A"/>
    <w:rsid w:val="007C4372"/>
    <w:rsid w:val="007C4437"/>
    <w:rsid w:val="007C4758"/>
    <w:rsid w:val="007C4CD8"/>
    <w:rsid w:val="007C4CF5"/>
    <w:rsid w:val="007C4E8C"/>
    <w:rsid w:val="007C52DF"/>
    <w:rsid w:val="007C6061"/>
    <w:rsid w:val="007C6E82"/>
    <w:rsid w:val="007C7004"/>
    <w:rsid w:val="007C7335"/>
    <w:rsid w:val="007D015B"/>
    <w:rsid w:val="007D07F1"/>
    <w:rsid w:val="007D08ED"/>
    <w:rsid w:val="007D09A1"/>
    <w:rsid w:val="007D0F2B"/>
    <w:rsid w:val="007D1069"/>
    <w:rsid w:val="007D145F"/>
    <w:rsid w:val="007D29E5"/>
    <w:rsid w:val="007D2DF8"/>
    <w:rsid w:val="007D2F41"/>
    <w:rsid w:val="007D30D5"/>
    <w:rsid w:val="007D366F"/>
    <w:rsid w:val="007D3A03"/>
    <w:rsid w:val="007D3F80"/>
    <w:rsid w:val="007D41A0"/>
    <w:rsid w:val="007D45E0"/>
    <w:rsid w:val="007D47CA"/>
    <w:rsid w:val="007D49E6"/>
    <w:rsid w:val="007D4D6A"/>
    <w:rsid w:val="007D53C3"/>
    <w:rsid w:val="007D54F7"/>
    <w:rsid w:val="007D574B"/>
    <w:rsid w:val="007D5E10"/>
    <w:rsid w:val="007D5EA5"/>
    <w:rsid w:val="007D62BE"/>
    <w:rsid w:val="007D6635"/>
    <w:rsid w:val="007D6D5A"/>
    <w:rsid w:val="007D71A5"/>
    <w:rsid w:val="007D7234"/>
    <w:rsid w:val="007D74C5"/>
    <w:rsid w:val="007D7C4D"/>
    <w:rsid w:val="007D7D3D"/>
    <w:rsid w:val="007D7E8D"/>
    <w:rsid w:val="007D7F1D"/>
    <w:rsid w:val="007E0129"/>
    <w:rsid w:val="007E0353"/>
    <w:rsid w:val="007E05FA"/>
    <w:rsid w:val="007E094A"/>
    <w:rsid w:val="007E0A4E"/>
    <w:rsid w:val="007E0CD2"/>
    <w:rsid w:val="007E0E22"/>
    <w:rsid w:val="007E126A"/>
    <w:rsid w:val="007E17B5"/>
    <w:rsid w:val="007E1872"/>
    <w:rsid w:val="007E1D59"/>
    <w:rsid w:val="007E1F74"/>
    <w:rsid w:val="007E1FEC"/>
    <w:rsid w:val="007E2081"/>
    <w:rsid w:val="007E24B8"/>
    <w:rsid w:val="007E27B7"/>
    <w:rsid w:val="007E2822"/>
    <w:rsid w:val="007E291E"/>
    <w:rsid w:val="007E2F08"/>
    <w:rsid w:val="007E3139"/>
    <w:rsid w:val="007E3464"/>
    <w:rsid w:val="007E3AF5"/>
    <w:rsid w:val="007E3D05"/>
    <w:rsid w:val="007E3EB4"/>
    <w:rsid w:val="007E3F1B"/>
    <w:rsid w:val="007E4B9B"/>
    <w:rsid w:val="007E513E"/>
    <w:rsid w:val="007E5246"/>
    <w:rsid w:val="007E5ACC"/>
    <w:rsid w:val="007E6C3C"/>
    <w:rsid w:val="007E7384"/>
    <w:rsid w:val="007E76AC"/>
    <w:rsid w:val="007E779E"/>
    <w:rsid w:val="007E79C7"/>
    <w:rsid w:val="007F025A"/>
    <w:rsid w:val="007F0329"/>
    <w:rsid w:val="007F06E5"/>
    <w:rsid w:val="007F08C4"/>
    <w:rsid w:val="007F0A78"/>
    <w:rsid w:val="007F0BA8"/>
    <w:rsid w:val="007F11BA"/>
    <w:rsid w:val="007F1CEC"/>
    <w:rsid w:val="007F206F"/>
    <w:rsid w:val="007F235F"/>
    <w:rsid w:val="007F29B5"/>
    <w:rsid w:val="007F2D87"/>
    <w:rsid w:val="007F2DD3"/>
    <w:rsid w:val="007F2FA1"/>
    <w:rsid w:val="007F31A9"/>
    <w:rsid w:val="007F401B"/>
    <w:rsid w:val="007F47A7"/>
    <w:rsid w:val="007F59BA"/>
    <w:rsid w:val="007F615B"/>
    <w:rsid w:val="007F63F0"/>
    <w:rsid w:val="007F6AE8"/>
    <w:rsid w:val="007F731D"/>
    <w:rsid w:val="007F7526"/>
    <w:rsid w:val="007F7B69"/>
    <w:rsid w:val="007F7D04"/>
    <w:rsid w:val="007F7D70"/>
    <w:rsid w:val="007F7F91"/>
    <w:rsid w:val="00800717"/>
    <w:rsid w:val="0080093F"/>
    <w:rsid w:val="00800DF7"/>
    <w:rsid w:val="00800E68"/>
    <w:rsid w:val="0080160E"/>
    <w:rsid w:val="008024A3"/>
    <w:rsid w:val="00802B24"/>
    <w:rsid w:val="00802DCF"/>
    <w:rsid w:val="00802E4A"/>
    <w:rsid w:val="00802F02"/>
    <w:rsid w:val="0080337E"/>
    <w:rsid w:val="00803759"/>
    <w:rsid w:val="00803781"/>
    <w:rsid w:val="008039F4"/>
    <w:rsid w:val="00803F79"/>
    <w:rsid w:val="008043F5"/>
    <w:rsid w:val="00804657"/>
    <w:rsid w:val="008047B2"/>
    <w:rsid w:val="008047F9"/>
    <w:rsid w:val="00804B0D"/>
    <w:rsid w:val="00804BD9"/>
    <w:rsid w:val="00805043"/>
    <w:rsid w:val="0080518E"/>
    <w:rsid w:val="008052EE"/>
    <w:rsid w:val="00805349"/>
    <w:rsid w:val="00805356"/>
    <w:rsid w:val="00805406"/>
    <w:rsid w:val="008059B6"/>
    <w:rsid w:val="008060AD"/>
    <w:rsid w:val="00806452"/>
    <w:rsid w:val="00806B22"/>
    <w:rsid w:val="00806C3C"/>
    <w:rsid w:val="00807117"/>
    <w:rsid w:val="00807381"/>
    <w:rsid w:val="008073C7"/>
    <w:rsid w:val="00807828"/>
    <w:rsid w:val="0081026C"/>
    <w:rsid w:val="008103D4"/>
    <w:rsid w:val="00810685"/>
    <w:rsid w:val="00810AFC"/>
    <w:rsid w:val="008118C7"/>
    <w:rsid w:val="00811D10"/>
    <w:rsid w:val="0081240E"/>
    <w:rsid w:val="008128E1"/>
    <w:rsid w:val="00812AD6"/>
    <w:rsid w:val="00812C64"/>
    <w:rsid w:val="00813010"/>
    <w:rsid w:val="00813359"/>
    <w:rsid w:val="0081399B"/>
    <w:rsid w:val="00813C11"/>
    <w:rsid w:val="00813C51"/>
    <w:rsid w:val="00813D63"/>
    <w:rsid w:val="00813F59"/>
    <w:rsid w:val="00814B7B"/>
    <w:rsid w:val="00814C01"/>
    <w:rsid w:val="00814E64"/>
    <w:rsid w:val="00814F79"/>
    <w:rsid w:val="008152A6"/>
    <w:rsid w:val="008153F2"/>
    <w:rsid w:val="00815D91"/>
    <w:rsid w:val="00815DFC"/>
    <w:rsid w:val="00815EE0"/>
    <w:rsid w:val="008161DC"/>
    <w:rsid w:val="00816217"/>
    <w:rsid w:val="00816324"/>
    <w:rsid w:val="00816335"/>
    <w:rsid w:val="00816390"/>
    <w:rsid w:val="008165EC"/>
    <w:rsid w:val="00816CFB"/>
    <w:rsid w:val="00816EB5"/>
    <w:rsid w:val="008170A5"/>
    <w:rsid w:val="008174FA"/>
    <w:rsid w:val="0081751F"/>
    <w:rsid w:val="0081771F"/>
    <w:rsid w:val="008178FB"/>
    <w:rsid w:val="008203B0"/>
    <w:rsid w:val="008207D1"/>
    <w:rsid w:val="00820DB2"/>
    <w:rsid w:val="00821304"/>
    <w:rsid w:val="00821615"/>
    <w:rsid w:val="00821A29"/>
    <w:rsid w:val="00821D3D"/>
    <w:rsid w:val="0082202F"/>
    <w:rsid w:val="0082246C"/>
    <w:rsid w:val="008227D3"/>
    <w:rsid w:val="00823607"/>
    <w:rsid w:val="00823635"/>
    <w:rsid w:val="0082399C"/>
    <w:rsid w:val="00823B5B"/>
    <w:rsid w:val="00823BBE"/>
    <w:rsid w:val="00824309"/>
    <w:rsid w:val="0082436F"/>
    <w:rsid w:val="00824CC5"/>
    <w:rsid w:val="00825205"/>
    <w:rsid w:val="00825310"/>
    <w:rsid w:val="008259B0"/>
    <w:rsid w:val="00825A2E"/>
    <w:rsid w:val="00825E91"/>
    <w:rsid w:val="00826879"/>
    <w:rsid w:val="00826AE5"/>
    <w:rsid w:val="00826D33"/>
    <w:rsid w:val="0082719B"/>
    <w:rsid w:val="00827522"/>
    <w:rsid w:val="008278A9"/>
    <w:rsid w:val="00827E71"/>
    <w:rsid w:val="00827EE7"/>
    <w:rsid w:val="00830428"/>
    <w:rsid w:val="008309CA"/>
    <w:rsid w:val="00830D0D"/>
    <w:rsid w:val="008318E3"/>
    <w:rsid w:val="00832232"/>
    <w:rsid w:val="0083229F"/>
    <w:rsid w:val="00832426"/>
    <w:rsid w:val="0083244A"/>
    <w:rsid w:val="00832725"/>
    <w:rsid w:val="00832813"/>
    <w:rsid w:val="00832B73"/>
    <w:rsid w:val="00832F59"/>
    <w:rsid w:val="008333BF"/>
    <w:rsid w:val="00833C0D"/>
    <w:rsid w:val="00833FD1"/>
    <w:rsid w:val="008341FE"/>
    <w:rsid w:val="0083484C"/>
    <w:rsid w:val="00834ED7"/>
    <w:rsid w:val="0083532A"/>
    <w:rsid w:val="00835343"/>
    <w:rsid w:val="00835365"/>
    <w:rsid w:val="008354D9"/>
    <w:rsid w:val="0083596C"/>
    <w:rsid w:val="008364CD"/>
    <w:rsid w:val="008367A0"/>
    <w:rsid w:val="008374B6"/>
    <w:rsid w:val="008374C6"/>
    <w:rsid w:val="0083792E"/>
    <w:rsid w:val="00837CF9"/>
    <w:rsid w:val="0084045F"/>
    <w:rsid w:val="008410C8"/>
    <w:rsid w:val="0084144D"/>
    <w:rsid w:val="008418C8"/>
    <w:rsid w:val="00841C30"/>
    <w:rsid w:val="00841E2F"/>
    <w:rsid w:val="00842428"/>
    <w:rsid w:val="008424D7"/>
    <w:rsid w:val="00842B33"/>
    <w:rsid w:val="00842B36"/>
    <w:rsid w:val="00842C58"/>
    <w:rsid w:val="00842F12"/>
    <w:rsid w:val="0084366B"/>
    <w:rsid w:val="0084388B"/>
    <w:rsid w:val="008438AD"/>
    <w:rsid w:val="00843AC6"/>
    <w:rsid w:val="00843CEA"/>
    <w:rsid w:val="00844A21"/>
    <w:rsid w:val="00844FE8"/>
    <w:rsid w:val="00845042"/>
    <w:rsid w:val="008452F1"/>
    <w:rsid w:val="008459F7"/>
    <w:rsid w:val="00845A4C"/>
    <w:rsid w:val="00845C8A"/>
    <w:rsid w:val="00845CAE"/>
    <w:rsid w:val="008463CD"/>
    <w:rsid w:val="00846DE8"/>
    <w:rsid w:val="00846F83"/>
    <w:rsid w:val="008470EB"/>
    <w:rsid w:val="00847E29"/>
    <w:rsid w:val="00850008"/>
    <w:rsid w:val="0085039D"/>
    <w:rsid w:val="00851066"/>
    <w:rsid w:val="00851111"/>
    <w:rsid w:val="008514F1"/>
    <w:rsid w:val="00851AB2"/>
    <w:rsid w:val="00851DB9"/>
    <w:rsid w:val="0085237A"/>
    <w:rsid w:val="0085240B"/>
    <w:rsid w:val="00852767"/>
    <w:rsid w:val="00852B99"/>
    <w:rsid w:val="00852E34"/>
    <w:rsid w:val="00852E57"/>
    <w:rsid w:val="00852EA2"/>
    <w:rsid w:val="008530F4"/>
    <w:rsid w:val="008536B3"/>
    <w:rsid w:val="00853CDC"/>
    <w:rsid w:val="00854168"/>
    <w:rsid w:val="008541AF"/>
    <w:rsid w:val="00854468"/>
    <w:rsid w:val="0085454D"/>
    <w:rsid w:val="00854751"/>
    <w:rsid w:val="008547AA"/>
    <w:rsid w:val="00854CA4"/>
    <w:rsid w:val="00854D65"/>
    <w:rsid w:val="00854EE5"/>
    <w:rsid w:val="00855185"/>
    <w:rsid w:val="0085539C"/>
    <w:rsid w:val="008557F7"/>
    <w:rsid w:val="00855A42"/>
    <w:rsid w:val="00855D7B"/>
    <w:rsid w:val="0085690F"/>
    <w:rsid w:val="00856A23"/>
    <w:rsid w:val="00856AB2"/>
    <w:rsid w:val="00856B44"/>
    <w:rsid w:val="00857062"/>
    <w:rsid w:val="00857146"/>
    <w:rsid w:val="0085792C"/>
    <w:rsid w:val="00857AFD"/>
    <w:rsid w:val="008603FC"/>
    <w:rsid w:val="008605DD"/>
    <w:rsid w:val="00860B52"/>
    <w:rsid w:val="00860EFE"/>
    <w:rsid w:val="00860F4C"/>
    <w:rsid w:val="008611F9"/>
    <w:rsid w:val="008612C5"/>
    <w:rsid w:val="0086133B"/>
    <w:rsid w:val="00861351"/>
    <w:rsid w:val="00861D95"/>
    <w:rsid w:val="00861E8F"/>
    <w:rsid w:val="00862A90"/>
    <w:rsid w:val="00862AF0"/>
    <w:rsid w:val="00862E5F"/>
    <w:rsid w:val="00862F71"/>
    <w:rsid w:val="008634CC"/>
    <w:rsid w:val="00863FFB"/>
    <w:rsid w:val="00864464"/>
    <w:rsid w:val="0086470D"/>
    <w:rsid w:val="00864BA4"/>
    <w:rsid w:val="00864E09"/>
    <w:rsid w:val="00864E0A"/>
    <w:rsid w:val="00865211"/>
    <w:rsid w:val="00865AFF"/>
    <w:rsid w:val="00865B21"/>
    <w:rsid w:val="00865D74"/>
    <w:rsid w:val="008661B3"/>
    <w:rsid w:val="008668FE"/>
    <w:rsid w:val="00866CD3"/>
    <w:rsid w:val="00866CFA"/>
    <w:rsid w:val="00866EC8"/>
    <w:rsid w:val="0086762D"/>
    <w:rsid w:val="00867807"/>
    <w:rsid w:val="008678AF"/>
    <w:rsid w:val="00867901"/>
    <w:rsid w:val="0087088D"/>
    <w:rsid w:val="00870AAA"/>
    <w:rsid w:val="008712D1"/>
    <w:rsid w:val="0087133A"/>
    <w:rsid w:val="00871B72"/>
    <w:rsid w:val="008722FA"/>
    <w:rsid w:val="00872F06"/>
    <w:rsid w:val="00873644"/>
    <w:rsid w:val="0087381C"/>
    <w:rsid w:val="00874021"/>
    <w:rsid w:val="008741D1"/>
    <w:rsid w:val="008742B3"/>
    <w:rsid w:val="00874915"/>
    <w:rsid w:val="00874916"/>
    <w:rsid w:val="00874AE6"/>
    <w:rsid w:val="00874B5C"/>
    <w:rsid w:val="00874F98"/>
    <w:rsid w:val="0087523D"/>
    <w:rsid w:val="0087540F"/>
    <w:rsid w:val="008756A7"/>
    <w:rsid w:val="0087587B"/>
    <w:rsid w:val="008758E1"/>
    <w:rsid w:val="00875B7D"/>
    <w:rsid w:val="00875D41"/>
    <w:rsid w:val="00876428"/>
    <w:rsid w:val="00876B19"/>
    <w:rsid w:val="00877015"/>
    <w:rsid w:val="008770C4"/>
    <w:rsid w:val="0087712B"/>
    <w:rsid w:val="008772E2"/>
    <w:rsid w:val="00877512"/>
    <w:rsid w:val="00877704"/>
    <w:rsid w:val="008778FE"/>
    <w:rsid w:val="00877EE9"/>
    <w:rsid w:val="00880073"/>
    <w:rsid w:val="0088017D"/>
    <w:rsid w:val="008805EA"/>
    <w:rsid w:val="0088072B"/>
    <w:rsid w:val="00880814"/>
    <w:rsid w:val="0088089C"/>
    <w:rsid w:val="00880C01"/>
    <w:rsid w:val="00881083"/>
    <w:rsid w:val="008810B8"/>
    <w:rsid w:val="00881C9F"/>
    <w:rsid w:val="008821CB"/>
    <w:rsid w:val="008821DF"/>
    <w:rsid w:val="008824EE"/>
    <w:rsid w:val="00882731"/>
    <w:rsid w:val="00882B65"/>
    <w:rsid w:val="00883B79"/>
    <w:rsid w:val="00883C21"/>
    <w:rsid w:val="00883CF1"/>
    <w:rsid w:val="00883E53"/>
    <w:rsid w:val="00883EF5"/>
    <w:rsid w:val="00883F7E"/>
    <w:rsid w:val="0088469B"/>
    <w:rsid w:val="00885536"/>
    <w:rsid w:val="0088567A"/>
    <w:rsid w:val="0088568A"/>
    <w:rsid w:val="0088597F"/>
    <w:rsid w:val="00885BB2"/>
    <w:rsid w:val="00885D55"/>
    <w:rsid w:val="00885DCB"/>
    <w:rsid w:val="00885EE0"/>
    <w:rsid w:val="0088607E"/>
    <w:rsid w:val="00886136"/>
    <w:rsid w:val="0088644E"/>
    <w:rsid w:val="008868E6"/>
    <w:rsid w:val="00887037"/>
    <w:rsid w:val="0088799D"/>
    <w:rsid w:val="00887C5E"/>
    <w:rsid w:val="00887F07"/>
    <w:rsid w:val="00890172"/>
    <w:rsid w:val="008907FE"/>
    <w:rsid w:val="0089081C"/>
    <w:rsid w:val="00890B0C"/>
    <w:rsid w:val="00890E45"/>
    <w:rsid w:val="00890FFF"/>
    <w:rsid w:val="0089192D"/>
    <w:rsid w:val="00891A82"/>
    <w:rsid w:val="00891CA4"/>
    <w:rsid w:val="008927CF"/>
    <w:rsid w:val="00892A68"/>
    <w:rsid w:val="00892A7A"/>
    <w:rsid w:val="00892C72"/>
    <w:rsid w:val="0089332A"/>
    <w:rsid w:val="00893782"/>
    <w:rsid w:val="00893CB4"/>
    <w:rsid w:val="00893FAA"/>
    <w:rsid w:val="00894B85"/>
    <w:rsid w:val="00894FB5"/>
    <w:rsid w:val="008950DD"/>
    <w:rsid w:val="008954B4"/>
    <w:rsid w:val="00895880"/>
    <w:rsid w:val="00895D7E"/>
    <w:rsid w:val="00895E37"/>
    <w:rsid w:val="00896356"/>
    <w:rsid w:val="00896621"/>
    <w:rsid w:val="008966DD"/>
    <w:rsid w:val="00896776"/>
    <w:rsid w:val="00896A48"/>
    <w:rsid w:val="00896FF3"/>
    <w:rsid w:val="0089715B"/>
    <w:rsid w:val="00897730"/>
    <w:rsid w:val="00897BA5"/>
    <w:rsid w:val="00897CF0"/>
    <w:rsid w:val="008A03AE"/>
    <w:rsid w:val="008A066C"/>
    <w:rsid w:val="008A0712"/>
    <w:rsid w:val="008A07FE"/>
    <w:rsid w:val="008A1105"/>
    <w:rsid w:val="008A1162"/>
    <w:rsid w:val="008A194A"/>
    <w:rsid w:val="008A1CCD"/>
    <w:rsid w:val="008A23CA"/>
    <w:rsid w:val="008A2417"/>
    <w:rsid w:val="008A29A8"/>
    <w:rsid w:val="008A35A8"/>
    <w:rsid w:val="008A3D1E"/>
    <w:rsid w:val="008A3DFC"/>
    <w:rsid w:val="008A3E56"/>
    <w:rsid w:val="008A4B35"/>
    <w:rsid w:val="008A5129"/>
    <w:rsid w:val="008A5D13"/>
    <w:rsid w:val="008A5D1D"/>
    <w:rsid w:val="008A6185"/>
    <w:rsid w:val="008A6298"/>
    <w:rsid w:val="008A6341"/>
    <w:rsid w:val="008A64C1"/>
    <w:rsid w:val="008A6CE8"/>
    <w:rsid w:val="008A7235"/>
    <w:rsid w:val="008A72EB"/>
    <w:rsid w:val="008A7311"/>
    <w:rsid w:val="008A742F"/>
    <w:rsid w:val="008A7845"/>
    <w:rsid w:val="008A7A06"/>
    <w:rsid w:val="008B0028"/>
    <w:rsid w:val="008B00FF"/>
    <w:rsid w:val="008B014E"/>
    <w:rsid w:val="008B0570"/>
    <w:rsid w:val="008B07B3"/>
    <w:rsid w:val="008B07F0"/>
    <w:rsid w:val="008B0DC9"/>
    <w:rsid w:val="008B1104"/>
    <w:rsid w:val="008B1155"/>
    <w:rsid w:val="008B138F"/>
    <w:rsid w:val="008B14AB"/>
    <w:rsid w:val="008B2171"/>
    <w:rsid w:val="008B29F7"/>
    <w:rsid w:val="008B2C88"/>
    <w:rsid w:val="008B35A6"/>
    <w:rsid w:val="008B363B"/>
    <w:rsid w:val="008B3973"/>
    <w:rsid w:val="008B4310"/>
    <w:rsid w:val="008B43FD"/>
    <w:rsid w:val="008B45FB"/>
    <w:rsid w:val="008B467F"/>
    <w:rsid w:val="008B48CD"/>
    <w:rsid w:val="008B4F9F"/>
    <w:rsid w:val="008B512C"/>
    <w:rsid w:val="008B5210"/>
    <w:rsid w:val="008B55E1"/>
    <w:rsid w:val="008B582D"/>
    <w:rsid w:val="008B5F51"/>
    <w:rsid w:val="008B6129"/>
    <w:rsid w:val="008B6323"/>
    <w:rsid w:val="008B653F"/>
    <w:rsid w:val="008B663E"/>
    <w:rsid w:val="008B6730"/>
    <w:rsid w:val="008B72AE"/>
    <w:rsid w:val="008B749C"/>
    <w:rsid w:val="008B7B5A"/>
    <w:rsid w:val="008C0DA8"/>
    <w:rsid w:val="008C114D"/>
    <w:rsid w:val="008C1C49"/>
    <w:rsid w:val="008C201D"/>
    <w:rsid w:val="008C236F"/>
    <w:rsid w:val="008C24DA"/>
    <w:rsid w:val="008C38DA"/>
    <w:rsid w:val="008C3D87"/>
    <w:rsid w:val="008C3E1C"/>
    <w:rsid w:val="008C4054"/>
    <w:rsid w:val="008C415D"/>
    <w:rsid w:val="008C4187"/>
    <w:rsid w:val="008C4195"/>
    <w:rsid w:val="008C41E5"/>
    <w:rsid w:val="008C4391"/>
    <w:rsid w:val="008C4487"/>
    <w:rsid w:val="008C4821"/>
    <w:rsid w:val="008C4F6A"/>
    <w:rsid w:val="008C50AB"/>
    <w:rsid w:val="008C54E8"/>
    <w:rsid w:val="008C580E"/>
    <w:rsid w:val="008C616B"/>
    <w:rsid w:val="008C6200"/>
    <w:rsid w:val="008C6610"/>
    <w:rsid w:val="008C662F"/>
    <w:rsid w:val="008C66C2"/>
    <w:rsid w:val="008C71A1"/>
    <w:rsid w:val="008C728D"/>
    <w:rsid w:val="008C7B32"/>
    <w:rsid w:val="008C7BF3"/>
    <w:rsid w:val="008C7C8C"/>
    <w:rsid w:val="008C7F2A"/>
    <w:rsid w:val="008C7F37"/>
    <w:rsid w:val="008D02B2"/>
    <w:rsid w:val="008D083A"/>
    <w:rsid w:val="008D0E61"/>
    <w:rsid w:val="008D0F31"/>
    <w:rsid w:val="008D11FF"/>
    <w:rsid w:val="008D1248"/>
    <w:rsid w:val="008D19AB"/>
    <w:rsid w:val="008D1A6C"/>
    <w:rsid w:val="008D1F29"/>
    <w:rsid w:val="008D2DC7"/>
    <w:rsid w:val="008D2DEA"/>
    <w:rsid w:val="008D2EE9"/>
    <w:rsid w:val="008D2F50"/>
    <w:rsid w:val="008D2FB1"/>
    <w:rsid w:val="008D3646"/>
    <w:rsid w:val="008D36AA"/>
    <w:rsid w:val="008D3B5D"/>
    <w:rsid w:val="008D4086"/>
    <w:rsid w:val="008D435F"/>
    <w:rsid w:val="008D43D8"/>
    <w:rsid w:val="008D46EB"/>
    <w:rsid w:val="008D4E53"/>
    <w:rsid w:val="008D523D"/>
    <w:rsid w:val="008D54F7"/>
    <w:rsid w:val="008D564D"/>
    <w:rsid w:val="008D608B"/>
    <w:rsid w:val="008D6111"/>
    <w:rsid w:val="008D6195"/>
    <w:rsid w:val="008D61D2"/>
    <w:rsid w:val="008D620C"/>
    <w:rsid w:val="008D6C1D"/>
    <w:rsid w:val="008D6CDD"/>
    <w:rsid w:val="008D6DA3"/>
    <w:rsid w:val="008D7147"/>
    <w:rsid w:val="008D75BF"/>
    <w:rsid w:val="008D7726"/>
    <w:rsid w:val="008E0530"/>
    <w:rsid w:val="008E09EE"/>
    <w:rsid w:val="008E0A0E"/>
    <w:rsid w:val="008E0C66"/>
    <w:rsid w:val="008E0D20"/>
    <w:rsid w:val="008E1227"/>
    <w:rsid w:val="008E1835"/>
    <w:rsid w:val="008E1990"/>
    <w:rsid w:val="008E1A0F"/>
    <w:rsid w:val="008E1DC2"/>
    <w:rsid w:val="008E20E3"/>
    <w:rsid w:val="008E289D"/>
    <w:rsid w:val="008E2E25"/>
    <w:rsid w:val="008E373A"/>
    <w:rsid w:val="008E3AF8"/>
    <w:rsid w:val="008E3EF1"/>
    <w:rsid w:val="008E4480"/>
    <w:rsid w:val="008E4CB6"/>
    <w:rsid w:val="008E516F"/>
    <w:rsid w:val="008E6040"/>
    <w:rsid w:val="008E60DF"/>
    <w:rsid w:val="008E610B"/>
    <w:rsid w:val="008E632A"/>
    <w:rsid w:val="008E63D2"/>
    <w:rsid w:val="008E64F1"/>
    <w:rsid w:val="008E6636"/>
    <w:rsid w:val="008E66D0"/>
    <w:rsid w:val="008E6EAC"/>
    <w:rsid w:val="008E706C"/>
    <w:rsid w:val="008E7F36"/>
    <w:rsid w:val="008F0021"/>
    <w:rsid w:val="008F0235"/>
    <w:rsid w:val="008F036C"/>
    <w:rsid w:val="008F0616"/>
    <w:rsid w:val="008F06F6"/>
    <w:rsid w:val="008F0A66"/>
    <w:rsid w:val="008F1971"/>
    <w:rsid w:val="008F2015"/>
    <w:rsid w:val="008F20BD"/>
    <w:rsid w:val="008F20C5"/>
    <w:rsid w:val="008F2A77"/>
    <w:rsid w:val="008F2FF0"/>
    <w:rsid w:val="008F312E"/>
    <w:rsid w:val="008F3707"/>
    <w:rsid w:val="008F3758"/>
    <w:rsid w:val="008F401C"/>
    <w:rsid w:val="008F40B6"/>
    <w:rsid w:val="008F479A"/>
    <w:rsid w:val="008F4977"/>
    <w:rsid w:val="008F4F1A"/>
    <w:rsid w:val="008F4F6C"/>
    <w:rsid w:val="008F532F"/>
    <w:rsid w:val="008F5689"/>
    <w:rsid w:val="008F5829"/>
    <w:rsid w:val="008F58A8"/>
    <w:rsid w:val="008F59ED"/>
    <w:rsid w:val="008F5B8E"/>
    <w:rsid w:val="008F5F4A"/>
    <w:rsid w:val="008F610E"/>
    <w:rsid w:val="008F66DF"/>
    <w:rsid w:val="008F7007"/>
    <w:rsid w:val="008F7244"/>
    <w:rsid w:val="008F73BC"/>
    <w:rsid w:val="008F794C"/>
    <w:rsid w:val="008F7B92"/>
    <w:rsid w:val="008F7D52"/>
    <w:rsid w:val="008F7ED4"/>
    <w:rsid w:val="008F7F5E"/>
    <w:rsid w:val="009003A0"/>
    <w:rsid w:val="009003E4"/>
    <w:rsid w:val="009006D2"/>
    <w:rsid w:val="00900741"/>
    <w:rsid w:val="00901001"/>
    <w:rsid w:val="0090126E"/>
    <w:rsid w:val="00901769"/>
    <w:rsid w:val="00901CD1"/>
    <w:rsid w:val="009022DB"/>
    <w:rsid w:val="0090243A"/>
    <w:rsid w:val="009025EE"/>
    <w:rsid w:val="00902F02"/>
    <w:rsid w:val="00903245"/>
    <w:rsid w:val="0090376E"/>
    <w:rsid w:val="0090410A"/>
    <w:rsid w:val="0090447E"/>
    <w:rsid w:val="00904C9B"/>
    <w:rsid w:val="00904D06"/>
    <w:rsid w:val="009052FF"/>
    <w:rsid w:val="0090532A"/>
    <w:rsid w:val="009054C5"/>
    <w:rsid w:val="009057A0"/>
    <w:rsid w:val="00905A31"/>
    <w:rsid w:val="009060D9"/>
    <w:rsid w:val="009067A0"/>
    <w:rsid w:val="00907B97"/>
    <w:rsid w:val="009107AB"/>
    <w:rsid w:val="009108CA"/>
    <w:rsid w:val="00910C5B"/>
    <w:rsid w:val="00911145"/>
    <w:rsid w:val="00911B04"/>
    <w:rsid w:val="00911C76"/>
    <w:rsid w:val="00911CA1"/>
    <w:rsid w:val="00911F16"/>
    <w:rsid w:val="009124D1"/>
    <w:rsid w:val="00912673"/>
    <w:rsid w:val="0091286A"/>
    <w:rsid w:val="00912AA7"/>
    <w:rsid w:val="00912CD3"/>
    <w:rsid w:val="00913335"/>
    <w:rsid w:val="009136A3"/>
    <w:rsid w:val="009138F5"/>
    <w:rsid w:val="00913E5D"/>
    <w:rsid w:val="00914CEC"/>
    <w:rsid w:val="00914D19"/>
    <w:rsid w:val="00914D1C"/>
    <w:rsid w:val="00914DAB"/>
    <w:rsid w:val="00914E90"/>
    <w:rsid w:val="00914F4C"/>
    <w:rsid w:val="00915230"/>
    <w:rsid w:val="00915343"/>
    <w:rsid w:val="009155E7"/>
    <w:rsid w:val="00915E2A"/>
    <w:rsid w:val="00916116"/>
    <w:rsid w:val="0091622E"/>
    <w:rsid w:val="0091656F"/>
    <w:rsid w:val="00916C6C"/>
    <w:rsid w:val="00916DF5"/>
    <w:rsid w:val="00916EE6"/>
    <w:rsid w:val="00917C51"/>
    <w:rsid w:val="0092031B"/>
    <w:rsid w:val="00920FCC"/>
    <w:rsid w:val="009210CA"/>
    <w:rsid w:val="00921797"/>
    <w:rsid w:val="009217B3"/>
    <w:rsid w:val="00921C79"/>
    <w:rsid w:val="00921DFA"/>
    <w:rsid w:val="00922174"/>
    <w:rsid w:val="009222E6"/>
    <w:rsid w:val="00922702"/>
    <w:rsid w:val="0092290F"/>
    <w:rsid w:val="00922C6F"/>
    <w:rsid w:val="0092317B"/>
    <w:rsid w:val="00923492"/>
    <w:rsid w:val="00923599"/>
    <w:rsid w:val="009240F9"/>
    <w:rsid w:val="00924209"/>
    <w:rsid w:val="00924810"/>
    <w:rsid w:val="009253EA"/>
    <w:rsid w:val="009256CE"/>
    <w:rsid w:val="00925C1B"/>
    <w:rsid w:val="00926B41"/>
    <w:rsid w:val="00926F49"/>
    <w:rsid w:val="00927391"/>
    <w:rsid w:val="00927FE2"/>
    <w:rsid w:val="00930083"/>
    <w:rsid w:val="009301E6"/>
    <w:rsid w:val="00930729"/>
    <w:rsid w:val="0093094D"/>
    <w:rsid w:val="009315E7"/>
    <w:rsid w:val="00931639"/>
    <w:rsid w:val="0093195A"/>
    <w:rsid w:val="00931FCA"/>
    <w:rsid w:val="0093201D"/>
    <w:rsid w:val="0093204F"/>
    <w:rsid w:val="009321BC"/>
    <w:rsid w:val="0093246D"/>
    <w:rsid w:val="0093279C"/>
    <w:rsid w:val="009328F9"/>
    <w:rsid w:val="0093292A"/>
    <w:rsid w:val="009329BC"/>
    <w:rsid w:val="00932AFF"/>
    <w:rsid w:val="009332CA"/>
    <w:rsid w:val="00933B1E"/>
    <w:rsid w:val="0093447F"/>
    <w:rsid w:val="009346C1"/>
    <w:rsid w:val="009349F2"/>
    <w:rsid w:val="00934AE4"/>
    <w:rsid w:val="00935341"/>
    <w:rsid w:val="00935686"/>
    <w:rsid w:val="0093574F"/>
    <w:rsid w:val="009357CE"/>
    <w:rsid w:val="00935808"/>
    <w:rsid w:val="00935A36"/>
    <w:rsid w:val="00935D35"/>
    <w:rsid w:val="00935E13"/>
    <w:rsid w:val="00935EFC"/>
    <w:rsid w:val="009360CA"/>
    <w:rsid w:val="0093632D"/>
    <w:rsid w:val="0093653D"/>
    <w:rsid w:val="009365C4"/>
    <w:rsid w:val="00936636"/>
    <w:rsid w:val="00936840"/>
    <w:rsid w:val="00936CF7"/>
    <w:rsid w:val="009371A0"/>
    <w:rsid w:val="0093747F"/>
    <w:rsid w:val="0093761C"/>
    <w:rsid w:val="0094030A"/>
    <w:rsid w:val="00940626"/>
    <w:rsid w:val="0094097B"/>
    <w:rsid w:val="00940B88"/>
    <w:rsid w:val="00940FE2"/>
    <w:rsid w:val="0094158D"/>
    <w:rsid w:val="00941CC6"/>
    <w:rsid w:val="00941D83"/>
    <w:rsid w:val="00941E34"/>
    <w:rsid w:val="00941E6C"/>
    <w:rsid w:val="00941F0A"/>
    <w:rsid w:val="00942288"/>
    <w:rsid w:val="00942A47"/>
    <w:rsid w:val="00942AC1"/>
    <w:rsid w:val="00942BB9"/>
    <w:rsid w:val="00942E75"/>
    <w:rsid w:val="0094377C"/>
    <w:rsid w:val="009438D3"/>
    <w:rsid w:val="00943CCD"/>
    <w:rsid w:val="00943DE3"/>
    <w:rsid w:val="009440CA"/>
    <w:rsid w:val="009442D8"/>
    <w:rsid w:val="0094460F"/>
    <w:rsid w:val="009446B7"/>
    <w:rsid w:val="009448A7"/>
    <w:rsid w:val="00944B58"/>
    <w:rsid w:val="00944E3D"/>
    <w:rsid w:val="00944F77"/>
    <w:rsid w:val="0094539F"/>
    <w:rsid w:val="009454F3"/>
    <w:rsid w:val="009455CC"/>
    <w:rsid w:val="00945A96"/>
    <w:rsid w:val="00945FE8"/>
    <w:rsid w:val="00946433"/>
    <w:rsid w:val="009466EE"/>
    <w:rsid w:val="009467F5"/>
    <w:rsid w:val="00946C14"/>
    <w:rsid w:val="00946EF1"/>
    <w:rsid w:val="0094738C"/>
    <w:rsid w:val="00947532"/>
    <w:rsid w:val="0094768F"/>
    <w:rsid w:val="00947AFB"/>
    <w:rsid w:val="00947BCB"/>
    <w:rsid w:val="00947C02"/>
    <w:rsid w:val="00947F0D"/>
    <w:rsid w:val="00950049"/>
    <w:rsid w:val="00950990"/>
    <w:rsid w:val="00950A40"/>
    <w:rsid w:val="00951056"/>
    <w:rsid w:val="00951589"/>
    <w:rsid w:val="009515CE"/>
    <w:rsid w:val="009518E0"/>
    <w:rsid w:val="00951F2D"/>
    <w:rsid w:val="00951FD8"/>
    <w:rsid w:val="009523AB"/>
    <w:rsid w:val="0095262F"/>
    <w:rsid w:val="00953241"/>
    <w:rsid w:val="0095380C"/>
    <w:rsid w:val="00953967"/>
    <w:rsid w:val="00953CC9"/>
    <w:rsid w:val="009542A7"/>
    <w:rsid w:val="0095446A"/>
    <w:rsid w:val="00955240"/>
    <w:rsid w:val="00955686"/>
    <w:rsid w:val="00955791"/>
    <w:rsid w:val="00955B43"/>
    <w:rsid w:val="009560EA"/>
    <w:rsid w:val="009565ED"/>
    <w:rsid w:val="009567ED"/>
    <w:rsid w:val="00956947"/>
    <w:rsid w:val="00957015"/>
    <w:rsid w:val="0095756C"/>
    <w:rsid w:val="00957941"/>
    <w:rsid w:val="009600BB"/>
    <w:rsid w:val="0096077E"/>
    <w:rsid w:val="00960E4F"/>
    <w:rsid w:val="009617CC"/>
    <w:rsid w:val="00961BFB"/>
    <w:rsid w:val="00961C9E"/>
    <w:rsid w:val="0096202A"/>
    <w:rsid w:val="009625FC"/>
    <w:rsid w:val="00962A51"/>
    <w:rsid w:val="00962A9C"/>
    <w:rsid w:val="00962DC1"/>
    <w:rsid w:val="00962F0D"/>
    <w:rsid w:val="0096337D"/>
    <w:rsid w:val="009633BF"/>
    <w:rsid w:val="00963555"/>
    <w:rsid w:val="009635A3"/>
    <w:rsid w:val="009639C8"/>
    <w:rsid w:val="0096401B"/>
    <w:rsid w:val="0096463F"/>
    <w:rsid w:val="00964734"/>
    <w:rsid w:val="0096527D"/>
    <w:rsid w:val="00965733"/>
    <w:rsid w:val="009659A0"/>
    <w:rsid w:val="00965E4C"/>
    <w:rsid w:val="00965F58"/>
    <w:rsid w:val="0096634A"/>
    <w:rsid w:val="009663C4"/>
    <w:rsid w:val="00966751"/>
    <w:rsid w:val="00966874"/>
    <w:rsid w:val="00966B16"/>
    <w:rsid w:val="00966B36"/>
    <w:rsid w:val="00966E27"/>
    <w:rsid w:val="009673A7"/>
    <w:rsid w:val="009675D0"/>
    <w:rsid w:val="00967740"/>
    <w:rsid w:val="00967874"/>
    <w:rsid w:val="00967A15"/>
    <w:rsid w:val="00967C06"/>
    <w:rsid w:val="00970446"/>
    <w:rsid w:val="00970536"/>
    <w:rsid w:val="00970794"/>
    <w:rsid w:val="00970988"/>
    <w:rsid w:val="009709E7"/>
    <w:rsid w:val="00970C53"/>
    <w:rsid w:val="00970E25"/>
    <w:rsid w:val="00970EBC"/>
    <w:rsid w:val="00970F2F"/>
    <w:rsid w:val="009714FF"/>
    <w:rsid w:val="0097161A"/>
    <w:rsid w:val="0097193B"/>
    <w:rsid w:val="00971A69"/>
    <w:rsid w:val="0097206B"/>
    <w:rsid w:val="00972398"/>
    <w:rsid w:val="00972A14"/>
    <w:rsid w:val="00972D7D"/>
    <w:rsid w:val="00973427"/>
    <w:rsid w:val="00973482"/>
    <w:rsid w:val="009734B9"/>
    <w:rsid w:val="009736C6"/>
    <w:rsid w:val="009739AB"/>
    <w:rsid w:val="00974219"/>
    <w:rsid w:val="009746FA"/>
    <w:rsid w:val="00975347"/>
    <w:rsid w:val="009755DD"/>
    <w:rsid w:val="009759AA"/>
    <w:rsid w:val="009759CB"/>
    <w:rsid w:val="00975FEC"/>
    <w:rsid w:val="009766D0"/>
    <w:rsid w:val="00976CAE"/>
    <w:rsid w:val="0097760C"/>
    <w:rsid w:val="00977775"/>
    <w:rsid w:val="009809C3"/>
    <w:rsid w:val="00980A5F"/>
    <w:rsid w:val="00980AC2"/>
    <w:rsid w:val="00980E24"/>
    <w:rsid w:val="009819EA"/>
    <w:rsid w:val="00981D4D"/>
    <w:rsid w:val="00982452"/>
    <w:rsid w:val="009829C6"/>
    <w:rsid w:val="00982C3B"/>
    <w:rsid w:val="00983575"/>
    <w:rsid w:val="0098372E"/>
    <w:rsid w:val="00983C59"/>
    <w:rsid w:val="00984908"/>
    <w:rsid w:val="00984EE3"/>
    <w:rsid w:val="009854D2"/>
    <w:rsid w:val="0098585C"/>
    <w:rsid w:val="0098589F"/>
    <w:rsid w:val="00985C0B"/>
    <w:rsid w:val="009862CC"/>
    <w:rsid w:val="009866B7"/>
    <w:rsid w:val="009869AD"/>
    <w:rsid w:val="00986F79"/>
    <w:rsid w:val="00987081"/>
    <w:rsid w:val="00987275"/>
    <w:rsid w:val="00987540"/>
    <w:rsid w:val="00990351"/>
    <w:rsid w:val="009909C3"/>
    <w:rsid w:val="00990CC4"/>
    <w:rsid w:val="00990D0D"/>
    <w:rsid w:val="00990F3D"/>
    <w:rsid w:val="00990F68"/>
    <w:rsid w:val="0099106E"/>
    <w:rsid w:val="00991574"/>
    <w:rsid w:val="00991680"/>
    <w:rsid w:val="009917A8"/>
    <w:rsid w:val="0099181D"/>
    <w:rsid w:val="009922B9"/>
    <w:rsid w:val="009923D0"/>
    <w:rsid w:val="00992422"/>
    <w:rsid w:val="009924E8"/>
    <w:rsid w:val="00992A96"/>
    <w:rsid w:val="00992D71"/>
    <w:rsid w:val="00992D8C"/>
    <w:rsid w:val="00992E06"/>
    <w:rsid w:val="00992E37"/>
    <w:rsid w:val="00993102"/>
    <w:rsid w:val="009934E1"/>
    <w:rsid w:val="0099354C"/>
    <w:rsid w:val="00993B92"/>
    <w:rsid w:val="00993BB3"/>
    <w:rsid w:val="00993C63"/>
    <w:rsid w:val="009941A0"/>
    <w:rsid w:val="0099473A"/>
    <w:rsid w:val="009948EA"/>
    <w:rsid w:val="00994C4A"/>
    <w:rsid w:val="00994DE5"/>
    <w:rsid w:val="009951D8"/>
    <w:rsid w:val="009952FA"/>
    <w:rsid w:val="00995312"/>
    <w:rsid w:val="00995473"/>
    <w:rsid w:val="009956E5"/>
    <w:rsid w:val="00995FFE"/>
    <w:rsid w:val="0099615C"/>
    <w:rsid w:val="00996836"/>
    <w:rsid w:val="00997579"/>
    <w:rsid w:val="009A12CE"/>
    <w:rsid w:val="009A1314"/>
    <w:rsid w:val="009A1EF5"/>
    <w:rsid w:val="009A24CA"/>
    <w:rsid w:val="009A2C21"/>
    <w:rsid w:val="009A2E80"/>
    <w:rsid w:val="009A2EAC"/>
    <w:rsid w:val="009A3274"/>
    <w:rsid w:val="009A3C29"/>
    <w:rsid w:val="009A3C63"/>
    <w:rsid w:val="009A4AF8"/>
    <w:rsid w:val="009A4E5B"/>
    <w:rsid w:val="009A5006"/>
    <w:rsid w:val="009A502C"/>
    <w:rsid w:val="009A55E7"/>
    <w:rsid w:val="009A5726"/>
    <w:rsid w:val="009A586B"/>
    <w:rsid w:val="009A5874"/>
    <w:rsid w:val="009A5BAF"/>
    <w:rsid w:val="009A607C"/>
    <w:rsid w:val="009A6544"/>
    <w:rsid w:val="009A6AA1"/>
    <w:rsid w:val="009A6FD1"/>
    <w:rsid w:val="009A7E8F"/>
    <w:rsid w:val="009B04F1"/>
    <w:rsid w:val="009B096F"/>
    <w:rsid w:val="009B0ADD"/>
    <w:rsid w:val="009B0B0D"/>
    <w:rsid w:val="009B0BB3"/>
    <w:rsid w:val="009B14DF"/>
    <w:rsid w:val="009B1C2F"/>
    <w:rsid w:val="009B1D0B"/>
    <w:rsid w:val="009B1E1A"/>
    <w:rsid w:val="009B2322"/>
    <w:rsid w:val="009B27DB"/>
    <w:rsid w:val="009B2876"/>
    <w:rsid w:val="009B2CD4"/>
    <w:rsid w:val="009B3AA6"/>
    <w:rsid w:val="009B40D3"/>
    <w:rsid w:val="009B4119"/>
    <w:rsid w:val="009B4586"/>
    <w:rsid w:val="009B4588"/>
    <w:rsid w:val="009B4CDE"/>
    <w:rsid w:val="009B4D03"/>
    <w:rsid w:val="009B55FC"/>
    <w:rsid w:val="009B5973"/>
    <w:rsid w:val="009B5BD5"/>
    <w:rsid w:val="009B5EF0"/>
    <w:rsid w:val="009B654E"/>
    <w:rsid w:val="009B666D"/>
    <w:rsid w:val="009B6685"/>
    <w:rsid w:val="009B6851"/>
    <w:rsid w:val="009B6F5D"/>
    <w:rsid w:val="009B70E6"/>
    <w:rsid w:val="009B71D3"/>
    <w:rsid w:val="009B727E"/>
    <w:rsid w:val="009B72B1"/>
    <w:rsid w:val="009B774C"/>
    <w:rsid w:val="009B79C1"/>
    <w:rsid w:val="009B7A85"/>
    <w:rsid w:val="009B7AE4"/>
    <w:rsid w:val="009B7E5D"/>
    <w:rsid w:val="009C00DA"/>
    <w:rsid w:val="009C049A"/>
    <w:rsid w:val="009C054E"/>
    <w:rsid w:val="009C0832"/>
    <w:rsid w:val="009C0AA1"/>
    <w:rsid w:val="009C0D55"/>
    <w:rsid w:val="009C11BE"/>
    <w:rsid w:val="009C11C0"/>
    <w:rsid w:val="009C158C"/>
    <w:rsid w:val="009C1746"/>
    <w:rsid w:val="009C233B"/>
    <w:rsid w:val="009C2470"/>
    <w:rsid w:val="009C24C7"/>
    <w:rsid w:val="009C26B7"/>
    <w:rsid w:val="009C27EB"/>
    <w:rsid w:val="009C28C7"/>
    <w:rsid w:val="009C29D1"/>
    <w:rsid w:val="009C2BCD"/>
    <w:rsid w:val="009C33CC"/>
    <w:rsid w:val="009C35DB"/>
    <w:rsid w:val="009C3702"/>
    <w:rsid w:val="009C37EA"/>
    <w:rsid w:val="009C4057"/>
    <w:rsid w:val="009C4382"/>
    <w:rsid w:val="009C44B8"/>
    <w:rsid w:val="009C4712"/>
    <w:rsid w:val="009C5174"/>
    <w:rsid w:val="009C5431"/>
    <w:rsid w:val="009C610A"/>
    <w:rsid w:val="009C62B2"/>
    <w:rsid w:val="009C6643"/>
    <w:rsid w:val="009C68BC"/>
    <w:rsid w:val="009C6947"/>
    <w:rsid w:val="009C6C4C"/>
    <w:rsid w:val="009C6D1E"/>
    <w:rsid w:val="009C6DAC"/>
    <w:rsid w:val="009C78A4"/>
    <w:rsid w:val="009C7E8F"/>
    <w:rsid w:val="009D04D9"/>
    <w:rsid w:val="009D085B"/>
    <w:rsid w:val="009D09DA"/>
    <w:rsid w:val="009D0B7E"/>
    <w:rsid w:val="009D0BCE"/>
    <w:rsid w:val="009D0EA2"/>
    <w:rsid w:val="009D1376"/>
    <w:rsid w:val="009D190A"/>
    <w:rsid w:val="009D25C4"/>
    <w:rsid w:val="009D2639"/>
    <w:rsid w:val="009D2975"/>
    <w:rsid w:val="009D3792"/>
    <w:rsid w:val="009D37C3"/>
    <w:rsid w:val="009D42DB"/>
    <w:rsid w:val="009D457B"/>
    <w:rsid w:val="009D46D1"/>
    <w:rsid w:val="009D4E32"/>
    <w:rsid w:val="009D4E49"/>
    <w:rsid w:val="009D4EE2"/>
    <w:rsid w:val="009D4F79"/>
    <w:rsid w:val="009D57A3"/>
    <w:rsid w:val="009D6086"/>
    <w:rsid w:val="009D62A6"/>
    <w:rsid w:val="009D66AB"/>
    <w:rsid w:val="009D6E03"/>
    <w:rsid w:val="009D7423"/>
    <w:rsid w:val="009D77B8"/>
    <w:rsid w:val="009D78A5"/>
    <w:rsid w:val="009D7C3C"/>
    <w:rsid w:val="009D7EEA"/>
    <w:rsid w:val="009E00D0"/>
    <w:rsid w:val="009E084F"/>
    <w:rsid w:val="009E0A58"/>
    <w:rsid w:val="009E0D46"/>
    <w:rsid w:val="009E1154"/>
    <w:rsid w:val="009E122A"/>
    <w:rsid w:val="009E12DA"/>
    <w:rsid w:val="009E1BAE"/>
    <w:rsid w:val="009E1C8B"/>
    <w:rsid w:val="009E1DD6"/>
    <w:rsid w:val="009E2214"/>
    <w:rsid w:val="009E28FD"/>
    <w:rsid w:val="009E2E34"/>
    <w:rsid w:val="009E31E5"/>
    <w:rsid w:val="009E335B"/>
    <w:rsid w:val="009E39A5"/>
    <w:rsid w:val="009E3B74"/>
    <w:rsid w:val="009E40EC"/>
    <w:rsid w:val="009E41AA"/>
    <w:rsid w:val="009E51DE"/>
    <w:rsid w:val="009E579E"/>
    <w:rsid w:val="009E5DA3"/>
    <w:rsid w:val="009E759F"/>
    <w:rsid w:val="009E789F"/>
    <w:rsid w:val="009E7F23"/>
    <w:rsid w:val="009F012C"/>
    <w:rsid w:val="009F039A"/>
    <w:rsid w:val="009F06EB"/>
    <w:rsid w:val="009F077A"/>
    <w:rsid w:val="009F0954"/>
    <w:rsid w:val="009F0CE4"/>
    <w:rsid w:val="009F1097"/>
    <w:rsid w:val="009F1391"/>
    <w:rsid w:val="009F1623"/>
    <w:rsid w:val="009F1C24"/>
    <w:rsid w:val="009F1E75"/>
    <w:rsid w:val="009F2362"/>
    <w:rsid w:val="009F23D1"/>
    <w:rsid w:val="009F2A3E"/>
    <w:rsid w:val="009F3152"/>
    <w:rsid w:val="009F3274"/>
    <w:rsid w:val="009F3A1F"/>
    <w:rsid w:val="009F3C15"/>
    <w:rsid w:val="009F3E19"/>
    <w:rsid w:val="009F43A1"/>
    <w:rsid w:val="009F4DCB"/>
    <w:rsid w:val="009F5BA5"/>
    <w:rsid w:val="009F6256"/>
    <w:rsid w:val="009F6653"/>
    <w:rsid w:val="009F6F5B"/>
    <w:rsid w:val="009F72A6"/>
    <w:rsid w:val="009F738A"/>
    <w:rsid w:val="009F75BD"/>
    <w:rsid w:val="009F75D2"/>
    <w:rsid w:val="009F7967"/>
    <w:rsid w:val="009F7A1C"/>
    <w:rsid w:val="00A0027F"/>
    <w:rsid w:val="00A0052C"/>
    <w:rsid w:val="00A007C2"/>
    <w:rsid w:val="00A0084F"/>
    <w:rsid w:val="00A00999"/>
    <w:rsid w:val="00A00AF8"/>
    <w:rsid w:val="00A00DDA"/>
    <w:rsid w:val="00A00FB0"/>
    <w:rsid w:val="00A023BB"/>
    <w:rsid w:val="00A0244B"/>
    <w:rsid w:val="00A03946"/>
    <w:rsid w:val="00A03D9E"/>
    <w:rsid w:val="00A04040"/>
    <w:rsid w:val="00A0473F"/>
    <w:rsid w:val="00A0489C"/>
    <w:rsid w:val="00A04C48"/>
    <w:rsid w:val="00A04F18"/>
    <w:rsid w:val="00A05205"/>
    <w:rsid w:val="00A05489"/>
    <w:rsid w:val="00A0567B"/>
    <w:rsid w:val="00A0573D"/>
    <w:rsid w:val="00A05866"/>
    <w:rsid w:val="00A05CD1"/>
    <w:rsid w:val="00A05F93"/>
    <w:rsid w:val="00A06617"/>
    <w:rsid w:val="00A06760"/>
    <w:rsid w:val="00A06860"/>
    <w:rsid w:val="00A06D27"/>
    <w:rsid w:val="00A06EDA"/>
    <w:rsid w:val="00A0787A"/>
    <w:rsid w:val="00A07A96"/>
    <w:rsid w:val="00A1018E"/>
    <w:rsid w:val="00A10375"/>
    <w:rsid w:val="00A1043B"/>
    <w:rsid w:val="00A1043C"/>
    <w:rsid w:val="00A10996"/>
    <w:rsid w:val="00A10C35"/>
    <w:rsid w:val="00A110F3"/>
    <w:rsid w:val="00A1127A"/>
    <w:rsid w:val="00A11660"/>
    <w:rsid w:val="00A120F0"/>
    <w:rsid w:val="00A12262"/>
    <w:rsid w:val="00A12733"/>
    <w:rsid w:val="00A12A8B"/>
    <w:rsid w:val="00A12E2C"/>
    <w:rsid w:val="00A1305F"/>
    <w:rsid w:val="00A13079"/>
    <w:rsid w:val="00A13279"/>
    <w:rsid w:val="00A13DB8"/>
    <w:rsid w:val="00A142D5"/>
    <w:rsid w:val="00A145C2"/>
    <w:rsid w:val="00A149A4"/>
    <w:rsid w:val="00A14A2A"/>
    <w:rsid w:val="00A14D1A"/>
    <w:rsid w:val="00A14F0E"/>
    <w:rsid w:val="00A15B4F"/>
    <w:rsid w:val="00A15CA7"/>
    <w:rsid w:val="00A15F3E"/>
    <w:rsid w:val="00A1622F"/>
    <w:rsid w:val="00A166E7"/>
    <w:rsid w:val="00A16770"/>
    <w:rsid w:val="00A16CC1"/>
    <w:rsid w:val="00A1709D"/>
    <w:rsid w:val="00A170A9"/>
    <w:rsid w:val="00A205E5"/>
    <w:rsid w:val="00A206DA"/>
    <w:rsid w:val="00A209C9"/>
    <w:rsid w:val="00A20CB2"/>
    <w:rsid w:val="00A20D98"/>
    <w:rsid w:val="00A21B29"/>
    <w:rsid w:val="00A21D23"/>
    <w:rsid w:val="00A21EE6"/>
    <w:rsid w:val="00A223FC"/>
    <w:rsid w:val="00A225F6"/>
    <w:rsid w:val="00A229C6"/>
    <w:rsid w:val="00A22C3D"/>
    <w:rsid w:val="00A22C85"/>
    <w:rsid w:val="00A2332E"/>
    <w:rsid w:val="00A23D61"/>
    <w:rsid w:val="00A2402C"/>
    <w:rsid w:val="00A246B2"/>
    <w:rsid w:val="00A247DB"/>
    <w:rsid w:val="00A24ACD"/>
    <w:rsid w:val="00A25BBF"/>
    <w:rsid w:val="00A25E44"/>
    <w:rsid w:val="00A25F1C"/>
    <w:rsid w:val="00A260BF"/>
    <w:rsid w:val="00A263A3"/>
    <w:rsid w:val="00A26422"/>
    <w:rsid w:val="00A26817"/>
    <w:rsid w:val="00A26D2E"/>
    <w:rsid w:val="00A26D79"/>
    <w:rsid w:val="00A26E84"/>
    <w:rsid w:val="00A26EA4"/>
    <w:rsid w:val="00A26F73"/>
    <w:rsid w:val="00A27399"/>
    <w:rsid w:val="00A27A6E"/>
    <w:rsid w:val="00A27C8C"/>
    <w:rsid w:val="00A27EAC"/>
    <w:rsid w:val="00A304E7"/>
    <w:rsid w:val="00A305B6"/>
    <w:rsid w:val="00A306C0"/>
    <w:rsid w:val="00A307E1"/>
    <w:rsid w:val="00A30895"/>
    <w:rsid w:val="00A31721"/>
    <w:rsid w:val="00A317F8"/>
    <w:rsid w:val="00A318B7"/>
    <w:rsid w:val="00A32057"/>
    <w:rsid w:val="00A323E2"/>
    <w:rsid w:val="00A324AD"/>
    <w:rsid w:val="00A32FCE"/>
    <w:rsid w:val="00A3340E"/>
    <w:rsid w:val="00A33B67"/>
    <w:rsid w:val="00A33BE4"/>
    <w:rsid w:val="00A33E24"/>
    <w:rsid w:val="00A33FB8"/>
    <w:rsid w:val="00A34A0C"/>
    <w:rsid w:val="00A34BEA"/>
    <w:rsid w:val="00A34CEA"/>
    <w:rsid w:val="00A350A7"/>
    <w:rsid w:val="00A35787"/>
    <w:rsid w:val="00A3618C"/>
    <w:rsid w:val="00A3649D"/>
    <w:rsid w:val="00A36C47"/>
    <w:rsid w:val="00A36E85"/>
    <w:rsid w:val="00A37154"/>
    <w:rsid w:val="00A3740D"/>
    <w:rsid w:val="00A37725"/>
    <w:rsid w:val="00A37858"/>
    <w:rsid w:val="00A3787F"/>
    <w:rsid w:val="00A37ADA"/>
    <w:rsid w:val="00A37EF2"/>
    <w:rsid w:val="00A40239"/>
    <w:rsid w:val="00A40353"/>
    <w:rsid w:val="00A403B7"/>
    <w:rsid w:val="00A4040C"/>
    <w:rsid w:val="00A407DC"/>
    <w:rsid w:val="00A40937"/>
    <w:rsid w:val="00A40BA0"/>
    <w:rsid w:val="00A40C32"/>
    <w:rsid w:val="00A41515"/>
    <w:rsid w:val="00A4178F"/>
    <w:rsid w:val="00A41A1F"/>
    <w:rsid w:val="00A41C57"/>
    <w:rsid w:val="00A42690"/>
    <w:rsid w:val="00A428F5"/>
    <w:rsid w:val="00A42996"/>
    <w:rsid w:val="00A42FC0"/>
    <w:rsid w:val="00A4320A"/>
    <w:rsid w:val="00A435D8"/>
    <w:rsid w:val="00A43744"/>
    <w:rsid w:val="00A43A65"/>
    <w:rsid w:val="00A43C59"/>
    <w:rsid w:val="00A43C8E"/>
    <w:rsid w:val="00A43D7F"/>
    <w:rsid w:val="00A446E0"/>
    <w:rsid w:val="00A44A55"/>
    <w:rsid w:val="00A44B97"/>
    <w:rsid w:val="00A44F60"/>
    <w:rsid w:val="00A44F7C"/>
    <w:rsid w:val="00A45268"/>
    <w:rsid w:val="00A454A3"/>
    <w:rsid w:val="00A4557E"/>
    <w:rsid w:val="00A45C04"/>
    <w:rsid w:val="00A461F0"/>
    <w:rsid w:val="00A4623D"/>
    <w:rsid w:val="00A468F6"/>
    <w:rsid w:val="00A46DFB"/>
    <w:rsid w:val="00A4745C"/>
    <w:rsid w:val="00A5034F"/>
    <w:rsid w:val="00A50631"/>
    <w:rsid w:val="00A506E9"/>
    <w:rsid w:val="00A50971"/>
    <w:rsid w:val="00A50ABA"/>
    <w:rsid w:val="00A50E43"/>
    <w:rsid w:val="00A510D0"/>
    <w:rsid w:val="00A515BE"/>
    <w:rsid w:val="00A516D4"/>
    <w:rsid w:val="00A5196B"/>
    <w:rsid w:val="00A51CFE"/>
    <w:rsid w:val="00A51E22"/>
    <w:rsid w:val="00A5239D"/>
    <w:rsid w:val="00A528F2"/>
    <w:rsid w:val="00A52B66"/>
    <w:rsid w:val="00A52C6A"/>
    <w:rsid w:val="00A5338B"/>
    <w:rsid w:val="00A53588"/>
    <w:rsid w:val="00A53853"/>
    <w:rsid w:val="00A53BD3"/>
    <w:rsid w:val="00A54456"/>
    <w:rsid w:val="00A54F00"/>
    <w:rsid w:val="00A55375"/>
    <w:rsid w:val="00A5551F"/>
    <w:rsid w:val="00A5597E"/>
    <w:rsid w:val="00A55A78"/>
    <w:rsid w:val="00A5643C"/>
    <w:rsid w:val="00A566DA"/>
    <w:rsid w:val="00A569BB"/>
    <w:rsid w:val="00A5702D"/>
    <w:rsid w:val="00A57141"/>
    <w:rsid w:val="00A57197"/>
    <w:rsid w:val="00A571BE"/>
    <w:rsid w:val="00A576C8"/>
    <w:rsid w:val="00A57876"/>
    <w:rsid w:val="00A57A86"/>
    <w:rsid w:val="00A57F7F"/>
    <w:rsid w:val="00A60CEF"/>
    <w:rsid w:val="00A60EA4"/>
    <w:rsid w:val="00A60F52"/>
    <w:rsid w:val="00A6105E"/>
    <w:rsid w:val="00A61067"/>
    <w:rsid w:val="00A612AD"/>
    <w:rsid w:val="00A61AD3"/>
    <w:rsid w:val="00A61D4C"/>
    <w:rsid w:val="00A62370"/>
    <w:rsid w:val="00A62418"/>
    <w:rsid w:val="00A62D0B"/>
    <w:rsid w:val="00A62E16"/>
    <w:rsid w:val="00A62EE1"/>
    <w:rsid w:val="00A63377"/>
    <w:rsid w:val="00A633D2"/>
    <w:rsid w:val="00A637B8"/>
    <w:rsid w:val="00A637FC"/>
    <w:rsid w:val="00A63A90"/>
    <w:rsid w:val="00A641EF"/>
    <w:rsid w:val="00A64351"/>
    <w:rsid w:val="00A64F2A"/>
    <w:rsid w:val="00A64FEB"/>
    <w:rsid w:val="00A65D60"/>
    <w:rsid w:val="00A66584"/>
    <w:rsid w:val="00A66A8F"/>
    <w:rsid w:val="00A67E17"/>
    <w:rsid w:val="00A701AE"/>
    <w:rsid w:val="00A70210"/>
    <w:rsid w:val="00A709C8"/>
    <w:rsid w:val="00A71191"/>
    <w:rsid w:val="00A715BC"/>
    <w:rsid w:val="00A71A52"/>
    <w:rsid w:val="00A71AC1"/>
    <w:rsid w:val="00A71AD4"/>
    <w:rsid w:val="00A71DB9"/>
    <w:rsid w:val="00A7267E"/>
    <w:rsid w:val="00A72DE0"/>
    <w:rsid w:val="00A72FED"/>
    <w:rsid w:val="00A734D4"/>
    <w:rsid w:val="00A738A9"/>
    <w:rsid w:val="00A74199"/>
    <w:rsid w:val="00A7425F"/>
    <w:rsid w:val="00A74A0C"/>
    <w:rsid w:val="00A75375"/>
    <w:rsid w:val="00A75FCB"/>
    <w:rsid w:val="00A76156"/>
    <w:rsid w:val="00A76241"/>
    <w:rsid w:val="00A76F78"/>
    <w:rsid w:val="00A7700F"/>
    <w:rsid w:val="00A77731"/>
    <w:rsid w:val="00A77E79"/>
    <w:rsid w:val="00A804DC"/>
    <w:rsid w:val="00A8064A"/>
    <w:rsid w:val="00A80967"/>
    <w:rsid w:val="00A80978"/>
    <w:rsid w:val="00A80A2C"/>
    <w:rsid w:val="00A80E43"/>
    <w:rsid w:val="00A810BA"/>
    <w:rsid w:val="00A81437"/>
    <w:rsid w:val="00A81767"/>
    <w:rsid w:val="00A82069"/>
    <w:rsid w:val="00A8275B"/>
    <w:rsid w:val="00A8288C"/>
    <w:rsid w:val="00A82BC2"/>
    <w:rsid w:val="00A82F97"/>
    <w:rsid w:val="00A83F96"/>
    <w:rsid w:val="00A842CC"/>
    <w:rsid w:val="00A84580"/>
    <w:rsid w:val="00A84581"/>
    <w:rsid w:val="00A84B58"/>
    <w:rsid w:val="00A84CA1"/>
    <w:rsid w:val="00A84F95"/>
    <w:rsid w:val="00A84FA0"/>
    <w:rsid w:val="00A8504F"/>
    <w:rsid w:val="00A853BC"/>
    <w:rsid w:val="00A855F0"/>
    <w:rsid w:val="00A85A43"/>
    <w:rsid w:val="00A85EFC"/>
    <w:rsid w:val="00A862FD"/>
    <w:rsid w:val="00A86828"/>
    <w:rsid w:val="00A86DAD"/>
    <w:rsid w:val="00A86DD2"/>
    <w:rsid w:val="00A872D7"/>
    <w:rsid w:val="00A873C4"/>
    <w:rsid w:val="00A87537"/>
    <w:rsid w:val="00A87A08"/>
    <w:rsid w:val="00A87CFA"/>
    <w:rsid w:val="00A9003F"/>
    <w:rsid w:val="00A90118"/>
    <w:rsid w:val="00A901B8"/>
    <w:rsid w:val="00A9052B"/>
    <w:rsid w:val="00A905D1"/>
    <w:rsid w:val="00A90ECD"/>
    <w:rsid w:val="00A91B06"/>
    <w:rsid w:val="00A91BB4"/>
    <w:rsid w:val="00A91C0D"/>
    <w:rsid w:val="00A92195"/>
    <w:rsid w:val="00A925A9"/>
    <w:rsid w:val="00A92785"/>
    <w:rsid w:val="00A92A64"/>
    <w:rsid w:val="00A92D2A"/>
    <w:rsid w:val="00A92F8F"/>
    <w:rsid w:val="00A930E1"/>
    <w:rsid w:val="00A931AE"/>
    <w:rsid w:val="00A93521"/>
    <w:rsid w:val="00A93B31"/>
    <w:rsid w:val="00A9406B"/>
    <w:rsid w:val="00A9418A"/>
    <w:rsid w:val="00A941CC"/>
    <w:rsid w:val="00A944CF"/>
    <w:rsid w:val="00A9450D"/>
    <w:rsid w:val="00A95AAB"/>
    <w:rsid w:val="00A95C76"/>
    <w:rsid w:val="00A95CD2"/>
    <w:rsid w:val="00A95D47"/>
    <w:rsid w:val="00A964DB"/>
    <w:rsid w:val="00A965ED"/>
    <w:rsid w:val="00A96E0B"/>
    <w:rsid w:val="00A96F3D"/>
    <w:rsid w:val="00A9715B"/>
    <w:rsid w:val="00A97163"/>
    <w:rsid w:val="00A97683"/>
    <w:rsid w:val="00A97B2A"/>
    <w:rsid w:val="00A97B3B"/>
    <w:rsid w:val="00A97BF8"/>
    <w:rsid w:val="00A97D50"/>
    <w:rsid w:val="00A97E4E"/>
    <w:rsid w:val="00AA0060"/>
    <w:rsid w:val="00AA00FF"/>
    <w:rsid w:val="00AA010B"/>
    <w:rsid w:val="00AA03E7"/>
    <w:rsid w:val="00AA09F7"/>
    <w:rsid w:val="00AA0C21"/>
    <w:rsid w:val="00AA0F0F"/>
    <w:rsid w:val="00AA1207"/>
    <w:rsid w:val="00AA14DD"/>
    <w:rsid w:val="00AA1E93"/>
    <w:rsid w:val="00AA23AA"/>
    <w:rsid w:val="00AA23F4"/>
    <w:rsid w:val="00AA246B"/>
    <w:rsid w:val="00AA29C8"/>
    <w:rsid w:val="00AA2B6A"/>
    <w:rsid w:val="00AA31F7"/>
    <w:rsid w:val="00AA36D8"/>
    <w:rsid w:val="00AA36FA"/>
    <w:rsid w:val="00AA3D98"/>
    <w:rsid w:val="00AA3F24"/>
    <w:rsid w:val="00AA49CF"/>
    <w:rsid w:val="00AA4D8E"/>
    <w:rsid w:val="00AA520F"/>
    <w:rsid w:val="00AA52C8"/>
    <w:rsid w:val="00AA5917"/>
    <w:rsid w:val="00AA59D4"/>
    <w:rsid w:val="00AA5EE3"/>
    <w:rsid w:val="00AA653A"/>
    <w:rsid w:val="00AA68DB"/>
    <w:rsid w:val="00AA6A5D"/>
    <w:rsid w:val="00AA6B1D"/>
    <w:rsid w:val="00AA6CED"/>
    <w:rsid w:val="00AA6EC9"/>
    <w:rsid w:val="00AA71A6"/>
    <w:rsid w:val="00AA72F0"/>
    <w:rsid w:val="00AA764F"/>
    <w:rsid w:val="00AA799D"/>
    <w:rsid w:val="00AA7B3C"/>
    <w:rsid w:val="00AA7DEB"/>
    <w:rsid w:val="00AB07CF"/>
    <w:rsid w:val="00AB0ACF"/>
    <w:rsid w:val="00AB0F64"/>
    <w:rsid w:val="00AB129F"/>
    <w:rsid w:val="00AB16F9"/>
    <w:rsid w:val="00AB1B12"/>
    <w:rsid w:val="00AB1C94"/>
    <w:rsid w:val="00AB1D64"/>
    <w:rsid w:val="00AB1FFE"/>
    <w:rsid w:val="00AB2016"/>
    <w:rsid w:val="00AB204E"/>
    <w:rsid w:val="00AB22A2"/>
    <w:rsid w:val="00AB2369"/>
    <w:rsid w:val="00AB2570"/>
    <w:rsid w:val="00AB2BDA"/>
    <w:rsid w:val="00AB318A"/>
    <w:rsid w:val="00AB31A3"/>
    <w:rsid w:val="00AB398E"/>
    <w:rsid w:val="00AB42B8"/>
    <w:rsid w:val="00AB43F6"/>
    <w:rsid w:val="00AB4AB7"/>
    <w:rsid w:val="00AB4E4A"/>
    <w:rsid w:val="00AB4F4B"/>
    <w:rsid w:val="00AB57C1"/>
    <w:rsid w:val="00AB5A28"/>
    <w:rsid w:val="00AB5B61"/>
    <w:rsid w:val="00AB5FCF"/>
    <w:rsid w:val="00AB60DC"/>
    <w:rsid w:val="00AB60ED"/>
    <w:rsid w:val="00AB6208"/>
    <w:rsid w:val="00AB651A"/>
    <w:rsid w:val="00AB6736"/>
    <w:rsid w:val="00AB6A52"/>
    <w:rsid w:val="00AB6EFF"/>
    <w:rsid w:val="00AB6FDD"/>
    <w:rsid w:val="00AB71C4"/>
    <w:rsid w:val="00AB7317"/>
    <w:rsid w:val="00AB7666"/>
    <w:rsid w:val="00AB7671"/>
    <w:rsid w:val="00AB76E4"/>
    <w:rsid w:val="00AB7765"/>
    <w:rsid w:val="00AC0066"/>
    <w:rsid w:val="00AC0116"/>
    <w:rsid w:val="00AC0179"/>
    <w:rsid w:val="00AC0AC5"/>
    <w:rsid w:val="00AC12C4"/>
    <w:rsid w:val="00AC181C"/>
    <w:rsid w:val="00AC1840"/>
    <w:rsid w:val="00AC185D"/>
    <w:rsid w:val="00AC19A6"/>
    <w:rsid w:val="00AC1C5E"/>
    <w:rsid w:val="00AC1F56"/>
    <w:rsid w:val="00AC2813"/>
    <w:rsid w:val="00AC281C"/>
    <w:rsid w:val="00AC2880"/>
    <w:rsid w:val="00AC29EC"/>
    <w:rsid w:val="00AC2E52"/>
    <w:rsid w:val="00AC2EC9"/>
    <w:rsid w:val="00AC3725"/>
    <w:rsid w:val="00AC3971"/>
    <w:rsid w:val="00AC3DED"/>
    <w:rsid w:val="00AC3E59"/>
    <w:rsid w:val="00AC429F"/>
    <w:rsid w:val="00AC45AC"/>
    <w:rsid w:val="00AC498A"/>
    <w:rsid w:val="00AC4A94"/>
    <w:rsid w:val="00AC5496"/>
    <w:rsid w:val="00AC59E1"/>
    <w:rsid w:val="00AC5AD6"/>
    <w:rsid w:val="00AC5B92"/>
    <w:rsid w:val="00AC5B96"/>
    <w:rsid w:val="00AC5C6D"/>
    <w:rsid w:val="00AC636E"/>
    <w:rsid w:val="00AC65C6"/>
    <w:rsid w:val="00AC6782"/>
    <w:rsid w:val="00AC6F81"/>
    <w:rsid w:val="00AC773E"/>
    <w:rsid w:val="00AC7925"/>
    <w:rsid w:val="00AC7C47"/>
    <w:rsid w:val="00AC7D36"/>
    <w:rsid w:val="00AD06B6"/>
    <w:rsid w:val="00AD06C0"/>
    <w:rsid w:val="00AD0B14"/>
    <w:rsid w:val="00AD0D52"/>
    <w:rsid w:val="00AD0FD0"/>
    <w:rsid w:val="00AD1A52"/>
    <w:rsid w:val="00AD1C4B"/>
    <w:rsid w:val="00AD1E9C"/>
    <w:rsid w:val="00AD2341"/>
    <w:rsid w:val="00AD2472"/>
    <w:rsid w:val="00AD27BF"/>
    <w:rsid w:val="00AD367C"/>
    <w:rsid w:val="00AD4A37"/>
    <w:rsid w:val="00AD4D6C"/>
    <w:rsid w:val="00AD4F9E"/>
    <w:rsid w:val="00AD5335"/>
    <w:rsid w:val="00AD581C"/>
    <w:rsid w:val="00AD5CBA"/>
    <w:rsid w:val="00AD63F5"/>
    <w:rsid w:val="00AD6549"/>
    <w:rsid w:val="00AD66BA"/>
    <w:rsid w:val="00AD6893"/>
    <w:rsid w:val="00AD691E"/>
    <w:rsid w:val="00AD6A5D"/>
    <w:rsid w:val="00AD6C71"/>
    <w:rsid w:val="00AD7996"/>
    <w:rsid w:val="00AD7D83"/>
    <w:rsid w:val="00AD7EC7"/>
    <w:rsid w:val="00AE00F3"/>
    <w:rsid w:val="00AE0DAF"/>
    <w:rsid w:val="00AE0F25"/>
    <w:rsid w:val="00AE0FD4"/>
    <w:rsid w:val="00AE10FC"/>
    <w:rsid w:val="00AE1658"/>
    <w:rsid w:val="00AE1D60"/>
    <w:rsid w:val="00AE1E63"/>
    <w:rsid w:val="00AE1F88"/>
    <w:rsid w:val="00AE24D9"/>
    <w:rsid w:val="00AE2776"/>
    <w:rsid w:val="00AE2871"/>
    <w:rsid w:val="00AE2BBF"/>
    <w:rsid w:val="00AE31F1"/>
    <w:rsid w:val="00AE335B"/>
    <w:rsid w:val="00AE3875"/>
    <w:rsid w:val="00AE3BD2"/>
    <w:rsid w:val="00AE3DA3"/>
    <w:rsid w:val="00AE3FDD"/>
    <w:rsid w:val="00AE412E"/>
    <w:rsid w:val="00AE4C9C"/>
    <w:rsid w:val="00AE50CC"/>
    <w:rsid w:val="00AE5410"/>
    <w:rsid w:val="00AE599E"/>
    <w:rsid w:val="00AE5BA0"/>
    <w:rsid w:val="00AE5C03"/>
    <w:rsid w:val="00AE676D"/>
    <w:rsid w:val="00AE71BB"/>
    <w:rsid w:val="00AE7366"/>
    <w:rsid w:val="00AE7A92"/>
    <w:rsid w:val="00AF0011"/>
    <w:rsid w:val="00AF04BA"/>
    <w:rsid w:val="00AF133F"/>
    <w:rsid w:val="00AF16BE"/>
    <w:rsid w:val="00AF1AA6"/>
    <w:rsid w:val="00AF1C1F"/>
    <w:rsid w:val="00AF20F0"/>
    <w:rsid w:val="00AF23CB"/>
    <w:rsid w:val="00AF2576"/>
    <w:rsid w:val="00AF26D5"/>
    <w:rsid w:val="00AF27E1"/>
    <w:rsid w:val="00AF2A2E"/>
    <w:rsid w:val="00AF2BA6"/>
    <w:rsid w:val="00AF2C36"/>
    <w:rsid w:val="00AF3787"/>
    <w:rsid w:val="00AF39D9"/>
    <w:rsid w:val="00AF3A3D"/>
    <w:rsid w:val="00AF3B42"/>
    <w:rsid w:val="00AF3F59"/>
    <w:rsid w:val="00AF489E"/>
    <w:rsid w:val="00AF493F"/>
    <w:rsid w:val="00AF4ED9"/>
    <w:rsid w:val="00AF5561"/>
    <w:rsid w:val="00AF5767"/>
    <w:rsid w:val="00AF594B"/>
    <w:rsid w:val="00AF5C70"/>
    <w:rsid w:val="00AF621E"/>
    <w:rsid w:val="00AF628D"/>
    <w:rsid w:val="00AF6759"/>
    <w:rsid w:val="00AF6ACE"/>
    <w:rsid w:val="00AF6BAE"/>
    <w:rsid w:val="00AF6BC9"/>
    <w:rsid w:val="00AF6FC8"/>
    <w:rsid w:val="00AF7042"/>
    <w:rsid w:val="00AF731B"/>
    <w:rsid w:val="00AF73FB"/>
    <w:rsid w:val="00AF7856"/>
    <w:rsid w:val="00AF7AC7"/>
    <w:rsid w:val="00B004EC"/>
    <w:rsid w:val="00B0091A"/>
    <w:rsid w:val="00B00A97"/>
    <w:rsid w:val="00B00BCE"/>
    <w:rsid w:val="00B00C5E"/>
    <w:rsid w:val="00B013CA"/>
    <w:rsid w:val="00B01487"/>
    <w:rsid w:val="00B015A9"/>
    <w:rsid w:val="00B01981"/>
    <w:rsid w:val="00B0211D"/>
    <w:rsid w:val="00B0217B"/>
    <w:rsid w:val="00B02391"/>
    <w:rsid w:val="00B024EC"/>
    <w:rsid w:val="00B028AA"/>
    <w:rsid w:val="00B02BE5"/>
    <w:rsid w:val="00B02C7E"/>
    <w:rsid w:val="00B02E3B"/>
    <w:rsid w:val="00B0318C"/>
    <w:rsid w:val="00B03A13"/>
    <w:rsid w:val="00B03A6F"/>
    <w:rsid w:val="00B03E32"/>
    <w:rsid w:val="00B046C8"/>
    <w:rsid w:val="00B04822"/>
    <w:rsid w:val="00B04DDF"/>
    <w:rsid w:val="00B04EBD"/>
    <w:rsid w:val="00B04FE3"/>
    <w:rsid w:val="00B05011"/>
    <w:rsid w:val="00B0537D"/>
    <w:rsid w:val="00B0576F"/>
    <w:rsid w:val="00B05892"/>
    <w:rsid w:val="00B058E0"/>
    <w:rsid w:val="00B06198"/>
    <w:rsid w:val="00B0649E"/>
    <w:rsid w:val="00B07276"/>
    <w:rsid w:val="00B07494"/>
    <w:rsid w:val="00B07833"/>
    <w:rsid w:val="00B078E6"/>
    <w:rsid w:val="00B078EA"/>
    <w:rsid w:val="00B07A0D"/>
    <w:rsid w:val="00B07D45"/>
    <w:rsid w:val="00B07DE2"/>
    <w:rsid w:val="00B1038D"/>
    <w:rsid w:val="00B10608"/>
    <w:rsid w:val="00B10628"/>
    <w:rsid w:val="00B10E76"/>
    <w:rsid w:val="00B11228"/>
    <w:rsid w:val="00B113FC"/>
    <w:rsid w:val="00B11AF8"/>
    <w:rsid w:val="00B11C78"/>
    <w:rsid w:val="00B11E12"/>
    <w:rsid w:val="00B11EF7"/>
    <w:rsid w:val="00B121A3"/>
    <w:rsid w:val="00B124F8"/>
    <w:rsid w:val="00B12647"/>
    <w:rsid w:val="00B12B11"/>
    <w:rsid w:val="00B13137"/>
    <w:rsid w:val="00B134EB"/>
    <w:rsid w:val="00B136B3"/>
    <w:rsid w:val="00B1389E"/>
    <w:rsid w:val="00B13D12"/>
    <w:rsid w:val="00B13EEB"/>
    <w:rsid w:val="00B141BC"/>
    <w:rsid w:val="00B146C6"/>
    <w:rsid w:val="00B14BCD"/>
    <w:rsid w:val="00B14CAF"/>
    <w:rsid w:val="00B1561B"/>
    <w:rsid w:val="00B156E8"/>
    <w:rsid w:val="00B15799"/>
    <w:rsid w:val="00B167E9"/>
    <w:rsid w:val="00B16908"/>
    <w:rsid w:val="00B16A0B"/>
    <w:rsid w:val="00B173CC"/>
    <w:rsid w:val="00B17D16"/>
    <w:rsid w:val="00B203AD"/>
    <w:rsid w:val="00B205AF"/>
    <w:rsid w:val="00B20A59"/>
    <w:rsid w:val="00B20B54"/>
    <w:rsid w:val="00B21352"/>
    <w:rsid w:val="00B21430"/>
    <w:rsid w:val="00B215DD"/>
    <w:rsid w:val="00B217F5"/>
    <w:rsid w:val="00B21C72"/>
    <w:rsid w:val="00B22044"/>
    <w:rsid w:val="00B221CE"/>
    <w:rsid w:val="00B229ED"/>
    <w:rsid w:val="00B22F64"/>
    <w:rsid w:val="00B23062"/>
    <w:rsid w:val="00B237CA"/>
    <w:rsid w:val="00B238CF"/>
    <w:rsid w:val="00B255E3"/>
    <w:rsid w:val="00B25813"/>
    <w:rsid w:val="00B25CCD"/>
    <w:rsid w:val="00B264CD"/>
    <w:rsid w:val="00B26C02"/>
    <w:rsid w:val="00B26DC3"/>
    <w:rsid w:val="00B26FE9"/>
    <w:rsid w:val="00B2769F"/>
    <w:rsid w:val="00B2797E"/>
    <w:rsid w:val="00B300AC"/>
    <w:rsid w:val="00B30279"/>
    <w:rsid w:val="00B302EA"/>
    <w:rsid w:val="00B30AE5"/>
    <w:rsid w:val="00B30BE7"/>
    <w:rsid w:val="00B30EEF"/>
    <w:rsid w:val="00B30F3A"/>
    <w:rsid w:val="00B31639"/>
    <w:rsid w:val="00B3194C"/>
    <w:rsid w:val="00B31B61"/>
    <w:rsid w:val="00B31F5B"/>
    <w:rsid w:val="00B320DA"/>
    <w:rsid w:val="00B3258F"/>
    <w:rsid w:val="00B32A39"/>
    <w:rsid w:val="00B32B09"/>
    <w:rsid w:val="00B331AB"/>
    <w:rsid w:val="00B33351"/>
    <w:rsid w:val="00B33384"/>
    <w:rsid w:val="00B33B61"/>
    <w:rsid w:val="00B34627"/>
    <w:rsid w:val="00B34634"/>
    <w:rsid w:val="00B3481F"/>
    <w:rsid w:val="00B352EA"/>
    <w:rsid w:val="00B354D2"/>
    <w:rsid w:val="00B355A0"/>
    <w:rsid w:val="00B35CB3"/>
    <w:rsid w:val="00B35FC9"/>
    <w:rsid w:val="00B360BE"/>
    <w:rsid w:val="00B36876"/>
    <w:rsid w:val="00B36F97"/>
    <w:rsid w:val="00B37188"/>
    <w:rsid w:val="00B378AF"/>
    <w:rsid w:val="00B37A94"/>
    <w:rsid w:val="00B37AC1"/>
    <w:rsid w:val="00B404BE"/>
    <w:rsid w:val="00B40C18"/>
    <w:rsid w:val="00B4118A"/>
    <w:rsid w:val="00B41250"/>
    <w:rsid w:val="00B41298"/>
    <w:rsid w:val="00B4157C"/>
    <w:rsid w:val="00B4169F"/>
    <w:rsid w:val="00B418C0"/>
    <w:rsid w:val="00B419C8"/>
    <w:rsid w:val="00B41B9C"/>
    <w:rsid w:val="00B425AB"/>
    <w:rsid w:val="00B42C15"/>
    <w:rsid w:val="00B42D76"/>
    <w:rsid w:val="00B42E45"/>
    <w:rsid w:val="00B435F6"/>
    <w:rsid w:val="00B43602"/>
    <w:rsid w:val="00B43881"/>
    <w:rsid w:val="00B4448A"/>
    <w:rsid w:val="00B4494E"/>
    <w:rsid w:val="00B44B31"/>
    <w:rsid w:val="00B44EC5"/>
    <w:rsid w:val="00B45431"/>
    <w:rsid w:val="00B45763"/>
    <w:rsid w:val="00B45BBD"/>
    <w:rsid w:val="00B46027"/>
    <w:rsid w:val="00B461F0"/>
    <w:rsid w:val="00B46283"/>
    <w:rsid w:val="00B4659F"/>
    <w:rsid w:val="00B467C3"/>
    <w:rsid w:val="00B467EA"/>
    <w:rsid w:val="00B46E2C"/>
    <w:rsid w:val="00B46E8E"/>
    <w:rsid w:val="00B47708"/>
    <w:rsid w:val="00B47A5C"/>
    <w:rsid w:val="00B501E3"/>
    <w:rsid w:val="00B50470"/>
    <w:rsid w:val="00B5051C"/>
    <w:rsid w:val="00B50612"/>
    <w:rsid w:val="00B50A07"/>
    <w:rsid w:val="00B50A33"/>
    <w:rsid w:val="00B50B39"/>
    <w:rsid w:val="00B50E77"/>
    <w:rsid w:val="00B51318"/>
    <w:rsid w:val="00B51785"/>
    <w:rsid w:val="00B51FB9"/>
    <w:rsid w:val="00B523C9"/>
    <w:rsid w:val="00B52995"/>
    <w:rsid w:val="00B52B5D"/>
    <w:rsid w:val="00B52C25"/>
    <w:rsid w:val="00B52C6A"/>
    <w:rsid w:val="00B52DCE"/>
    <w:rsid w:val="00B533D3"/>
    <w:rsid w:val="00B54EFA"/>
    <w:rsid w:val="00B55919"/>
    <w:rsid w:val="00B55994"/>
    <w:rsid w:val="00B565D8"/>
    <w:rsid w:val="00B566FC"/>
    <w:rsid w:val="00B56D3A"/>
    <w:rsid w:val="00B56EB4"/>
    <w:rsid w:val="00B56F45"/>
    <w:rsid w:val="00B57393"/>
    <w:rsid w:val="00B60600"/>
    <w:rsid w:val="00B60763"/>
    <w:rsid w:val="00B6087E"/>
    <w:rsid w:val="00B60912"/>
    <w:rsid w:val="00B60B3A"/>
    <w:rsid w:val="00B6112A"/>
    <w:rsid w:val="00B6115C"/>
    <w:rsid w:val="00B611FB"/>
    <w:rsid w:val="00B61214"/>
    <w:rsid w:val="00B6166A"/>
    <w:rsid w:val="00B61E06"/>
    <w:rsid w:val="00B61EC6"/>
    <w:rsid w:val="00B624E4"/>
    <w:rsid w:val="00B6283B"/>
    <w:rsid w:val="00B628FC"/>
    <w:rsid w:val="00B62ABF"/>
    <w:rsid w:val="00B62C2B"/>
    <w:rsid w:val="00B62D60"/>
    <w:rsid w:val="00B63132"/>
    <w:rsid w:val="00B631D5"/>
    <w:rsid w:val="00B6352D"/>
    <w:rsid w:val="00B6398F"/>
    <w:rsid w:val="00B63F36"/>
    <w:rsid w:val="00B64A78"/>
    <w:rsid w:val="00B64C87"/>
    <w:rsid w:val="00B65CB9"/>
    <w:rsid w:val="00B65CF3"/>
    <w:rsid w:val="00B6640F"/>
    <w:rsid w:val="00B667FA"/>
    <w:rsid w:val="00B66DA7"/>
    <w:rsid w:val="00B67694"/>
    <w:rsid w:val="00B704F1"/>
    <w:rsid w:val="00B705FF"/>
    <w:rsid w:val="00B70A8C"/>
    <w:rsid w:val="00B70E83"/>
    <w:rsid w:val="00B71616"/>
    <w:rsid w:val="00B71DBD"/>
    <w:rsid w:val="00B726BF"/>
    <w:rsid w:val="00B72B0A"/>
    <w:rsid w:val="00B72B56"/>
    <w:rsid w:val="00B7353C"/>
    <w:rsid w:val="00B73764"/>
    <w:rsid w:val="00B737D9"/>
    <w:rsid w:val="00B73826"/>
    <w:rsid w:val="00B75247"/>
    <w:rsid w:val="00B75477"/>
    <w:rsid w:val="00B7560B"/>
    <w:rsid w:val="00B75E23"/>
    <w:rsid w:val="00B76470"/>
    <w:rsid w:val="00B76494"/>
    <w:rsid w:val="00B7668C"/>
    <w:rsid w:val="00B76985"/>
    <w:rsid w:val="00B77550"/>
    <w:rsid w:val="00B777AF"/>
    <w:rsid w:val="00B7789D"/>
    <w:rsid w:val="00B77ACA"/>
    <w:rsid w:val="00B77C67"/>
    <w:rsid w:val="00B8020C"/>
    <w:rsid w:val="00B8022A"/>
    <w:rsid w:val="00B80A69"/>
    <w:rsid w:val="00B80D88"/>
    <w:rsid w:val="00B80EE6"/>
    <w:rsid w:val="00B80F41"/>
    <w:rsid w:val="00B81F08"/>
    <w:rsid w:val="00B82192"/>
    <w:rsid w:val="00B82B54"/>
    <w:rsid w:val="00B82DDB"/>
    <w:rsid w:val="00B82E00"/>
    <w:rsid w:val="00B8302F"/>
    <w:rsid w:val="00B8324C"/>
    <w:rsid w:val="00B834C6"/>
    <w:rsid w:val="00B83861"/>
    <w:rsid w:val="00B83AB5"/>
    <w:rsid w:val="00B83AFD"/>
    <w:rsid w:val="00B83B09"/>
    <w:rsid w:val="00B83BAE"/>
    <w:rsid w:val="00B83EB3"/>
    <w:rsid w:val="00B83F95"/>
    <w:rsid w:val="00B8418F"/>
    <w:rsid w:val="00B84614"/>
    <w:rsid w:val="00B84975"/>
    <w:rsid w:val="00B84AB1"/>
    <w:rsid w:val="00B84C4B"/>
    <w:rsid w:val="00B8572A"/>
    <w:rsid w:val="00B85A49"/>
    <w:rsid w:val="00B85AE0"/>
    <w:rsid w:val="00B85AE2"/>
    <w:rsid w:val="00B85CCB"/>
    <w:rsid w:val="00B85F06"/>
    <w:rsid w:val="00B8621B"/>
    <w:rsid w:val="00B867DF"/>
    <w:rsid w:val="00B86BA5"/>
    <w:rsid w:val="00B9022C"/>
    <w:rsid w:val="00B90491"/>
    <w:rsid w:val="00B90BB9"/>
    <w:rsid w:val="00B90FF6"/>
    <w:rsid w:val="00B91891"/>
    <w:rsid w:val="00B9189F"/>
    <w:rsid w:val="00B918CA"/>
    <w:rsid w:val="00B9198B"/>
    <w:rsid w:val="00B919D8"/>
    <w:rsid w:val="00B91E89"/>
    <w:rsid w:val="00B92197"/>
    <w:rsid w:val="00B921FF"/>
    <w:rsid w:val="00B92C9E"/>
    <w:rsid w:val="00B92D55"/>
    <w:rsid w:val="00B92D5B"/>
    <w:rsid w:val="00B92DA7"/>
    <w:rsid w:val="00B92F49"/>
    <w:rsid w:val="00B930FD"/>
    <w:rsid w:val="00B933CC"/>
    <w:rsid w:val="00B93A7C"/>
    <w:rsid w:val="00B93E37"/>
    <w:rsid w:val="00B93E83"/>
    <w:rsid w:val="00B94050"/>
    <w:rsid w:val="00B94A61"/>
    <w:rsid w:val="00B950BC"/>
    <w:rsid w:val="00B957CA"/>
    <w:rsid w:val="00B9605D"/>
    <w:rsid w:val="00B9616F"/>
    <w:rsid w:val="00B96281"/>
    <w:rsid w:val="00B9636D"/>
    <w:rsid w:val="00B96389"/>
    <w:rsid w:val="00B965A4"/>
    <w:rsid w:val="00B97000"/>
    <w:rsid w:val="00B97190"/>
    <w:rsid w:val="00B97280"/>
    <w:rsid w:val="00B974B6"/>
    <w:rsid w:val="00BA008B"/>
    <w:rsid w:val="00BA032C"/>
    <w:rsid w:val="00BA0BE8"/>
    <w:rsid w:val="00BA16FC"/>
    <w:rsid w:val="00BA1812"/>
    <w:rsid w:val="00BA1AE2"/>
    <w:rsid w:val="00BA2E21"/>
    <w:rsid w:val="00BA3006"/>
    <w:rsid w:val="00BA3EA3"/>
    <w:rsid w:val="00BA44BD"/>
    <w:rsid w:val="00BA4E3E"/>
    <w:rsid w:val="00BA53FC"/>
    <w:rsid w:val="00BA629C"/>
    <w:rsid w:val="00BA6C61"/>
    <w:rsid w:val="00BA6EF5"/>
    <w:rsid w:val="00BA720F"/>
    <w:rsid w:val="00BA7BAC"/>
    <w:rsid w:val="00BA7E2E"/>
    <w:rsid w:val="00BA7E7C"/>
    <w:rsid w:val="00BB0536"/>
    <w:rsid w:val="00BB0A41"/>
    <w:rsid w:val="00BB0ACF"/>
    <w:rsid w:val="00BB0AD8"/>
    <w:rsid w:val="00BB0B56"/>
    <w:rsid w:val="00BB0DA8"/>
    <w:rsid w:val="00BB0EA1"/>
    <w:rsid w:val="00BB149E"/>
    <w:rsid w:val="00BB14B8"/>
    <w:rsid w:val="00BB152B"/>
    <w:rsid w:val="00BB1969"/>
    <w:rsid w:val="00BB1AEC"/>
    <w:rsid w:val="00BB1AF2"/>
    <w:rsid w:val="00BB1B11"/>
    <w:rsid w:val="00BB1D4C"/>
    <w:rsid w:val="00BB1F51"/>
    <w:rsid w:val="00BB216D"/>
    <w:rsid w:val="00BB23B7"/>
    <w:rsid w:val="00BB241E"/>
    <w:rsid w:val="00BB25B0"/>
    <w:rsid w:val="00BB3107"/>
    <w:rsid w:val="00BB3599"/>
    <w:rsid w:val="00BB36BF"/>
    <w:rsid w:val="00BB390A"/>
    <w:rsid w:val="00BB3A1E"/>
    <w:rsid w:val="00BB3C13"/>
    <w:rsid w:val="00BB3F5E"/>
    <w:rsid w:val="00BB4216"/>
    <w:rsid w:val="00BB4346"/>
    <w:rsid w:val="00BB4771"/>
    <w:rsid w:val="00BB47B5"/>
    <w:rsid w:val="00BB4A10"/>
    <w:rsid w:val="00BB5F99"/>
    <w:rsid w:val="00BB64B0"/>
    <w:rsid w:val="00BB6B9B"/>
    <w:rsid w:val="00BB6C16"/>
    <w:rsid w:val="00BB71AF"/>
    <w:rsid w:val="00BB7519"/>
    <w:rsid w:val="00BB75A4"/>
    <w:rsid w:val="00BB7B69"/>
    <w:rsid w:val="00BB7DBE"/>
    <w:rsid w:val="00BB7E2F"/>
    <w:rsid w:val="00BB7FA6"/>
    <w:rsid w:val="00BC0073"/>
    <w:rsid w:val="00BC0179"/>
    <w:rsid w:val="00BC03D9"/>
    <w:rsid w:val="00BC0847"/>
    <w:rsid w:val="00BC0892"/>
    <w:rsid w:val="00BC0A1C"/>
    <w:rsid w:val="00BC0C3E"/>
    <w:rsid w:val="00BC1276"/>
    <w:rsid w:val="00BC14C4"/>
    <w:rsid w:val="00BC1C46"/>
    <w:rsid w:val="00BC1C9F"/>
    <w:rsid w:val="00BC22B5"/>
    <w:rsid w:val="00BC2690"/>
    <w:rsid w:val="00BC271C"/>
    <w:rsid w:val="00BC27A3"/>
    <w:rsid w:val="00BC2E20"/>
    <w:rsid w:val="00BC2ED6"/>
    <w:rsid w:val="00BC3121"/>
    <w:rsid w:val="00BC3208"/>
    <w:rsid w:val="00BC3654"/>
    <w:rsid w:val="00BC36E5"/>
    <w:rsid w:val="00BC3A30"/>
    <w:rsid w:val="00BC3AFC"/>
    <w:rsid w:val="00BC3E58"/>
    <w:rsid w:val="00BC3F3D"/>
    <w:rsid w:val="00BC423E"/>
    <w:rsid w:val="00BC438E"/>
    <w:rsid w:val="00BC43BB"/>
    <w:rsid w:val="00BC4675"/>
    <w:rsid w:val="00BC53E3"/>
    <w:rsid w:val="00BC54B9"/>
    <w:rsid w:val="00BC62AC"/>
    <w:rsid w:val="00BC647B"/>
    <w:rsid w:val="00BC66F1"/>
    <w:rsid w:val="00BC6EB2"/>
    <w:rsid w:val="00BC7479"/>
    <w:rsid w:val="00BC7B62"/>
    <w:rsid w:val="00BC7BDD"/>
    <w:rsid w:val="00BD0082"/>
    <w:rsid w:val="00BD03BC"/>
    <w:rsid w:val="00BD06C2"/>
    <w:rsid w:val="00BD0FFC"/>
    <w:rsid w:val="00BD122E"/>
    <w:rsid w:val="00BD128A"/>
    <w:rsid w:val="00BD1FBD"/>
    <w:rsid w:val="00BD2072"/>
    <w:rsid w:val="00BD2375"/>
    <w:rsid w:val="00BD2465"/>
    <w:rsid w:val="00BD2EBD"/>
    <w:rsid w:val="00BD33F8"/>
    <w:rsid w:val="00BD34B2"/>
    <w:rsid w:val="00BD375E"/>
    <w:rsid w:val="00BD3A3A"/>
    <w:rsid w:val="00BD3A9A"/>
    <w:rsid w:val="00BD4622"/>
    <w:rsid w:val="00BD4991"/>
    <w:rsid w:val="00BD49E1"/>
    <w:rsid w:val="00BD56CD"/>
    <w:rsid w:val="00BD56D4"/>
    <w:rsid w:val="00BD5EDC"/>
    <w:rsid w:val="00BD6014"/>
    <w:rsid w:val="00BD61AA"/>
    <w:rsid w:val="00BD622A"/>
    <w:rsid w:val="00BD6263"/>
    <w:rsid w:val="00BD6268"/>
    <w:rsid w:val="00BD66AC"/>
    <w:rsid w:val="00BD6724"/>
    <w:rsid w:val="00BD6815"/>
    <w:rsid w:val="00BD6A0B"/>
    <w:rsid w:val="00BD6ACD"/>
    <w:rsid w:val="00BD7022"/>
    <w:rsid w:val="00BD7336"/>
    <w:rsid w:val="00BD73CA"/>
    <w:rsid w:val="00BD744E"/>
    <w:rsid w:val="00BD74FD"/>
    <w:rsid w:val="00BD7A21"/>
    <w:rsid w:val="00BD7B65"/>
    <w:rsid w:val="00BE018D"/>
    <w:rsid w:val="00BE01D0"/>
    <w:rsid w:val="00BE0269"/>
    <w:rsid w:val="00BE0382"/>
    <w:rsid w:val="00BE03CC"/>
    <w:rsid w:val="00BE089B"/>
    <w:rsid w:val="00BE0FED"/>
    <w:rsid w:val="00BE1E59"/>
    <w:rsid w:val="00BE1EAA"/>
    <w:rsid w:val="00BE22C4"/>
    <w:rsid w:val="00BE27F7"/>
    <w:rsid w:val="00BE2CCE"/>
    <w:rsid w:val="00BE3020"/>
    <w:rsid w:val="00BE370C"/>
    <w:rsid w:val="00BE3A86"/>
    <w:rsid w:val="00BE3B57"/>
    <w:rsid w:val="00BE3D63"/>
    <w:rsid w:val="00BE3DB1"/>
    <w:rsid w:val="00BE4311"/>
    <w:rsid w:val="00BE43EF"/>
    <w:rsid w:val="00BE43F1"/>
    <w:rsid w:val="00BE4AC7"/>
    <w:rsid w:val="00BE514C"/>
    <w:rsid w:val="00BE53DB"/>
    <w:rsid w:val="00BE559A"/>
    <w:rsid w:val="00BE5A86"/>
    <w:rsid w:val="00BE6784"/>
    <w:rsid w:val="00BE6844"/>
    <w:rsid w:val="00BE685C"/>
    <w:rsid w:val="00BE6933"/>
    <w:rsid w:val="00BE6A90"/>
    <w:rsid w:val="00BE7328"/>
    <w:rsid w:val="00BE7371"/>
    <w:rsid w:val="00BE763A"/>
    <w:rsid w:val="00BE7B1E"/>
    <w:rsid w:val="00BF0A19"/>
    <w:rsid w:val="00BF0BFD"/>
    <w:rsid w:val="00BF1296"/>
    <w:rsid w:val="00BF16DD"/>
    <w:rsid w:val="00BF1796"/>
    <w:rsid w:val="00BF184D"/>
    <w:rsid w:val="00BF18C3"/>
    <w:rsid w:val="00BF20C6"/>
    <w:rsid w:val="00BF289B"/>
    <w:rsid w:val="00BF2922"/>
    <w:rsid w:val="00BF2A3F"/>
    <w:rsid w:val="00BF2B21"/>
    <w:rsid w:val="00BF2ED5"/>
    <w:rsid w:val="00BF30D2"/>
    <w:rsid w:val="00BF3588"/>
    <w:rsid w:val="00BF41CB"/>
    <w:rsid w:val="00BF424A"/>
    <w:rsid w:val="00BF4587"/>
    <w:rsid w:val="00BF46AE"/>
    <w:rsid w:val="00BF496F"/>
    <w:rsid w:val="00BF4BFF"/>
    <w:rsid w:val="00BF50D3"/>
    <w:rsid w:val="00BF5220"/>
    <w:rsid w:val="00BF5A70"/>
    <w:rsid w:val="00BF6089"/>
    <w:rsid w:val="00BF6521"/>
    <w:rsid w:val="00BF6591"/>
    <w:rsid w:val="00BF6DD9"/>
    <w:rsid w:val="00BF73D7"/>
    <w:rsid w:val="00BF776A"/>
    <w:rsid w:val="00BF7A2D"/>
    <w:rsid w:val="00BF7B27"/>
    <w:rsid w:val="00BF7C1D"/>
    <w:rsid w:val="00BF7D6B"/>
    <w:rsid w:val="00BF7E38"/>
    <w:rsid w:val="00C009A5"/>
    <w:rsid w:val="00C00CF6"/>
    <w:rsid w:val="00C010E8"/>
    <w:rsid w:val="00C011E2"/>
    <w:rsid w:val="00C018A9"/>
    <w:rsid w:val="00C018CF"/>
    <w:rsid w:val="00C01AF0"/>
    <w:rsid w:val="00C01CD3"/>
    <w:rsid w:val="00C01D8D"/>
    <w:rsid w:val="00C023B3"/>
    <w:rsid w:val="00C03621"/>
    <w:rsid w:val="00C036A9"/>
    <w:rsid w:val="00C04151"/>
    <w:rsid w:val="00C04608"/>
    <w:rsid w:val="00C05138"/>
    <w:rsid w:val="00C0576F"/>
    <w:rsid w:val="00C05A6C"/>
    <w:rsid w:val="00C05B2F"/>
    <w:rsid w:val="00C05EB8"/>
    <w:rsid w:val="00C0670D"/>
    <w:rsid w:val="00C06C27"/>
    <w:rsid w:val="00C06D0B"/>
    <w:rsid w:val="00C06DFB"/>
    <w:rsid w:val="00C070F6"/>
    <w:rsid w:val="00C07195"/>
    <w:rsid w:val="00C07333"/>
    <w:rsid w:val="00C074E8"/>
    <w:rsid w:val="00C07C87"/>
    <w:rsid w:val="00C07D04"/>
    <w:rsid w:val="00C07F9D"/>
    <w:rsid w:val="00C1008D"/>
    <w:rsid w:val="00C10194"/>
    <w:rsid w:val="00C105A1"/>
    <w:rsid w:val="00C105F3"/>
    <w:rsid w:val="00C107D5"/>
    <w:rsid w:val="00C10B39"/>
    <w:rsid w:val="00C10EAC"/>
    <w:rsid w:val="00C10F26"/>
    <w:rsid w:val="00C11036"/>
    <w:rsid w:val="00C120EA"/>
    <w:rsid w:val="00C12264"/>
    <w:rsid w:val="00C12976"/>
    <w:rsid w:val="00C12BEA"/>
    <w:rsid w:val="00C12C45"/>
    <w:rsid w:val="00C12E06"/>
    <w:rsid w:val="00C135CC"/>
    <w:rsid w:val="00C13BFB"/>
    <w:rsid w:val="00C13CE3"/>
    <w:rsid w:val="00C13EE1"/>
    <w:rsid w:val="00C1426F"/>
    <w:rsid w:val="00C1449B"/>
    <w:rsid w:val="00C14E94"/>
    <w:rsid w:val="00C151BD"/>
    <w:rsid w:val="00C1543D"/>
    <w:rsid w:val="00C1578F"/>
    <w:rsid w:val="00C1588D"/>
    <w:rsid w:val="00C15B83"/>
    <w:rsid w:val="00C15DD1"/>
    <w:rsid w:val="00C16210"/>
    <w:rsid w:val="00C1639C"/>
    <w:rsid w:val="00C16448"/>
    <w:rsid w:val="00C1663D"/>
    <w:rsid w:val="00C16A41"/>
    <w:rsid w:val="00C170B6"/>
    <w:rsid w:val="00C17373"/>
    <w:rsid w:val="00C17B59"/>
    <w:rsid w:val="00C17F22"/>
    <w:rsid w:val="00C205A2"/>
    <w:rsid w:val="00C21054"/>
    <w:rsid w:val="00C21055"/>
    <w:rsid w:val="00C212DC"/>
    <w:rsid w:val="00C21B66"/>
    <w:rsid w:val="00C21C7C"/>
    <w:rsid w:val="00C21E0D"/>
    <w:rsid w:val="00C22259"/>
    <w:rsid w:val="00C223D2"/>
    <w:rsid w:val="00C22C1B"/>
    <w:rsid w:val="00C22D28"/>
    <w:rsid w:val="00C237DB"/>
    <w:rsid w:val="00C23D46"/>
    <w:rsid w:val="00C23DD3"/>
    <w:rsid w:val="00C23EE8"/>
    <w:rsid w:val="00C24C3F"/>
    <w:rsid w:val="00C24C85"/>
    <w:rsid w:val="00C24D8E"/>
    <w:rsid w:val="00C2500E"/>
    <w:rsid w:val="00C252C4"/>
    <w:rsid w:val="00C2533C"/>
    <w:rsid w:val="00C2564B"/>
    <w:rsid w:val="00C25669"/>
    <w:rsid w:val="00C25757"/>
    <w:rsid w:val="00C2577F"/>
    <w:rsid w:val="00C2594B"/>
    <w:rsid w:val="00C25997"/>
    <w:rsid w:val="00C25B11"/>
    <w:rsid w:val="00C25DCE"/>
    <w:rsid w:val="00C2611C"/>
    <w:rsid w:val="00C261C1"/>
    <w:rsid w:val="00C2641E"/>
    <w:rsid w:val="00C26583"/>
    <w:rsid w:val="00C270F2"/>
    <w:rsid w:val="00C27116"/>
    <w:rsid w:val="00C272D2"/>
    <w:rsid w:val="00C27834"/>
    <w:rsid w:val="00C30189"/>
    <w:rsid w:val="00C30784"/>
    <w:rsid w:val="00C307DB"/>
    <w:rsid w:val="00C30A09"/>
    <w:rsid w:val="00C30D98"/>
    <w:rsid w:val="00C3155A"/>
    <w:rsid w:val="00C318A5"/>
    <w:rsid w:val="00C31939"/>
    <w:rsid w:val="00C31E9E"/>
    <w:rsid w:val="00C3205E"/>
    <w:rsid w:val="00C32DD8"/>
    <w:rsid w:val="00C330FB"/>
    <w:rsid w:val="00C3365F"/>
    <w:rsid w:val="00C33A06"/>
    <w:rsid w:val="00C33C88"/>
    <w:rsid w:val="00C33E17"/>
    <w:rsid w:val="00C34429"/>
    <w:rsid w:val="00C345B6"/>
    <w:rsid w:val="00C3487D"/>
    <w:rsid w:val="00C34901"/>
    <w:rsid w:val="00C34907"/>
    <w:rsid w:val="00C34D28"/>
    <w:rsid w:val="00C34F1E"/>
    <w:rsid w:val="00C3502C"/>
    <w:rsid w:val="00C35192"/>
    <w:rsid w:val="00C3527C"/>
    <w:rsid w:val="00C3528A"/>
    <w:rsid w:val="00C352A3"/>
    <w:rsid w:val="00C35A53"/>
    <w:rsid w:val="00C3601B"/>
    <w:rsid w:val="00C361ED"/>
    <w:rsid w:val="00C36455"/>
    <w:rsid w:val="00C36BE2"/>
    <w:rsid w:val="00C36CA8"/>
    <w:rsid w:val="00C36D7F"/>
    <w:rsid w:val="00C37190"/>
    <w:rsid w:val="00C37277"/>
    <w:rsid w:val="00C37AFE"/>
    <w:rsid w:val="00C40455"/>
    <w:rsid w:val="00C40AE1"/>
    <w:rsid w:val="00C40B9E"/>
    <w:rsid w:val="00C40C7C"/>
    <w:rsid w:val="00C40CCF"/>
    <w:rsid w:val="00C40E38"/>
    <w:rsid w:val="00C40E43"/>
    <w:rsid w:val="00C41257"/>
    <w:rsid w:val="00C412DB"/>
    <w:rsid w:val="00C416CC"/>
    <w:rsid w:val="00C416ED"/>
    <w:rsid w:val="00C41898"/>
    <w:rsid w:val="00C41A10"/>
    <w:rsid w:val="00C420A4"/>
    <w:rsid w:val="00C437BD"/>
    <w:rsid w:val="00C4387E"/>
    <w:rsid w:val="00C43D70"/>
    <w:rsid w:val="00C440A8"/>
    <w:rsid w:val="00C44C1B"/>
    <w:rsid w:val="00C44E0A"/>
    <w:rsid w:val="00C44E14"/>
    <w:rsid w:val="00C44FFE"/>
    <w:rsid w:val="00C45BA1"/>
    <w:rsid w:val="00C45BF7"/>
    <w:rsid w:val="00C45F58"/>
    <w:rsid w:val="00C46015"/>
    <w:rsid w:val="00C4602F"/>
    <w:rsid w:val="00C4623B"/>
    <w:rsid w:val="00C46583"/>
    <w:rsid w:val="00C466BF"/>
    <w:rsid w:val="00C47A6C"/>
    <w:rsid w:val="00C47F2E"/>
    <w:rsid w:val="00C50297"/>
    <w:rsid w:val="00C5037E"/>
    <w:rsid w:val="00C503AF"/>
    <w:rsid w:val="00C50534"/>
    <w:rsid w:val="00C50577"/>
    <w:rsid w:val="00C508D0"/>
    <w:rsid w:val="00C50BCE"/>
    <w:rsid w:val="00C50FBF"/>
    <w:rsid w:val="00C51087"/>
    <w:rsid w:val="00C514EB"/>
    <w:rsid w:val="00C51907"/>
    <w:rsid w:val="00C51D6E"/>
    <w:rsid w:val="00C5265B"/>
    <w:rsid w:val="00C52BAB"/>
    <w:rsid w:val="00C52BFA"/>
    <w:rsid w:val="00C52FCA"/>
    <w:rsid w:val="00C53243"/>
    <w:rsid w:val="00C53343"/>
    <w:rsid w:val="00C53591"/>
    <w:rsid w:val="00C53806"/>
    <w:rsid w:val="00C5393B"/>
    <w:rsid w:val="00C53A58"/>
    <w:rsid w:val="00C53E5A"/>
    <w:rsid w:val="00C545E0"/>
    <w:rsid w:val="00C545F8"/>
    <w:rsid w:val="00C5468B"/>
    <w:rsid w:val="00C54709"/>
    <w:rsid w:val="00C54D7D"/>
    <w:rsid w:val="00C55274"/>
    <w:rsid w:val="00C5544C"/>
    <w:rsid w:val="00C55D31"/>
    <w:rsid w:val="00C55E40"/>
    <w:rsid w:val="00C5644C"/>
    <w:rsid w:val="00C56B61"/>
    <w:rsid w:val="00C5786B"/>
    <w:rsid w:val="00C57C36"/>
    <w:rsid w:val="00C60173"/>
    <w:rsid w:val="00C60A30"/>
    <w:rsid w:val="00C60A71"/>
    <w:rsid w:val="00C60D0B"/>
    <w:rsid w:val="00C61033"/>
    <w:rsid w:val="00C61421"/>
    <w:rsid w:val="00C61576"/>
    <w:rsid w:val="00C61DDB"/>
    <w:rsid w:val="00C6220B"/>
    <w:rsid w:val="00C627BA"/>
    <w:rsid w:val="00C6297D"/>
    <w:rsid w:val="00C62D7D"/>
    <w:rsid w:val="00C62E52"/>
    <w:rsid w:val="00C63060"/>
    <w:rsid w:val="00C63B1D"/>
    <w:rsid w:val="00C63BAA"/>
    <w:rsid w:val="00C63D82"/>
    <w:rsid w:val="00C63F23"/>
    <w:rsid w:val="00C63F61"/>
    <w:rsid w:val="00C6430E"/>
    <w:rsid w:val="00C647AF"/>
    <w:rsid w:val="00C649FE"/>
    <w:rsid w:val="00C64D53"/>
    <w:rsid w:val="00C64E04"/>
    <w:rsid w:val="00C65020"/>
    <w:rsid w:val="00C6568B"/>
    <w:rsid w:val="00C65693"/>
    <w:rsid w:val="00C6592F"/>
    <w:rsid w:val="00C65AFA"/>
    <w:rsid w:val="00C65C45"/>
    <w:rsid w:val="00C65DF5"/>
    <w:rsid w:val="00C65FCC"/>
    <w:rsid w:val="00C664FA"/>
    <w:rsid w:val="00C665D5"/>
    <w:rsid w:val="00C66940"/>
    <w:rsid w:val="00C66B48"/>
    <w:rsid w:val="00C6730F"/>
    <w:rsid w:val="00C6733B"/>
    <w:rsid w:val="00C67407"/>
    <w:rsid w:val="00C6770D"/>
    <w:rsid w:val="00C67D4C"/>
    <w:rsid w:val="00C71079"/>
    <w:rsid w:val="00C71330"/>
    <w:rsid w:val="00C71454"/>
    <w:rsid w:val="00C71472"/>
    <w:rsid w:val="00C7168B"/>
    <w:rsid w:val="00C71913"/>
    <w:rsid w:val="00C7192F"/>
    <w:rsid w:val="00C71AC9"/>
    <w:rsid w:val="00C71C2C"/>
    <w:rsid w:val="00C72252"/>
    <w:rsid w:val="00C730BD"/>
    <w:rsid w:val="00C73470"/>
    <w:rsid w:val="00C73915"/>
    <w:rsid w:val="00C7411A"/>
    <w:rsid w:val="00C742D9"/>
    <w:rsid w:val="00C744B5"/>
    <w:rsid w:val="00C74723"/>
    <w:rsid w:val="00C748C9"/>
    <w:rsid w:val="00C75132"/>
    <w:rsid w:val="00C75474"/>
    <w:rsid w:val="00C761D4"/>
    <w:rsid w:val="00C76538"/>
    <w:rsid w:val="00C76C42"/>
    <w:rsid w:val="00C7714C"/>
    <w:rsid w:val="00C7716D"/>
    <w:rsid w:val="00C774D7"/>
    <w:rsid w:val="00C77906"/>
    <w:rsid w:val="00C77D8E"/>
    <w:rsid w:val="00C77F5D"/>
    <w:rsid w:val="00C8054F"/>
    <w:rsid w:val="00C805B0"/>
    <w:rsid w:val="00C80F80"/>
    <w:rsid w:val="00C810BA"/>
    <w:rsid w:val="00C8148A"/>
    <w:rsid w:val="00C81889"/>
    <w:rsid w:val="00C81BEB"/>
    <w:rsid w:val="00C81ECF"/>
    <w:rsid w:val="00C82099"/>
    <w:rsid w:val="00C82140"/>
    <w:rsid w:val="00C825DD"/>
    <w:rsid w:val="00C826F7"/>
    <w:rsid w:val="00C82AF9"/>
    <w:rsid w:val="00C83007"/>
    <w:rsid w:val="00C8339D"/>
    <w:rsid w:val="00C834B1"/>
    <w:rsid w:val="00C839FD"/>
    <w:rsid w:val="00C84C14"/>
    <w:rsid w:val="00C84DD1"/>
    <w:rsid w:val="00C84F7F"/>
    <w:rsid w:val="00C85020"/>
    <w:rsid w:val="00C85057"/>
    <w:rsid w:val="00C8537A"/>
    <w:rsid w:val="00C8597E"/>
    <w:rsid w:val="00C85AD7"/>
    <w:rsid w:val="00C85BE3"/>
    <w:rsid w:val="00C8631E"/>
    <w:rsid w:val="00C86391"/>
    <w:rsid w:val="00C869D7"/>
    <w:rsid w:val="00C86BA6"/>
    <w:rsid w:val="00C86BCB"/>
    <w:rsid w:val="00C86D05"/>
    <w:rsid w:val="00C875E8"/>
    <w:rsid w:val="00C87662"/>
    <w:rsid w:val="00C87690"/>
    <w:rsid w:val="00C8769C"/>
    <w:rsid w:val="00C878A2"/>
    <w:rsid w:val="00C87C0D"/>
    <w:rsid w:val="00C87DB7"/>
    <w:rsid w:val="00C90669"/>
    <w:rsid w:val="00C907D0"/>
    <w:rsid w:val="00C90877"/>
    <w:rsid w:val="00C90AE0"/>
    <w:rsid w:val="00C90BD8"/>
    <w:rsid w:val="00C911F8"/>
    <w:rsid w:val="00C916E9"/>
    <w:rsid w:val="00C91805"/>
    <w:rsid w:val="00C918A8"/>
    <w:rsid w:val="00C923FD"/>
    <w:rsid w:val="00C924A8"/>
    <w:rsid w:val="00C9259F"/>
    <w:rsid w:val="00C92708"/>
    <w:rsid w:val="00C92FCB"/>
    <w:rsid w:val="00C9301F"/>
    <w:rsid w:val="00C93151"/>
    <w:rsid w:val="00C93673"/>
    <w:rsid w:val="00C9375F"/>
    <w:rsid w:val="00C940B0"/>
    <w:rsid w:val="00C94138"/>
    <w:rsid w:val="00C94712"/>
    <w:rsid w:val="00C951B0"/>
    <w:rsid w:val="00C952A7"/>
    <w:rsid w:val="00C95C73"/>
    <w:rsid w:val="00C95FFC"/>
    <w:rsid w:val="00C96161"/>
    <w:rsid w:val="00C9619E"/>
    <w:rsid w:val="00C96577"/>
    <w:rsid w:val="00C96907"/>
    <w:rsid w:val="00C9694B"/>
    <w:rsid w:val="00C9767B"/>
    <w:rsid w:val="00C9770A"/>
    <w:rsid w:val="00C97B16"/>
    <w:rsid w:val="00CA04A9"/>
    <w:rsid w:val="00CA0BEA"/>
    <w:rsid w:val="00CA0F40"/>
    <w:rsid w:val="00CA0F72"/>
    <w:rsid w:val="00CA1096"/>
    <w:rsid w:val="00CA17CE"/>
    <w:rsid w:val="00CA1B2D"/>
    <w:rsid w:val="00CA2304"/>
    <w:rsid w:val="00CA27DF"/>
    <w:rsid w:val="00CA2A7F"/>
    <w:rsid w:val="00CA3216"/>
    <w:rsid w:val="00CA3218"/>
    <w:rsid w:val="00CA32AD"/>
    <w:rsid w:val="00CA3A90"/>
    <w:rsid w:val="00CA409D"/>
    <w:rsid w:val="00CA41BF"/>
    <w:rsid w:val="00CA44CC"/>
    <w:rsid w:val="00CA47EE"/>
    <w:rsid w:val="00CA4893"/>
    <w:rsid w:val="00CA49F9"/>
    <w:rsid w:val="00CA5063"/>
    <w:rsid w:val="00CA52C6"/>
    <w:rsid w:val="00CA57C8"/>
    <w:rsid w:val="00CA5957"/>
    <w:rsid w:val="00CA5CF4"/>
    <w:rsid w:val="00CA5D89"/>
    <w:rsid w:val="00CA5F33"/>
    <w:rsid w:val="00CA6867"/>
    <w:rsid w:val="00CA6967"/>
    <w:rsid w:val="00CA699C"/>
    <w:rsid w:val="00CA72FC"/>
    <w:rsid w:val="00CA7C05"/>
    <w:rsid w:val="00CB0545"/>
    <w:rsid w:val="00CB061C"/>
    <w:rsid w:val="00CB07B6"/>
    <w:rsid w:val="00CB08A8"/>
    <w:rsid w:val="00CB0EA1"/>
    <w:rsid w:val="00CB115C"/>
    <w:rsid w:val="00CB1405"/>
    <w:rsid w:val="00CB14E6"/>
    <w:rsid w:val="00CB19F8"/>
    <w:rsid w:val="00CB1A77"/>
    <w:rsid w:val="00CB20B9"/>
    <w:rsid w:val="00CB2EA3"/>
    <w:rsid w:val="00CB300F"/>
    <w:rsid w:val="00CB303C"/>
    <w:rsid w:val="00CB32AF"/>
    <w:rsid w:val="00CB33A5"/>
    <w:rsid w:val="00CB346D"/>
    <w:rsid w:val="00CB36DB"/>
    <w:rsid w:val="00CB3F04"/>
    <w:rsid w:val="00CB45C2"/>
    <w:rsid w:val="00CB4B5B"/>
    <w:rsid w:val="00CB4CFE"/>
    <w:rsid w:val="00CB4DE5"/>
    <w:rsid w:val="00CB4F03"/>
    <w:rsid w:val="00CB5205"/>
    <w:rsid w:val="00CB54C7"/>
    <w:rsid w:val="00CB5AF6"/>
    <w:rsid w:val="00CB5C85"/>
    <w:rsid w:val="00CB5E07"/>
    <w:rsid w:val="00CB5E8B"/>
    <w:rsid w:val="00CB6729"/>
    <w:rsid w:val="00CB7469"/>
    <w:rsid w:val="00CB7484"/>
    <w:rsid w:val="00CC0133"/>
    <w:rsid w:val="00CC015D"/>
    <w:rsid w:val="00CC038D"/>
    <w:rsid w:val="00CC0857"/>
    <w:rsid w:val="00CC0CC4"/>
    <w:rsid w:val="00CC0D43"/>
    <w:rsid w:val="00CC0DC7"/>
    <w:rsid w:val="00CC0EC2"/>
    <w:rsid w:val="00CC1163"/>
    <w:rsid w:val="00CC1297"/>
    <w:rsid w:val="00CC12ED"/>
    <w:rsid w:val="00CC1715"/>
    <w:rsid w:val="00CC1B3D"/>
    <w:rsid w:val="00CC1EBF"/>
    <w:rsid w:val="00CC30C0"/>
    <w:rsid w:val="00CC3940"/>
    <w:rsid w:val="00CC3B97"/>
    <w:rsid w:val="00CC3BE4"/>
    <w:rsid w:val="00CC3EFF"/>
    <w:rsid w:val="00CC3F30"/>
    <w:rsid w:val="00CC40AD"/>
    <w:rsid w:val="00CC42EF"/>
    <w:rsid w:val="00CC47DF"/>
    <w:rsid w:val="00CC4AD1"/>
    <w:rsid w:val="00CC4BA0"/>
    <w:rsid w:val="00CC4CC8"/>
    <w:rsid w:val="00CC5522"/>
    <w:rsid w:val="00CC5DD3"/>
    <w:rsid w:val="00CC713E"/>
    <w:rsid w:val="00CC74F4"/>
    <w:rsid w:val="00CC76D2"/>
    <w:rsid w:val="00CC77F4"/>
    <w:rsid w:val="00CC7A06"/>
    <w:rsid w:val="00CC7C80"/>
    <w:rsid w:val="00CC7F18"/>
    <w:rsid w:val="00CD031F"/>
    <w:rsid w:val="00CD0705"/>
    <w:rsid w:val="00CD0736"/>
    <w:rsid w:val="00CD09F3"/>
    <w:rsid w:val="00CD10C6"/>
    <w:rsid w:val="00CD10EE"/>
    <w:rsid w:val="00CD149C"/>
    <w:rsid w:val="00CD1704"/>
    <w:rsid w:val="00CD18DC"/>
    <w:rsid w:val="00CD1B66"/>
    <w:rsid w:val="00CD1C78"/>
    <w:rsid w:val="00CD1C7C"/>
    <w:rsid w:val="00CD2075"/>
    <w:rsid w:val="00CD2B77"/>
    <w:rsid w:val="00CD3E24"/>
    <w:rsid w:val="00CD40BA"/>
    <w:rsid w:val="00CD40F5"/>
    <w:rsid w:val="00CD4397"/>
    <w:rsid w:val="00CD4953"/>
    <w:rsid w:val="00CD4F36"/>
    <w:rsid w:val="00CD50A1"/>
    <w:rsid w:val="00CD518F"/>
    <w:rsid w:val="00CD54F7"/>
    <w:rsid w:val="00CD573D"/>
    <w:rsid w:val="00CD59F9"/>
    <w:rsid w:val="00CD6603"/>
    <w:rsid w:val="00CD6C15"/>
    <w:rsid w:val="00CE01C2"/>
    <w:rsid w:val="00CE0285"/>
    <w:rsid w:val="00CE04C5"/>
    <w:rsid w:val="00CE0557"/>
    <w:rsid w:val="00CE0582"/>
    <w:rsid w:val="00CE1150"/>
    <w:rsid w:val="00CE1299"/>
    <w:rsid w:val="00CE192A"/>
    <w:rsid w:val="00CE1CA0"/>
    <w:rsid w:val="00CE1D0C"/>
    <w:rsid w:val="00CE1D9F"/>
    <w:rsid w:val="00CE1E15"/>
    <w:rsid w:val="00CE1F6D"/>
    <w:rsid w:val="00CE221E"/>
    <w:rsid w:val="00CE22EC"/>
    <w:rsid w:val="00CE239F"/>
    <w:rsid w:val="00CE2C67"/>
    <w:rsid w:val="00CE3B9F"/>
    <w:rsid w:val="00CE420E"/>
    <w:rsid w:val="00CE4595"/>
    <w:rsid w:val="00CE464F"/>
    <w:rsid w:val="00CE4703"/>
    <w:rsid w:val="00CE4849"/>
    <w:rsid w:val="00CE4923"/>
    <w:rsid w:val="00CE4C5F"/>
    <w:rsid w:val="00CE57AA"/>
    <w:rsid w:val="00CE5BF3"/>
    <w:rsid w:val="00CE6270"/>
    <w:rsid w:val="00CE64EF"/>
    <w:rsid w:val="00CE7C72"/>
    <w:rsid w:val="00CE7E48"/>
    <w:rsid w:val="00CE7FBE"/>
    <w:rsid w:val="00CF06BA"/>
    <w:rsid w:val="00CF0ABB"/>
    <w:rsid w:val="00CF0DF6"/>
    <w:rsid w:val="00CF1056"/>
    <w:rsid w:val="00CF11C1"/>
    <w:rsid w:val="00CF14DB"/>
    <w:rsid w:val="00CF1996"/>
    <w:rsid w:val="00CF1D49"/>
    <w:rsid w:val="00CF1F17"/>
    <w:rsid w:val="00CF2050"/>
    <w:rsid w:val="00CF205A"/>
    <w:rsid w:val="00CF273C"/>
    <w:rsid w:val="00CF293B"/>
    <w:rsid w:val="00CF2C57"/>
    <w:rsid w:val="00CF2FA0"/>
    <w:rsid w:val="00CF3193"/>
    <w:rsid w:val="00CF4620"/>
    <w:rsid w:val="00CF49A3"/>
    <w:rsid w:val="00CF49CA"/>
    <w:rsid w:val="00CF4C86"/>
    <w:rsid w:val="00CF4D87"/>
    <w:rsid w:val="00CF4F65"/>
    <w:rsid w:val="00CF5899"/>
    <w:rsid w:val="00CF5991"/>
    <w:rsid w:val="00CF6388"/>
    <w:rsid w:val="00CF65B8"/>
    <w:rsid w:val="00CF66E8"/>
    <w:rsid w:val="00CF7702"/>
    <w:rsid w:val="00CF7BCA"/>
    <w:rsid w:val="00CF7FF4"/>
    <w:rsid w:val="00D00DE9"/>
    <w:rsid w:val="00D00DEE"/>
    <w:rsid w:val="00D01B0D"/>
    <w:rsid w:val="00D0241C"/>
    <w:rsid w:val="00D0268B"/>
    <w:rsid w:val="00D03115"/>
    <w:rsid w:val="00D033CD"/>
    <w:rsid w:val="00D03724"/>
    <w:rsid w:val="00D04755"/>
    <w:rsid w:val="00D0497F"/>
    <w:rsid w:val="00D056CC"/>
    <w:rsid w:val="00D063EF"/>
    <w:rsid w:val="00D06704"/>
    <w:rsid w:val="00D067AC"/>
    <w:rsid w:val="00D068A5"/>
    <w:rsid w:val="00D068C6"/>
    <w:rsid w:val="00D06C12"/>
    <w:rsid w:val="00D06E26"/>
    <w:rsid w:val="00D07468"/>
    <w:rsid w:val="00D10463"/>
    <w:rsid w:val="00D10521"/>
    <w:rsid w:val="00D1070A"/>
    <w:rsid w:val="00D10D1B"/>
    <w:rsid w:val="00D10ECC"/>
    <w:rsid w:val="00D113B7"/>
    <w:rsid w:val="00D113C2"/>
    <w:rsid w:val="00D113EB"/>
    <w:rsid w:val="00D1183E"/>
    <w:rsid w:val="00D11BC1"/>
    <w:rsid w:val="00D11E7C"/>
    <w:rsid w:val="00D11FA9"/>
    <w:rsid w:val="00D12E71"/>
    <w:rsid w:val="00D12EDE"/>
    <w:rsid w:val="00D132F9"/>
    <w:rsid w:val="00D13394"/>
    <w:rsid w:val="00D13545"/>
    <w:rsid w:val="00D13EC6"/>
    <w:rsid w:val="00D14140"/>
    <w:rsid w:val="00D147F4"/>
    <w:rsid w:val="00D15144"/>
    <w:rsid w:val="00D1533D"/>
    <w:rsid w:val="00D1540A"/>
    <w:rsid w:val="00D15D95"/>
    <w:rsid w:val="00D1642E"/>
    <w:rsid w:val="00D164C5"/>
    <w:rsid w:val="00D1656E"/>
    <w:rsid w:val="00D1668F"/>
    <w:rsid w:val="00D169D3"/>
    <w:rsid w:val="00D16F1F"/>
    <w:rsid w:val="00D202E1"/>
    <w:rsid w:val="00D205B6"/>
    <w:rsid w:val="00D21037"/>
    <w:rsid w:val="00D213C4"/>
    <w:rsid w:val="00D214D6"/>
    <w:rsid w:val="00D21A44"/>
    <w:rsid w:val="00D21CC7"/>
    <w:rsid w:val="00D2250F"/>
    <w:rsid w:val="00D2295A"/>
    <w:rsid w:val="00D22ACA"/>
    <w:rsid w:val="00D22ED2"/>
    <w:rsid w:val="00D239C7"/>
    <w:rsid w:val="00D23A73"/>
    <w:rsid w:val="00D23BA0"/>
    <w:rsid w:val="00D23E69"/>
    <w:rsid w:val="00D23E7D"/>
    <w:rsid w:val="00D24AD4"/>
    <w:rsid w:val="00D24D94"/>
    <w:rsid w:val="00D255ED"/>
    <w:rsid w:val="00D255FF"/>
    <w:rsid w:val="00D25DA9"/>
    <w:rsid w:val="00D25F15"/>
    <w:rsid w:val="00D26032"/>
    <w:rsid w:val="00D26040"/>
    <w:rsid w:val="00D264D2"/>
    <w:rsid w:val="00D264F9"/>
    <w:rsid w:val="00D266E6"/>
    <w:rsid w:val="00D26B9E"/>
    <w:rsid w:val="00D26CB7"/>
    <w:rsid w:val="00D26E40"/>
    <w:rsid w:val="00D2719B"/>
    <w:rsid w:val="00D273A5"/>
    <w:rsid w:val="00D274D7"/>
    <w:rsid w:val="00D275A2"/>
    <w:rsid w:val="00D27DE2"/>
    <w:rsid w:val="00D27F02"/>
    <w:rsid w:val="00D300BA"/>
    <w:rsid w:val="00D3034A"/>
    <w:rsid w:val="00D30555"/>
    <w:rsid w:val="00D30A12"/>
    <w:rsid w:val="00D30A3F"/>
    <w:rsid w:val="00D30BC0"/>
    <w:rsid w:val="00D30BEF"/>
    <w:rsid w:val="00D310E8"/>
    <w:rsid w:val="00D311EA"/>
    <w:rsid w:val="00D3127A"/>
    <w:rsid w:val="00D31313"/>
    <w:rsid w:val="00D3137A"/>
    <w:rsid w:val="00D3172B"/>
    <w:rsid w:val="00D3177C"/>
    <w:rsid w:val="00D32430"/>
    <w:rsid w:val="00D32E34"/>
    <w:rsid w:val="00D33257"/>
    <w:rsid w:val="00D3331E"/>
    <w:rsid w:val="00D33688"/>
    <w:rsid w:val="00D33859"/>
    <w:rsid w:val="00D338E2"/>
    <w:rsid w:val="00D34D87"/>
    <w:rsid w:val="00D35005"/>
    <w:rsid w:val="00D3597D"/>
    <w:rsid w:val="00D363D3"/>
    <w:rsid w:val="00D3678A"/>
    <w:rsid w:val="00D369A0"/>
    <w:rsid w:val="00D36EC1"/>
    <w:rsid w:val="00D36F3B"/>
    <w:rsid w:val="00D3716D"/>
    <w:rsid w:val="00D3755E"/>
    <w:rsid w:val="00D37872"/>
    <w:rsid w:val="00D3794F"/>
    <w:rsid w:val="00D37BB4"/>
    <w:rsid w:val="00D37D72"/>
    <w:rsid w:val="00D40701"/>
    <w:rsid w:val="00D408FF"/>
    <w:rsid w:val="00D409A7"/>
    <w:rsid w:val="00D40B87"/>
    <w:rsid w:val="00D4124B"/>
    <w:rsid w:val="00D4194A"/>
    <w:rsid w:val="00D41AC8"/>
    <w:rsid w:val="00D41FB4"/>
    <w:rsid w:val="00D41FEC"/>
    <w:rsid w:val="00D42994"/>
    <w:rsid w:val="00D429F6"/>
    <w:rsid w:val="00D434EE"/>
    <w:rsid w:val="00D438C1"/>
    <w:rsid w:val="00D43A2C"/>
    <w:rsid w:val="00D43BBE"/>
    <w:rsid w:val="00D44A78"/>
    <w:rsid w:val="00D45358"/>
    <w:rsid w:val="00D455E6"/>
    <w:rsid w:val="00D462D2"/>
    <w:rsid w:val="00D463CC"/>
    <w:rsid w:val="00D463CD"/>
    <w:rsid w:val="00D47516"/>
    <w:rsid w:val="00D477BB"/>
    <w:rsid w:val="00D500AD"/>
    <w:rsid w:val="00D50E96"/>
    <w:rsid w:val="00D50EBE"/>
    <w:rsid w:val="00D51AD8"/>
    <w:rsid w:val="00D51C3F"/>
    <w:rsid w:val="00D51DF7"/>
    <w:rsid w:val="00D52756"/>
    <w:rsid w:val="00D5314D"/>
    <w:rsid w:val="00D53397"/>
    <w:rsid w:val="00D53A2C"/>
    <w:rsid w:val="00D53A4C"/>
    <w:rsid w:val="00D53B77"/>
    <w:rsid w:val="00D53F54"/>
    <w:rsid w:val="00D541AF"/>
    <w:rsid w:val="00D545F3"/>
    <w:rsid w:val="00D5471C"/>
    <w:rsid w:val="00D54827"/>
    <w:rsid w:val="00D54BC9"/>
    <w:rsid w:val="00D54EF9"/>
    <w:rsid w:val="00D54F7B"/>
    <w:rsid w:val="00D550CB"/>
    <w:rsid w:val="00D552B2"/>
    <w:rsid w:val="00D556C7"/>
    <w:rsid w:val="00D55953"/>
    <w:rsid w:val="00D55E50"/>
    <w:rsid w:val="00D55F57"/>
    <w:rsid w:val="00D56131"/>
    <w:rsid w:val="00D56469"/>
    <w:rsid w:val="00D569C4"/>
    <w:rsid w:val="00D56C1A"/>
    <w:rsid w:val="00D57104"/>
    <w:rsid w:val="00D5753F"/>
    <w:rsid w:val="00D5768F"/>
    <w:rsid w:val="00D57983"/>
    <w:rsid w:val="00D57B35"/>
    <w:rsid w:val="00D57D6C"/>
    <w:rsid w:val="00D6014E"/>
    <w:rsid w:val="00D60260"/>
    <w:rsid w:val="00D609E0"/>
    <w:rsid w:val="00D60D49"/>
    <w:rsid w:val="00D60DD4"/>
    <w:rsid w:val="00D60FCA"/>
    <w:rsid w:val="00D611BB"/>
    <w:rsid w:val="00D61652"/>
    <w:rsid w:val="00D61A79"/>
    <w:rsid w:val="00D61D16"/>
    <w:rsid w:val="00D620F2"/>
    <w:rsid w:val="00D6223E"/>
    <w:rsid w:val="00D626CB"/>
    <w:rsid w:val="00D628F2"/>
    <w:rsid w:val="00D62ADD"/>
    <w:rsid w:val="00D62DE0"/>
    <w:rsid w:val="00D62F3C"/>
    <w:rsid w:val="00D631F9"/>
    <w:rsid w:val="00D6326D"/>
    <w:rsid w:val="00D63606"/>
    <w:rsid w:val="00D637A6"/>
    <w:rsid w:val="00D63A1D"/>
    <w:rsid w:val="00D63EC2"/>
    <w:rsid w:val="00D640E9"/>
    <w:rsid w:val="00D6437C"/>
    <w:rsid w:val="00D64864"/>
    <w:rsid w:val="00D64BA5"/>
    <w:rsid w:val="00D65255"/>
    <w:rsid w:val="00D654AD"/>
    <w:rsid w:val="00D65846"/>
    <w:rsid w:val="00D65A39"/>
    <w:rsid w:val="00D65BDE"/>
    <w:rsid w:val="00D65E7D"/>
    <w:rsid w:val="00D66258"/>
    <w:rsid w:val="00D6630C"/>
    <w:rsid w:val="00D6635B"/>
    <w:rsid w:val="00D66522"/>
    <w:rsid w:val="00D6672F"/>
    <w:rsid w:val="00D66884"/>
    <w:rsid w:val="00D66895"/>
    <w:rsid w:val="00D66C70"/>
    <w:rsid w:val="00D67072"/>
    <w:rsid w:val="00D67325"/>
    <w:rsid w:val="00D67853"/>
    <w:rsid w:val="00D679B9"/>
    <w:rsid w:val="00D67BAF"/>
    <w:rsid w:val="00D67D80"/>
    <w:rsid w:val="00D707F6"/>
    <w:rsid w:val="00D7086F"/>
    <w:rsid w:val="00D7088C"/>
    <w:rsid w:val="00D71141"/>
    <w:rsid w:val="00D71605"/>
    <w:rsid w:val="00D717B5"/>
    <w:rsid w:val="00D718DE"/>
    <w:rsid w:val="00D7191C"/>
    <w:rsid w:val="00D71B9C"/>
    <w:rsid w:val="00D71E88"/>
    <w:rsid w:val="00D71EF0"/>
    <w:rsid w:val="00D723F7"/>
    <w:rsid w:val="00D726C3"/>
    <w:rsid w:val="00D72FF9"/>
    <w:rsid w:val="00D7313E"/>
    <w:rsid w:val="00D734F7"/>
    <w:rsid w:val="00D73A0F"/>
    <w:rsid w:val="00D73A69"/>
    <w:rsid w:val="00D73FF1"/>
    <w:rsid w:val="00D740A0"/>
    <w:rsid w:val="00D7434C"/>
    <w:rsid w:val="00D74625"/>
    <w:rsid w:val="00D7479A"/>
    <w:rsid w:val="00D74A8D"/>
    <w:rsid w:val="00D74B2B"/>
    <w:rsid w:val="00D74F27"/>
    <w:rsid w:val="00D74FE1"/>
    <w:rsid w:val="00D75088"/>
    <w:rsid w:val="00D75388"/>
    <w:rsid w:val="00D75878"/>
    <w:rsid w:val="00D75FDE"/>
    <w:rsid w:val="00D761E9"/>
    <w:rsid w:val="00D76501"/>
    <w:rsid w:val="00D767BA"/>
    <w:rsid w:val="00D769DB"/>
    <w:rsid w:val="00D76B3D"/>
    <w:rsid w:val="00D77105"/>
    <w:rsid w:val="00D77278"/>
    <w:rsid w:val="00D772AA"/>
    <w:rsid w:val="00D7767B"/>
    <w:rsid w:val="00D77923"/>
    <w:rsid w:val="00D77CD4"/>
    <w:rsid w:val="00D80097"/>
    <w:rsid w:val="00D80C22"/>
    <w:rsid w:val="00D811DD"/>
    <w:rsid w:val="00D81682"/>
    <w:rsid w:val="00D8169A"/>
    <w:rsid w:val="00D818EF"/>
    <w:rsid w:val="00D81945"/>
    <w:rsid w:val="00D81C44"/>
    <w:rsid w:val="00D823C0"/>
    <w:rsid w:val="00D826F5"/>
    <w:rsid w:val="00D828FF"/>
    <w:rsid w:val="00D82A8F"/>
    <w:rsid w:val="00D83276"/>
    <w:rsid w:val="00D83371"/>
    <w:rsid w:val="00D83AD5"/>
    <w:rsid w:val="00D83B89"/>
    <w:rsid w:val="00D83DBE"/>
    <w:rsid w:val="00D840C1"/>
    <w:rsid w:val="00D841E4"/>
    <w:rsid w:val="00D84248"/>
    <w:rsid w:val="00D8469B"/>
    <w:rsid w:val="00D84951"/>
    <w:rsid w:val="00D849A8"/>
    <w:rsid w:val="00D84C04"/>
    <w:rsid w:val="00D8501E"/>
    <w:rsid w:val="00D854C6"/>
    <w:rsid w:val="00D8552D"/>
    <w:rsid w:val="00D85A7C"/>
    <w:rsid w:val="00D85E1A"/>
    <w:rsid w:val="00D85EBF"/>
    <w:rsid w:val="00D85FB8"/>
    <w:rsid w:val="00D862A4"/>
    <w:rsid w:val="00D865FC"/>
    <w:rsid w:val="00D86621"/>
    <w:rsid w:val="00D8680D"/>
    <w:rsid w:val="00D868AF"/>
    <w:rsid w:val="00D86E0F"/>
    <w:rsid w:val="00D87326"/>
    <w:rsid w:val="00D87D79"/>
    <w:rsid w:val="00D87DF8"/>
    <w:rsid w:val="00D90289"/>
    <w:rsid w:val="00D90632"/>
    <w:rsid w:val="00D90A78"/>
    <w:rsid w:val="00D90D13"/>
    <w:rsid w:val="00D910B1"/>
    <w:rsid w:val="00D91128"/>
    <w:rsid w:val="00D9191A"/>
    <w:rsid w:val="00D91BEF"/>
    <w:rsid w:val="00D9217D"/>
    <w:rsid w:val="00D926BC"/>
    <w:rsid w:val="00D9273F"/>
    <w:rsid w:val="00D9279B"/>
    <w:rsid w:val="00D92874"/>
    <w:rsid w:val="00D92DA4"/>
    <w:rsid w:val="00D9322D"/>
    <w:rsid w:val="00D93235"/>
    <w:rsid w:val="00D935F0"/>
    <w:rsid w:val="00D941CD"/>
    <w:rsid w:val="00D942A5"/>
    <w:rsid w:val="00D948BC"/>
    <w:rsid w:val="00D94AAB"/>
    <w:rsid w:val="00D952F0"/>
    <w:rsid w:val="00D9597C"/>
    <w:rsid w:val="00D95987"/>
    <w:rsid w:val="00D9602B"/>
    <w:rsid w:val="00D96039"/>
    <w:rsid w:val="00D9604E"/>
    <w:rsid w:val="00D963B6"/>
    <w:rsid w:val="00D966E8"/>
    <w:rsid w:val="00D9680A"/>
    <w:rsid w:val="00D969D4"/>
    <w:rsid w:val="00D96A9E"/>
    <w:rsid w:val="00D96ABD"/>
    <w:rsid w:val="00D97117"/>
    <w:rsid w:val="00D97460"/>
    <w:rsid w:val="00D9770C"/>
    <w:rsid w:val="00D97AD4"/>
    <w:rsid w:val="00D97D10"/>
    <w:rsid w:val="00DA0946"/>
    <w:rsid w:val="00DA0EBC"/>
    <w:rsid w:val="00DA1262"/>
    <w:rsid w:val="00DA15F1"/>
    <w:rsid w:val="00DA1A92"/>
    <w:rsid w:val="00DA1ED7"/>
    <w:rsid w:val="00DA1F29"/>
    <w:rsid w:val="00DA255B"/>
    <w:rsid w:val="00DA300F"/>
    <w:rsid w:val="00DA3411"/>
    <w:rsid w:val="00DA3488"/>
    <w:rsid w:val="00DA3A16"/>
    <w:rsid w:val="00DA3FBD"/>
    <w:rsid w:val="00DA408F"/>
    <w:rsid w:val="00DA430C"/>
    <w:rsid w:val="00DA4319"/>
    <w:rsid w:val="00DA43E1"/>
    <w:rsid w:val="00DA4774"/>
    <w:rsid w:val="00DA4779"/>
    <w:rsid w:val="00DA48C7"/>
    <w:rsid w:val="00DA4F92"/>
    <w:rsid w:val="00DA5356"/>
    <w:rsid w:val="00DA5410"/>
    <w:rsid w:val="00DA54BA"/>
    <w:rsid w:val="00DA564E"/>
    <w:rsid w:val="00DA5F8B"/>
    <w:rsid w:val="00DA60D5"/>
    <w:rsid w:val="00DA62DC"/>
    <w:rsid w:val="00DA64ED"/>
    <w:rsid w:val="00DA6707"/>
    <w:rsid w:val="00DA7414"/>
    <w:rsid w:val="00DA7B1C"/>
    <w:rsid w:val="00DB051E"/>
    <w:rsid w:val="00DB09C3"/>
    <w:rsid w:val="00DB09D8"/>
    <w:rsid w:val="00DB0C24"/>
    <w:rsid w:val="00DB0C92"/>
    <w:rsid w:val="00DB1558"/>
    <w:rsid w:val="00DB1667"/>
    <w:rsid w:val="00DB16CC"/>
    <w:rsid w:val="00DB1DB2"/>
    <w:rsid w:val="00DB1F22"/>
    <w:rsid w:val="00DB27AC"/>
    <w:rsid w:val="00DB2B90"/>
    <w:rsid w:val="00DB2B92"/>
    <w:rsid w:val="00DB343C"/>
    <w:rsid w:val="00DB379D"/>
    <w:rsid w:val="00DB37A0"/>
    <w:rsid w:val="00DB3C97"/>
    <w:rsid w:val="00DB40E1"/>
    <w:rsid w:val="00DB45BD"/>
    <w:rsid w:val="00DB4C25"/>
    <w:rsid w:val="00DB5111"/>
    <w:rsid w:val="00DB5CD5"/>
    <w:rsid w:val="00DB5ECB"/>
    <w:rsid w:val="00DB62F7"/>
    <w:rsid w:val="00DB6D50"/>
    <w:rsid w:val="00DB6E96"/>
    <w:rsid w:val="00DB6F4A"/>
    <w:rsid w:val="00DB6F73"/>
    <w:rsid w:val="00DB7427"/>
    <w:rsid w:val="00DB77FC"/>
    <w:rsid w:val="00DB7E10"/>
    <w:rsid w:val="00DC018D"/>
    <w:rsid w:val="00DC0216"/>
    <w:rsid w:val="00DC0717"/>
    <w:rsid w:val="00DC0B0F"/>
    <w:rsid w:val="00DC0BB0"/>
    <w:rsid w:val="00DC20E6"/>
    <w:rsid w:val="00DC237C"/>
    <w:rsid w:val="00DC2C51"/>
    <w:rsid w:val="00DC30A9"/>
    <w:rsid w:val="00DC313D"/>
    <w:rsid w:val="00DC34E7"/>
    <w:rsid w:val="00DC3EBD"/>
    <w:rsid w:val="00DC4886"/>
    <w:rsid w:val="00DC497D"/>
    <w:rsid w:val="00DC5041"/>
    <w:rsid w:val="00DC5FC0"/>
    <w:rsid w:val="00DC649D"/>
    <w:rsid w:val="00DC67FC"/>
    <w:rsid w:val="00DC696F"/>
    <w:rsid w:val="00DC6AD2"/>
    <w:rsid w:val="00DC6CB5"/>
    <w:rsid w:val="00DC6DB2"/>
    <w:rsid w:val="00DC6E73"/>
    <w:rsid w:val="00DC797A"/>
    <w:rsid w:val="00DC7D73"/>
    <w:rsid w:val="00DD04E7"/>
    <w:rsid w:val="00DD0F20"/>
    <w:rsid w:val="00DD15B2"/>
    <w:rsid w:val="00DD195D"/>
    <w:rsid w:val="00DD19B6"/>
    <w:rsid w:val="00DD1BEA"/>
    <w:rsid w:val="00DD1CB8"/>
    <w:rsid w:val="00DD1F0E"/>
    <w:rsid w:val="00DD2054"/>
    <w:rsid w:val="00DD2335"/>
    <w:rsid w:val="00DD29AF"/>
    <w:rsid w:val="00DD3020"/>
    <w:rsid w:val="00DD302B"/>
    <w:rsid w:val="00DD3502"/>
    <w:rsid w:val="00DD3BB4"/>
    <w:rsid w:val="00DD3F6D"/>
    <w:rsid w:val="00DD4184"/>
    <w:rsid w:val="00DD44BC"/>
    <w:rsid w:val="00DD4BE8"/>
    <w:rsid w:val="00DD4D1A"/>
    <w:rsid w:val="00DD51C5"/>
    <w:rsid w:val="00DD528F"/>
    <w:rsid w:val="00DD5376"/>
    <w:rsid w:val="00DD53A8"/>
    <w:rsid w:val="00DD568F"/>
    <w:rsid w:val="00DD634C"/>
    <w:rsid w:val="00DD664C"/>
    <w:rsid w:val="00DD6903"/>
    <w:rsid w:val="00DD69D1"/>
    <w:rsid w:val="00DD6C2D"/>
    <w:rsid w:val="00DD6E0A"/>
    <w:rsid w:val="00DD7448"/>
    <w:rsid w:val="00DD7AB3"/>
    <w:rsid w:val="00DD7B1C"/>
    <w:rsid w:val="00DD7B27"/>
    <w:rsid w:val="00DE0403"/>
    <w:rsid w:val="00DE0A19"/>
    <w:rsid w:val="00DE0D33"/>
    <w:rsid w:val="00DE0E42"/>
    <w:rsid w:val="00DE1104"/>
    <w:rsid w:val="00DE1426"/>
    <w:rsid w:val="00DE1B9E"/>
    <w:rsid w:val="00DE1D18"/>
    <w:rsid w:val="00DE1DA8"/>
    <w:rsid w:val="00DE21B7"/>
    <w:rsid w:val="00DE2320"/>
    <w:rsid w:val="00DE2496"/>
    <w:rsid w:val="00DE2B2D"/>
    <w:rsid w:val="00DE2C70"/>
    <w:rsid w:val="00DE2E72"/>
    <w:rsid w:val="00DE33A0"/>
    <w:rsid w:val="00DE3618"/>
    <w:rsid w:val="00DE3B31"/>
    <w:rsid w:val="00DE3C52"/>
    <w:rsid w:val="00DE3E97"/>
    <w:rsid w:val="00DE4031"/>
    <w:rsid w:val="00DE4757"/>
    <w:rsid w:val="00DE4D56"/>
    <w:rsid w:val="00DE5D4E"/>
    <w:rsid w:val="00DE5EA8"/>
    <w:rsid w:val="00DE69C9"/>
    <w:rsid w:val="00DE6F11"/>
    <w:rsid w:val="00DE71B3"/>
    <w:rsid w:val="00DE7274"/>
    <w:rsid w:val="00DE7464"/>
    <w:rsid w:val="00DE79A8"/>
    <w:rsid w:val="00DE7C04"/>
    <w:rsid w:val="00DF03A3"/>
    <w:rsid w:val="00DF04E3"/>
    <w:rsid w:val="00DF0922"/>
    <w:rsid w:val="00DF0C50"/>
    <w:rsid w:val="00DF15D7"/>
    <w:rsid w:val="00DF1B7C"/>
    <w:rsid w:val="00DF1CC4"/>
    <w:rsid w:val="00DF2004"/>
    <w:rsid w:val="00DF217A"/>
    <w:rsid w:val="00DF24A1"/>
    <w:rsid w:val="00DF317E"/>
    <w:rsid w:val="00DF3557"/>
    <w:rsid w:val="00DF35AD"/>
    <w:rsid w:val="00DF39F9"/>
    <w:rsid w:val="00DF414B"/>
    <w:rsid w:val="00DF4A02"/>
    <w:rsid w:val="00DF4BA7"/>
    <w:rsid w:val="00DF52D3"/>
    <w:rsid w:val="00DF55E9"/>
    <w:rsid w:val="00DF56B6"/>
    <w:rsid w:val="00DF5AD2"/>
    <w:rsid w:val="00DF5CB2"/>
    <w:rsid w:val="00DF5EFE"/>
    <w:rsid w:val="00DF6118"/>
    <w:rsid w:val="00DF66C0"/>
    <w:rsid w:val="00DF6921"/>
    <w:rsid w:val="00DF7219"/>
    <w:rsid w:val="00DF73C6"/>
    <w:rsid w:val="00E001CA"/>
    <w:rsid w:val="00E00359"/>
    <w:rsid w:val="00E00612"/>
    <w:rsid w:val="00E006AB"/>
    <w:rsid w:val="00E0108A"/>
    <w:rsid w:val="00E01F32"/>
    <w:rsid w:val="00E020A8"/>
    <w:rsid w:val="00E0217D"/>
    <w:rsid w:val="00E024EF"/>
    <w:rsid w:val="00E02865"/>
    <w:rsid w:val="00E030F2"/>
    <w:rsid w:val="00E031D1"/>
    <w:rsid w:val="00E041E1"/>
    <w:rsid w:val="00E044A8"/>
    <w:rsid w:val="00E04506"/>
    <w:rsid w:val="00E045CC"/>
    <w:rsid w:val="00E0504C"/>
    <w:rsid w:val="00E06607"/>
    <w:rsid w:val="00E0660A"/>
    <w:rsid w:val="00E06945"/>
    <w:rsid w:val="00E0734C"/>
    <w:rsid w:val="00E07405"/>
    <w:rsid w:val="00E0742E"/>
    <w:rsid w:val="00E0762C"/>
    <w:rsid w:val="00E07AF5"/>
    <w:rsid w:val="00E07BE2"/>
    <w:rsid w:val="00E07CA5"/>
    <w:rsid w:val="00E07DB3"/>
    <w:rsid w:val="00E10242"/>
    <w:rsid w:val="00E10316"/>
    <w:rsid w:val="00E10A9E"/>
    <w:rsid w:val="00E10AB7"/>
    <w:rsid w:val="00E11097"/>
    <w:rsid w:val="00E1156A"/>
    <w:rsid w:val="00E11956"/>
    <w:rsid w:val="00E11CFD"/>
    <w:rsid w:val="00E12150"/>
    <w:rsid w:val="00E12167"/>
    <w:rsid w:val="00E127D7"/>
    <w:rsid w:val="00E12CD7"/>
    <w:rsid w:val="00E12CE9"/>
    <w:rsid w:val="00E12E2A"/>
    <w:rsid w:val="00E13293"/>
    <w:rsid w:val="00E13568"/>
    <w:rsid w:val="00E13D6C"/>
    <w:rsid w:val="00E13E75"/>
    <w:rsid w:val="00E13FA5"/>
    <w:rsid w:val="00E14177"/>
    <w:rsid w:val="00E1430C"/>
    <w:rsid w:val="00E14547"/>
    <w:rsid w:val="00E14A65"/>
    <w:rsid w:val="00E151C6"/>
    <w:rsid w:val="00E157E2"/>
    <w:rsid w:val="00E16242"/>
    <w:rsid w:val="00E16403"/>
    <w:rsid w:val="00E16419"/>
    <w:rsid w:val="00E166BB"/>
    <w:rsid w:val="00E17159"/>
    <w:rsid w:val="00E1733C"/>
    <w:rsid w:val="00E17A00"/>
    <w:rsid w:val="00E17D18"/>
    <w:rsid w:val="00E2022F"/>
    <w:rsid w:val="00E2042E"/>
    <w:rsid w:val="00E20644"/>
    <w:rsid w:val="00E208BC"/>
    <w:rsid w:val="00E20902"/>
    <w:rsid w:val="00E20991"/>
    <w:rsid w:val="00E20B0C"/>
    <w:rsid w:val="00E20DA6"/>
    <w:rsid w:val="00E21320"/>
    <w:rsid w:val="00E21A88"/>
    <w:rsid w:val="00E21A8A"/>
    <w:rsid w:val="00E21B17"/>
    <w:rsid w:val="00E21F1C"/>
    <w:rsid w:val="00E2206F"/>
    <w:rsid w:val="00E22C9D"/>
    <w:rsid w:val="00E22E46"/>
    <w:rsid w:val="00E22FFF"/>
    <w:rsid w:val="00E235DC"/>
    <w:rsid w:val="00E23DC1"/>
    <w:rsid w:val="00E23E7A"/>
    <w:rsid w:val="00E23EAD"/>
    <w:rsid w:val="00E2449D"/>
    <w:rsid w:val="00E2456B"/>
    <w:rsid w:val="00E24636"/>
    <w:rsid w:val="00E2490D"/>
    <w:rsid w:val="00E24917"/>
    <w:rsid w:val="00E24996"/>
    <w:rsid w:val="00E24EF2"/>
    <w:rsid w:val="00E25631"/>
    <w:rsid w:val="00E25756"/>
    <w:rsid w:val="00E259A3"/>
    <w:rsid w:val="00E25DA1"/>
    <w:rsid w:val="00E25FC3"/>
    <w:rsid w:val="00E25FF5"/>
    <w:rsid w:val="00E260CC"/>
    <w:rsid w:val="00E26569"/>
    <w:rsid w:val="00E2660A"/>
    <w:rsid w:val="00E273D4"/>
    <w:rsid w:val="00E27A37"/>
    <w:rsid w:val="00E27AB2"/>
    <w:rsid w:val="00E27DCE"/>
    <w:rsid w:val="00E301B1"/>
    <w:rsid w:val="00E30428"/>
    <w:rsid w:val="00E30468"/>
    <w:rsid w:val="00E30AFE"/>
    <w:rsid w:val="00E31185"/>
    <w:rsid w:val="00E313F9"/>
    <w:rsid w:val="00E319E5"/>
    <w:rsid w:val="00E31EAF"/>
    <w:rsid w:val="00E3258F"/>
    <w:rsid w:val="00E3270E"/>
    <w:rsid w:val="00E3296D"/>
    <w:rsid w:val="00E32AB3"/>
    <w:rsid w:val="00E32BEB"/>
    <w:rsid w:val="00E32CA7"/>
    <w:rsid w:val="00E33156"/>
    <w:rsid w:val="00E3337E"/>
    <w:rsid w:val="00E3338D"/>
    <w:rsid w:val="00E3340D"/>
    <w:rsid w:val="00E33460"/>
    <w:rsid w:val="00E33BBC"/>
    <w:rsid w:val="00E34328"/>
    <w:rsid w:val="00E36266"/>
    <w:rsid w:val="00E3631A"/>
    <w:rsid w:val="00E36B37"/>
    <w:rsid w:val="00E37212"/>
    <w:rsid w:val="00E37A3B"/>
    <w:rsid w:val="00E37E58"/>
    <w:rsid w:val="00E37EE0"/>
    <w:rsid w:val="00E37F09"/>
    <w:rsid w:val="00E37FBB"/>
    <w:rsid w:val="00E40621"/>
    <w:rsid w:val="00E40E1C"/>
    <w:rsid w:val="00E40F93"/>
    <w:rsid w:val="00E411E2"/>
    <w:rsid w:val="00E418DD"/>
    <w:rsid w:val="00E41DDA"/>
    <w:rsid w:val="00E4265C"/>
    <w:rsid w:val="00E42706"/>
    <w:rsid w:val="00E42C18"/>
    <w:rsid w:val="00E43013"/>
    <w:rsid w:val="00E430E4"/>
    <w:rsid w:val="00E43288"/>
    <w:rsid w:val="00E435DB"/>
    <w:rsid w:val="00E43ECE"/>
    <w:rsid w:val="00E449EB"/>
    <w:rsid w:val="00E4515F"/>
    <w:rsid w:val="00E45BB2"/>
    <w:rsid w:val="00E467A3"/>
    <w:rsid w:val="00E469B8"/>
    <w:rsid w:val="00E4700F"/>
    <w:rsid w:val="00E471E7"/>
    <w:rsid w:val="00E47830"/>
    <w:rsid w:val="00E509A4"/>
    <w:rsid w:val="00E510CD"/>
    <w:rsid w:val="00E51230"/>
    <w:rsid w:val="00E51FB6"/>
    <w:rsid w:val="00E52298"/>
    <w:rsid w:val="00E525EF"/>
    <w:rsid w:val="00E526D5"/>
    <w:rsid w:val="00E52883"/>
    <w:rsid w:val="00E52903"/>
    <w:rsid w:val="00E52CE5"/>
    <w:rsid w:val="00E5317D"/>
    <w:rsid w:val="00E53741"/>
    <w:rsid w:val="00E5378E"/>
    <w:rsid w:val="00E54AB9"/>
    <w:rsid w:val="00E54AFB"/>
    <w:rsid w:val="00E553DC"/>
    <w:rsid w:val="00E55517"/>
    <w:rsid w:val="00E5577C"/>
    <w:rsid w:val="00E55D83"/>
    <w:rsid w:val="00E55E32"/>
    <w:rsid w:val="00E55EAF"/>
    <w:rsid w:val="00E56139"/>
    <w:rsid w:val="00E56BC9"/>
    <w:rsid w:val="00E57FA2"/>
    <w:rsid w:val="00E60121"/>
    <w:rsid w:val="00E60336"/>
    <w:rsid w:val="00E609BD"/>
    <w:rsid w:val="00E60B5F"/>
    <w:rsid w:val="00E61003"/>
    <w:rsid w:val="00E614B7"/>
    <w:rsid w:val="00E61625"/>
    <w:rsid w:val="00E617C8"/>
    <w:rsid w:val="00E61A65"/>
    <w:rsid w:val="00E62034"/>
    <w:rsid w:val="00E621CD"/>
    <w:rsid w:val="00E62261"/>
    <w:rsid w:val="00E62864"/>
    <w:rsid w:val="00E62F44"/>
    <w:rsid w:val="00E63209"/>
    <w:rsid w:val="00E6348F"/>
    <w:rsid w:val="00E637DA"/>
    <w:rsid w:val="00E6393B"/>
    <w:rsid w:val="00E63FE5"/>
    <w:rsid w:val="00E64758"/>
    <w:rsid w:val="00E647A2"/>
    <w:rsid w:val="00E6486E"/>
    <w:rsid w:val="00E64CCB"/>
    <w:rsid w:val="00E64E0A"/>
    <w:rsid w:val="00E65286"/>
    <w:rsid w:val="00E655C9"/>
    <w:rsid w:val="00E65750"/>
    <w:rsid w:val="00E65C49"/>
    <w:rsid w:val="00E6642B"/>
    <w:rsid w:val="00E666E3"/>
    <w:rsid w:val="00E669D7"/>
    <w:rsid w:val="00E66A0C"/>
    <w:rsid w:val="00E670F8"/>
    <w:rsid w:val="00E67881"/>
    <w:rsid w:val="00E67BE2"/>
    <w:rsid w:val="00E67C12"/>
    <w:rsid w:val="00E70E55"/>
    <w:rsid w:val="00E70F3F"/>
    <w:rsid w:val="00E71433"/>
    <w:rsid w:val="00E716DB"/>
    <w:rsid w:val="00E718F3"/>
    <w:rsid w:val="00E719C2"/>
    <w:rsid w:val="00E71A98"/>
    <w:rsid w:val="00E71CAF"/>
    <w:rsid w:val="00E71E6F"/>
    <w:rsid w:val="00E72465"/>
    <w:rsid w:val="00E730EA"/>
    <w:rsid w:val="00E73D33"/>
    <w:rsid w:val="00E73D3C"/>
    <w:rsid w:val="00E73DBF"/>
    <w:rsid w:val="00E74422"/>
    <w:rsid w:val="00E747D0"/>
    <w:rsid w:val="00E75598"/>
    <w:rsid w:val="00E755BC"/>
    <w:rsid w:val="00E75B8F"/>
    <w:rsid w:val="00E7666B"/>
    <w:rsid w:val="00E7679A"/>
    <w:rsid w:val="00E774C7"/>
    <w:rsid w:val="00E77D03"/>
    <w:rsid w:val="00E80EC4"/>
    <w:rsid w:val="00E80F82"/>
    <w:rsid w:val="00E819C6"/>
    <w:rsid w:val="00E81E06"/>
    <w:rsid w:val="00E820F4"/>
    <w:rsid w:val="00E82240"/>
    <w:rsid w:val="00E8229F"/>
    <w:rsid w:val="00E82453"/>
    <w:rsid w:val="00E82562"/>
    <w:rsid w:val="00E82AF0"/>
    <w:rsid w:val="00E82D68"/>
    <w:rsid w:val="00E82ED3"/>
    <w:rsid w:val="00E83386"/>
    <w:rsid w:val="00E83429"/>
    <w:rsid w:val="00E83A25"/>
    <w:rsid w:val="00E846AE"/>
    <w:rsid w:val="00E8473F"/>
    <w:rsid w:val="00E84869"/>
    <w:rsid w:val="00E84A56"/>
    <w:rsid w:val="00E84FE2"/>
    <w:rsid w:val="00E850AE"/>
    <w:rsid w:val="00E855B1"/>
    <w:rsid w:val="00E85BBC"/>
    <w:rsid w:val="00E85E49"/>
    <w:rsid w:val="00E85F2E"/>
    <w:rsid w:val="00E8666E"/>
    <w:rsid w:val="00E8697C"/>
    <w:rsid w:val="00E86B55"/>
    <w:rsid w:val="00E86CDE"/>
    <w:rsid w:val="00E86E98"/>
    <w:rsid w:val="00E87070"/>
    <w:rsid w:val="00E878D9"/>
    <w:rsid w:val="00E87A49"/>
    <w:rsid w:val="00E87B2D"/>
    <w:rsid w:val="00E87EC3"/>
    <w:rsid w:val="00E900D1"/>
    <w:rsid w:val="00E902A7"/>
    <w:rsid w:val="00E9041F"/>
    <w:rsid w:val="00E906DD"/>
    <w:rsid w:val="00E908DE"/>
    <w:rsid w:val="00E90991"/>
    <w:rsid w:val="00E90F8B"/>
    <w:rsid w:val="00E90FD2"/>
    <w:rsid w:val="00E91146"/>
    <w:rsid w:val="00E9147A"/>
    <w:rsid w:val="00E918AA"/>
    <w:rsid w:val="00E91925"/>
    <w:rsid w:val="00E924FF"/>
    <w:rsid w:val="00E92592"/>
    <w:rsid w:val="00E9266E"/>
    <w:rsid w:val="00E9281D"/>
    <w:rsid w:val="00E92C2A"/>
    <w:rsid w:val="00E92D52"/>
    <w:rsid w:val="00E92ECC"/>
    <w:rsid w:val="00E93A94"/>
    <w:rsid w:val="00E9422E"/>
    <w:rsid w:val="00E94CCD"/>
    <w:rsid w:val="00E95326"/>
    <w:rsid w:val="00E954FD"/>
    <w:rsid w:val="00E957EB"/>
    <w:rsid w:val="00E95CE9"/>
    <w:rsid w:val="00E95F03"/>
    <w:rsid w:val="00E96115"/>
    <w:rsid w:val="00E96666"/>
    <w:rsid w:val="00E967E9"/>
    <w:rsid w:val="00E96958"/>
    <w:rsid w:val="00E976FB"/>
    <w:rsid w:val="00E979C7"/>
    <w:rsid w:val="00E97DA7"/>
    <w:rsid w:val="00E97F9C"/>
    <w:rsid w:val="00EA0625"/>
    <w:rsid w:val="00EA079E"/>
    <w:rsid w:val="00EA09CD"/>
    <w:rsid w:val="00EA1921"/>
    <w:rsid w:val="00EA1A9A"/>
    <w:rsid w:val="00EA2160"/>
    <w:rsid w:val="00EA24CF"/>
    <w:rsid w:val="00EA2E7F"/>
    <w:rsid w:val="00EA30DF"/>
    <w:rsid w:val="00EA31BF"/>
    <w:rsid w:val="00EA3880"/>
    <w:rsid w:val="00EA39B7"/>
    <w:rsid w:val="00EA460B"/>
    <w:rsid w:val="00EA4CA1"/>
    <w:rsid w:val="00EA5B86"/>
    <w:rsid w:val="00EA5EEB"/>
    <w:rsid w:val="00EA6683"/>
    <w:rsid w:val="00EA6A44"/>
    <w:rsid w:val="00EA6F97"/>
    <w:rsid w:val="00EA700A"/>
    <w:rsid w:val="00EA75DF"/>
    <w:rsid w:val="00EA797C"/>
    <w:rsid w:val="00EA7B69"/>
    <w:rsid w:val="00EA7DF1"/>
    <w:rsid w:val="00EB04D1"/>
    <w:rsid w:val="00EB0FFB"/>
    <w:rsid w:val="00EB112D"/>
    <w:rsid w:val="00EB1803"/>
    <w:rsid w:val="00EB1AE2"/>
    <w:rsid w:val="00EB1B5D"/>
    <w:rsid w:val="00EB1C30"/>
    <w:rsid w:val="00EB2419"/>
    <w:rsid w:val="00EB383E"/>
    <w:rsid w:val="00EB3BF5"/>
    <w:rsid w:val="00EB3F04"/>
    <w:rsid w:val="00EB4083"/>
    <w:rsid w:val="00EB4266"/>
    <w:rsid w:val="00EB44F3"/>
    <w:rsid w:val="00EB472C"/>
    <w:rsid w:val="00EB475E"/>
    <w:rsid w:val="00EB47D7"/>
    <w:rsid w:val="00EB4829"/>
    <w:rsid w:val="00EB4F41"/>
    <w:rsid w:val="00EB5297"/>
    <w:rsid w:val="00EB5483"/>
    <w:rsid w:val="00EB56B9"/>
    <w:rsid w:val="00EB6211"/>
    <w:rsid w:val="00EB66ED"/>
    <w:rsid w:val="00EB66F1"/>
    <w:rsid w:val="00EB673C"/>
    <w:rsid w:val="00EB67B7"/>
    <w:rsid w:val="00EB67FD"/>
    <w:rsid w:val="00EB6F47"/>
    <w:rsid w:val="00EB7033"/>
    <w:rsid w:val="00EB7544"/>
    <w:rsid w:val="00EB7C0F"/>
    <w:rsid w:val="00EB7DBC"/>
    <w:rsid w:val="00EC0026"/>
    <w:rsid w:val="00EC00D1"/>
    <w:rsid w:val="00EC0433"/>
    <w:rsid w:val="00EC07A7"/>
    <w:rsid w:val="00EC0806"/>
    <w:rsid w:val="00EC1B28"/>
    <w:rsid w:val="00EC1C56"/>
    <w:rsid w:val="00EC2148"/>
    <w:rsid w:val="00EC23D5"/>
    <w:rsid w:val="00EC280F"/>
    <w:rsid w:val="00EC2E2A"/>
    <w:rsid w:val="00EC30B8"/>
    <w:rsid w:val="00EC31D2"/>
    <w:rsid w:val="00EC3202"/>
    <w:rsid w:val="00EC3858"/>
    <w:rsid w:val="00EC3E5D"/>
    <w:rsid w:val="00EC42E4"/>
    <w:rsid w:val="00EC495B"/>
    <w:rsid w:val="00EC4A12"/>
    <w:rsid w:val="00EC4BA3"/>
    <w:rsid w:val="00EC5151"/>
    <w:rsid w:val="00EC531D"/>
    <w:rsid w:val="00EC594E"/>
    <w:rsid w:val="00EC59CE"/>
    <w:rsid w:val="00EC5C65"/>
    <w:rsid w:val="00EC5EF3"/>
    <w:rsid w:val="00EC63B2"/>
    <w:rsid w:val="00EC679C"/>
    <w:rsid w:val="00EC7615"/>
    <w:rsid w:val="00EC7782"/>
    <w:rsid w:val="00EC780B"/>
    <w:rsid w:val="00EC7C4D"/>
    <w:rsid w:val="00ED0649"/>
    <w:rsid w:val="00ED08CE"/>
    <w:rsid w:val="00ED0DBD"/>
    <w:rsid w:val="00ED11F3"/>
    <w:rsid w:val="00ED1CA2"/>
    <w:rsid w:val="00ED1F46"/>
    <w:rsid w:val="00ED2423"/>
    <w:rsid w:val="00ED2D66"/>
    <w:rsid w:val="00ED33D5"/>
    <w:rsid w:val="00ED35C7"/>
    <w:rsid w:val="00ED3677"/>
    <w:rsid w:val="00ED3772"/>
    <w:rsid w:val="00ED3FAC"/>
    <w:rsid w:val="00ED45E5"/>
    <w:rsid w:val="00ED4AF5"/>
    <w:rsid w:val="00ED4CA6"/>
    <w:rsid w:val="00ED4E00"/>
    <w:rsid w:val="00ED4EAC"/>
    <w:rsid w:val="00ED5050"/>
    <w:rsid w:val="00ED525F"/>
    <w:rsid w:val="00ED5270"/>
    <w:rsid w:val="00ED54B0"/>
    <w:rsid w:val="00ED556A"/>
    <w:rsid w:val="00ED5A4D"/>
    <w:rsid w:val="00ED5E41"/>
    <w:rsid w:val="00ED5FCF"/>
    <w:rsid w:val="00ED601F"/>
    <w:rsid w:val="00ED6127"/>
    <w:rsid w:val="00ED692E"/>
    <w:rsid w:val="00ED757D"/>
    <w:rsid w:val="00ED7599"/>
    <w:rsid w:val="00ED7702"/>
    <w:rsid w:val="00ED779D"/>
    <w:rsid w:val="00ED7A32"/>
    <w:rsid w:val="00ED7A60"/>
    <w:rsid w:val="00ED7F25"/>
    <w:rsid w:val="00EE0093"/>
    <w:rsid w:val="00EE0165"/>
    <w:rsid w:val="00EE0166"/>
    <w:rsid w:val="00EE04AA"/>
    <w:rsid w:val="00EE0712"/>
    <w:rsid w:val="00EE0829"/>
    <w:rsid w:val="00EE0BD7"/>
    <w:rsid w:val="00EE0FF9"/>
    <w:rsid w:val="00EE10A0"/>
    <w:rsid w:val="00EE130B"/>
    <w:rsid w:val="00EE1702"/>
    <w:rsid w:val="00EE19AF"/>
    <w:rsid w:val="00EE1A81"/>
    <w:rsid w:val="00EE1F8A"/>
    <w:rsid w:val="00EE2605"/>
    <w:rsid w:val="00EE281E"/>
    <w:rsid w:val="00EE28B1"/>
    <w:rsid w:val="00EE2AD3"/>
    <w:rsid w:val="00EE3A1B"/>
    <w:rsid w:val="00EE3AF3"/>
    <w:rsid w:val="00EE50D6"/>
    <w:rsid w:val="00EE5223"/>
    <w:rsid w:val="00EE55B3"/>
    <w:rsid w:val="00EE568E"/>
    <w:rsid w:val="00EE56F2"/>
    <w:rsid w:val="00EE5BD7"/>
    <w:rsid w:val="00EE5DC6"/>
    <w:rsid w:val="00EE60FE"/>
    <w:rsid w:val="00EE687F"/>
    <w:rsid w:val="00EE6BC4"/>
    <w:rsid w:val="00EE6C1D"/>
    <w:rsid w:val="00EE7292"/>
    <w:rsid w:val="00EE74FB"/>
    <w:rsid w:val="00EE7B99"/>
    <w:rsid w:val="00EE7D4B"/>
    <w:rsid w:val="00EF0751"/>
    <w:rsid w:val="00EF08EC"/>
    <w:rsid w:val="00EF09C3"/>
    <w:rsid w:val="00EF0DF0"/>
    <w:rsid w:val="00EF0E4C"/>
    <w:rsid w:val="00EF0EBC"/>
    <w:rsid w:val="00EF199C"/>
    <w:rsid w:val="00EF2003"/>
    <w:rsid w:val="00EF283D"/>
    <w:rsid w:val="00EF2A3F"/>
    <w:rsid w:val="00EF3184"/>
    <w:rsid w:val="00EF349B"/>
    <w:rsid w:val="00EF34BC"/>
    <w:rsid w:val="00EF3AC5"/>
    <w:rsid w:val="00EF3BBA"/>
    <w:rsid w:val="00EF3D0B"/>
    <w:rsid w:val="00EF4005"/>
    <w:rsid w:val="00EF4053"/>
    <w:rsid w:val="00EF428C"/>
    <w:rsid w:val="00EF42DF"/>
    <w:rsid w:val="00EF4473"/>
    <w:rsid w:val="00EF48B3"/>
    <w:rsid w:val="00EF4984"/>
    <w:rsid w:val="00EF5652"/>
    <w:rsid w:val="00EF5A0A"/>
    <w:rsid w:val="00EF5A36"/>
    <w:rsid w:val="00EF5D96"/>
    <w:rsid w:val="00EF60C9"/>
    <w:rsid w:val="00EF62DF"/>
    <w:rsid w:val="00EF6EBE"/>
    <w:rsid w:val="00EF7076"/>
    <w:rsid w:val="00EF717E"/>
    <w:rsid w:val="00EF7314"/>
    <w:rsid w:val="00EF74BE"/>
    <w:rsid w:val="00EF77CB"/>
    <w:rsid w:val="00EF7D40"/>
    <w:rsid w:val="00EF7E75"/>
    <w:rsid w:val="00F00265"/>
    <w:rsid w:val="00F004AA"/>
    <w:rsid w:val="00F0066D"/>
    <w:rsid w:val="00F00841"/>
    <w:rsid w:val="00F00848"/>
    <w:rsid w:val="00F00990"/>
    <w:rsid w:val="00F00FB8"/>
    <w:rsid w:val="00F01077"/>
    <w:rsid w:val="00F0121C"/>
    <w:rsid w:val="00F01243"/>
    <w:rsid w:val="00F0138C"/>
    <w:rsid w:val="00F02080"/>
    <w:rsid w:val="00F02697"/>
    <w:rsid w:val="00F0277D"/>
    <w:rsid w:val="00F0289E"/>
    <w:rsid w:val="00F02A3F"/>
    <w:rsid w:val="00F02A69"/>
    <w:rsid w:val="00F02E77"/>
    <w:rsid w:val="00F02F3F"/>
    <w:rsid w:val="00F030D0"/>
    <w:rsid w:val="00F030E3"/>
    <w:rsid w:val="00F0378F"/>
    <w:rsid w:val="00F03912"/>
    <w:rsid w:val="00F040D7"/>
    <w:rsid w:val="00F04358"/>
    <w:rsid w:val="00F04538"/>
    <w:rsid w:val="00F046D2"/>
    <w:rsid w:val="00F046E6"/>
    <w:rsid w:val="00F0475E"/>
    <w:rsid w:val="00F048CB"/>
    <w:rsid w:val="00F04F09"/>
    <w:rsid w:val="00F051BC"/>
    <w:rsid w:val="00F05477"/>
    <w:rsid w:val="00F05EED"/>
    <w:rsid w:val="00F060E5"/>
    <w:rsid w:val="00F06775"/>
    <w:rsid w:val="00F067BA"/>
    <w:rsid w:val="00F06B87"/>
    <w:rsid w:val="00F06C7F"/>
    <w:rsid w:val="00F06CDA"/>
    <w:rsid w:val="00F06FBB"/>
    <w:rsid w:val="00F07123"/>
    <w:rsid w:val="00F07F1E"/>
    <w:rsid w:val="00F1068C"/>
    <w:rsid w:val="00F10858"/>
    <w:rsid w:val="00F108B3"/>
    <w:rsid w:val="00F1098A"/>
    <w:rsid w:val="00F10DD0"/>
    <w:rsid w:val="00F10EE2"/>
    <w:rsid w:val="00F1149D"/>
    <w:rsid w:val="00F11725"/>
    <w:rsid w:val="00F119AA"/>
    <w:rsid w:val="00F119F1"/>
    <w:rsid w:val="00F11F59"/>
    <w:rsid w:val="00F1223C"/>
    <w:rsid w:val="00F12264"/>
    <w:rsid w:val="00F12867"/>
    <w:rsid w:val="00F129E2"/>
    <w:rsid w:val="00F133DE"/>
    <w:rsid w:val="00F13B7C"/>
    <w:rsid w:val="00F1445D"/>
    <w:rsid w:val="00F1449E"/>
    <w:rsid w:val="00F14682"/>
    <w:rsid w:val="00F1482A"/>
    <w:rsid w:val="00F14A7D"/>
    <w:rsid w:val="00F14F5D"/>
    <w:rsid w:val="00F15027"/>
    <w:rsid w:val="00F150E9"/>
    <w:rsid w:val="00F15159"/>
    <w:rsid w:val="00F15568"/>
    <w:rsid w:val="00F15999"/>
    <w:rsid w:val="00F15B6D"/>
    <w:rsid w:val="00F16447"/>
    <w:rsid w:val="00F1716E"/>
    <w:rsid w:val="00F171AB"/>
    <w:rsid w:val="00F171DE"/>
    <w:rsid w:val="00F174F1"/>
    <w:rsid w:val="00F17597"/>
    <w:rsid w:val="00F177DF"/>
    <w:rsid w:val="00F17877"/>
    <w:rsid w:val="00F1799A"/>
    <w:rsid w:val="00F17BFA"/>
    <w:rsid w:val="00F17D55"/>
    <w:rsid w:val="00F20412"/>
    <w:rsid w:val="00F20993"/>
    <w:rsid w:val="00F20F57"/>
    <w:rsid w:val="00F21081"/>
    <w:rsid w:val="00F215E0"/>
    <w:rsid w:val="00F21958"/>
    <w:rsid w:val="00F22013"/>
    <w:rsid w:val="00F22500"/>
    <w:rsid w:val="00F22676"/>
    <w:rsid w:val="00F229F4"/>
    <w:rsid w:val="00F23188"/>
    <w:rsid w:val="00F233BB"/>
    <w:rsid w:val="00F23A92"/>
    <w:rsid w:val="00F23F30"/>
    <w:rsid w:val="00F246F5"/>
    <w:rsid w:val="00F248E2"/>
    <w:rsid w:val="00F24DE8"/>
    <w:rsid w:val="00F24F83"/>
    <w:rsid w:val="00F25437"/>
    <w:rsid w:val="00F25D5A"/>
    <w:rsid w:val="00F26383"/>
    <w:rsid w:val="00F2684A"/>
    <w:rsid w:val="00F27052"/>
    <w:rsid w:val="00F27491"/>
    <w:rsid w:val="00F27773"/>
    <w:rsid w:val="00F2780B"/>
    <w:rsid w:val="00F27C42"/>
    <w:rsid w:val="00F27D9A"/>
    <w:rsid w:val="00F304A5"/>
    <w:rsid w:val="00F30AC6"/>
    <w:rsid w:val="00F30D1A"/>
    <w:rsid w:val="00F310F8"/>
    <w:rsid w:val="00F3176B"/>
    <w:rsid w:val="00F31997"/>
    <w:rsid w:val="00F31CF0"/>
    <w:rsid w:val="00F31FF8"/>
    <w:rsid w:val="00F322E9"/>
    <w:rsid w:val="00F32526"/>
    <w:rsid w:val="00F3270E"/>
    <w:rsid w:val="00F3274A"/>
    <w:rsid w:val="00F32B70"/>
    <w:rsid w:val="00F3347E"/>
    <w:rsid w:val="00F335A9"/>
    <w:rsid w:val="00F33BFA"/>
    <w:rsid w:val="00F33CDF"/>
    <w:rsid w:val="00F33F6A"/>
    <w:rsid w:val="00F3482C"/>
    <w:rsid w:val="00F34863"/>
    <w:rsid w:val="00F34C2D"/>
    <w:rsid w:val="00F34FF7"/>
    <w:rsid w:val="00F35177"/>
    <w:rsid w:val="00F352F6"/>
    <w:rsid w:val="00F3544D"/>
    <w:rsid w:val="00F3553A"/>
    <w:rsid w:val="00F3553E"/>
    <w:rsid w:val="00F35933"/>
    <w:rsid w:val="00F35A36"/>
    <w:rsid w:val="00F35B77"/>
    <w:rsid w:val="00F35FCE"/>
    <w:rsid w:val="00F364B9"/>
    <w:rsid w:val="00F367C6"/>
    <w:rsid w:val="00F37293"/>
    <w:rsid w:val="00F373A8"/>
    <w:rsid w:val="00F373E2"/>
    <w:rsid w:val="00F374EB"/>
    <w:rsid w:val="00F37A94"/>
    <w:rsid w:val="00F37EC8"/>
    <w:rsid w:val="00F40896"/>
    <w:rsid w:val="00F40D05"/>
    <w:rsid w:val="00F41405"/>
    <w:rsid w:val="00F4146C"/>
    <w:rsid w:val="00F415BC"/>
    <w:rsid w:val="00F41A71"/>
    <w:rsid w:val="00F41C93"/>
    <w:rsid w:val="00F41D17"/>
    <w:rsid w:val="00F41ED5"/>
    <w:rsid w:val="00F41F24"/>
    <w:rsid w:val="00F42470"/>
    <w:rsid w:val="00F42651"/>
    <w:rsid w:val="00F42CC8"/>
    <w:rsid w:val="00F431BE"/>
    <w:rsid w:val="00F43594"/>
    <w:rsid w:val="00F43658"/>
    <w:rsid w:val="00F43868"/>
    <w:rsid w:val="00F43BEA"/>
    <w:rsid w:val="00F4488C"/>
    <w:rsid w:val="00F450F6"/>
    <w:rsid w:val="00F45238"/>
    <w:rsid w:val="00F4582E"/>
    <w:rsid w:val="00F459C9"/>
    <w:rsid w:val="00F45F68"/>
    <w:rsid w:val="00F45F8F"/>
    <w:rsid w:val="00F46005"/>
    <w:rsid w:val="00F462B3"/>
    <w:rsid w:val="00F4694B"/>
    <w:rsid w:val="00F47397"/>
    <w:rsid w:val="00F47AA0"/>
    <w:rsid w:val="00F47CE2"/>
    <w:rsid w:val="00F47D9F"/>
    <w:rsid w:val="00F50557"/>
    <w:rsid w:val="00F50AC0"/>
    <w:rsid w:val="00F50C02"/>
    <w:rsid w:val="00F513A5"/>
    <w:rsid w:val="00F515F4"/>
    <w:rsid w:val="00F518B0"/>
    <w:rsid w:val="00F51CF9"/>
    <w:rsid w:val="00F51D01"/>
    <w:rsid w:val="00F51FC0"/>
    <w:rsid w:val="00F52C28"/>
    <w:rsid w:val="00F52D1C"/>
    <w:rsid w:val="00F52EFC"/>
    <w:rsid w:val="00F5300C"/>
    <w:rsid w:val="00F537ED"/>
    <w:rsid w:val="00F53B6E"/>
    <w:rsid w:val="00F53BF0"/>
    <w:rsid w:val="00F541D3"/>
    <w:rsid w:val="00F54341"/>
    <w:rsid w:val="00F54511"/>
    <w:rsid w:val="00F54989"/>
    <w:rsid w:val="00F54FAA"/>
    <w:rsid w:val="00F55289"/>
    <w:rsid w:val="00F553AA"/>
    <w:rsid w:val="00F554CA"/>
    <w:rsid w:val="00F55501"/>
    <w:rsid w:val="00F55549"/>
    <w:rsid w:val="00F5559C"/>
    <w:rsid w:val="00F56024"/>
    <w:rsid w:val="00F56416"/>
    <w:rsid w:val="00F564E8"/>
    <w:rsid w:val="00F566C6"/>
    <w:rsid w:val="00F569C3"/>
    <w:rsid w:val="00F57211"/>
    <w:rsid w:val="00F578AC"/>
    <w:rsid w:val="00F57BFD"/>
    <w:rsid w:val="00F6040B"/>
    <w:rsid w:val="00F60B47"/>
    <w:rsid w:val="00F615B9"/>
    <w:rsid w:val="00F6186F"/>
    <w:rsid w:val="00F61EE4"/>
    <w:rsid w:val="00F621F9"/>
    <w:rsid w:val="00F624E0"/>
    <w:rsid w:val="00F6263D"/>
    <w:rsid w:val="00F627C6"/>
    <w:rsid w:val="00F62875"/>
    <w:rsid w:val="00F62C2B"/>
    <w:rsid w:val="00F62E3D"/>
    <w:rsid w:val="00F62E85"/>
    <w:rsid w:val="00F63142"/>
    <w:rsid w:val="00F63558"/>
    <w:rsid w:val="00F639B0"/>
    <w:rsid w:val="00F63FBA"/>
    <w:rsid w:val="00F64042"/>
    <w:rsid w:val="00F64127"/>
    <w:rsid w:val="00F648DE"/>
    <w:rsid w:val="00F64A88"/>
    <w:rsid w:val="00F65523"/>
    <w:rsid w:val="00F657E7"/>
    <w:rsid w:val="00F65C03"/>
    <w:rsid w:val="00F65EA5"/>
    <w:rsid w:val="00F65F6D"/>
    <w:rsid w:val="00F661F7"/>
    <w:rsid w:val="00F66F32"/>
    <w:rsid w:val="00F670C3"/>
    <w:rsid w:val="00F67441"/>
    <w:rsid w:val="00F67563"/>
    <w:rsid w:val="00F67746"/>
    <w:rsid w:val="00F67A8D"/>
    <w:rsid w:val="00F7045F"/>
    <w:rsid w:val="00F704CE"/>
    <w:rsid w:val="00F7075B"/>
    <w:rsid w:val="00F70974"/>
    <w:rsid w:val="00F713D9"/>
    <w:rsid w:val="00F71AC1"/>
    <w:rsid w:val="00F72C05"/>
    <w:rsid w:val="00F73920"/>
    <w:rsid w:val="00F73EE4"/>
    <w:rsid w:val="00F74121"/>
    <w:rsid w:val="00F74556"/>
    <w:rsid w:val="00F74C5A"/>
    <w:rsid w:val="00F74E6C"/>
    <w:rsid w:val="00F7509A"/>
    <w:rsid w:val="00F76415"/>
    <w:rsid w:val="00F76FB5"/>
    <w:rsid w:val="00F76FC0"/>
    <w:rsid w:val="00F7710D"/>
    <w:rsid w:val="00F77423"/>
    <w:rsid w:val="00F77A58"/>
    <w:rsid w:val="00F80522"/>
    <w:rsid w:val="00F80A90"/>
    <w:rsid w:val="00F80FEC"/>
    <w:rsid w:val="00F81775"/>
    <w:rsid w:val="00F819E7"/>
    <w:rsid w:val="00F8203A"/>
    <w:rsid w:val="00F822A2"/>
    <w:rsid w:val="00F829FD"/>
    <w:rsid w:val="00F82BBA"/>
    <w:rsid w:val="00F82EB6"/>
    <w:rsid w:val="00F83277"/>
    <w:rsid w:val="00F8345D"/>
    <w:rsid w:val="00F834D1"/>
    <w:rsid w:val="00F83964"/>
    <w:rsid w:val="00F83D52"/>
    <w:rsid w:val="00F84029"/>
    <w:rsid w:val="00F84159"/>
    <w:rsid w:val="00F8492B"/>
    <w:rsid w:val="00F84A35"/>
    <w:rsid w:val="00F84AA9"/>
    <w:rsid w:val="00F84C2F"/>
    <w:rsid w:val="00F857E4"/>
    <w:rsid w:val="00F85A97"/>
    <w:rsid w:val="00F85AE5"/>
    <w:rsid w:val="00F85EB6"/>
    <w:rsid w:val="00F85EBD"/>
    <w:rsid w:val="00F864D5"/>
    <w:rsid w:val="00F8677A"/>
    <w:rsid w:val="00F86C52"/>
    <w:rsid w:val="00F86ED6"/>
    <w:rsid w:val="00F86F01"/>
    <w:rsid w:val="00F86FF3"/>
    <w:rsid w:val="00F90B51"/>
    <w:rsid w:val="00F90B83"/>
    <w:rsid w:val="00F90FEE"/>
    <w:rsid w:val="00F91262"/>
    <w:rsid w:val="00F9147E"/>
    <w:rsid w:val="00F9154A"/>
    <w:rsid w:val="00F915BD"/>
    <w:rsid w:val="00F91743"/>
    <w:rsid w:val="00F91A19"/>
    <w:rsid w:val="00F91DAC"/>
    <w:rsid w:val="00F9212C"/>
    <w:rsid w:val="00F92217"/>
    <w:rsid w:val="00F9295A"/>
    <w:rsid w:val="00F92D6C"/>
    <w:rsid w:val="00F93316"/>
    <w:rsid w:val="00F93807"/>
    <w:rsid w:val="00F9399B"/>
    <w:rsid w:val="00F93DFC"/>
    <w:rsid w:val="00F942CA"/>
    <w:rsid w:val="00F943DA"/>
    <w:rsid w:val="00F948AC"/>
    <w:rsid w:val="00F94A0F"/>
    <w:rsid w:val="00F94B64"/>
    <w:rsid w:val="00F94C2B"/>
    <w:rsid w:val="00F952CE"/>
    <w:rsid w:val="00F9591D"/>
    <w:rsid w:val="00F95C06"/>
    <w:rsid w:val="00F962FA"/>
    <w:rsid w:val="00F96341"/>
    <w:rsid w:val="00F96365"/>
    <w:rsid w:val="00F9645C"/>
    <w:rsid w:val="00F96546"/>
    <w:rsid w:val="00F96A1F"/>
    <w:rsid w:val="00F96E60"/>
    <w:rsid w:val="00F970A7"/>
    <w:rsid w:val="00F9711A"/>
    <w:rsid w:val="00F97130"/>
    <w:rsid w:val="00F97896"/>
    <w:rsid w:val="00FA005C"/>
    <w:rsid w:val="00FA0380"/>
    <w:rsid w:val="00FA03DA"/>
    <w:rsid w:val="00FA0987"/>
    <w:rsid w:val="00FA10E7"/>
    <w:rsid w:val="00FA116B"/>
    <w:rsid w:val="00FA1ADB"/>
    <w:rsid w:val="00FA20CE"/>
    <w:rsid w:val="00FA21B7"/>
    <w:rsid w:val="00FA2880"/>
    <w:rsid w:val="00FA2ADA"/>
    <w:rsid w:val="00FA2BD2"/>
    <w:rsid w:val="00FA2CE1"/>
    <w:rsid w:val="00FA3069"/>
    <w:rsid w:val="00FA320C"/>
    <w:rsid w:val="00FA337E"/>
    <w:rsid w:val="00FA37A2"/>
    <w:rsid w:val="00FA3954"/>
    <w:rsid w:val="00FA3A0A"/>
    <w:rsid w:val="00FA3B3E"/>
    <w:rsid w:val="00FA3B71"/>
    <w:rsid w:val="00FA3BD6"/>
    <w:rsid w:val="00FA4096"/>
    <w:rsid w:val="00FA42C3"/>
    <w:rsid w:val="00FA43CA"/>
    <w:rsid w:val="00FA4809"/>
    <w:rsid w:val="00FA4B45"/>
    <w:rsid w:val="00FA5085"/>
    <w:rsid w:val="00FA515E"/>
    <w:rsid w:val="00FA5960"/>
    <w:rsid w:val="00FA5C1D"/>
    <w:rsid w:val="00FA5DC4"/>
    <w:rsid w:val="00FA5F4F"/>
    <w:rsid w:val="00FA6281"/>
    <w:rsid w:val="00FA62B0"/>
    <w:rsid w:val="00FA64CF"/>
    <w:rsid w:val="00FA666A"/>
    <w:rsid w:val="00FA692F"/>
    <w:rsid w:val="00FA6981"/>
    <w:rsid w:val="00FA69B5"/>
    <w:rsid w:val="00FA73D7"/>
    <w:rsid w:val="00FA744E"/>
    <w:rsid w:val="00FA7978"/>
    <w:rsid w:val="00FA7B50"/>
    <w:rsid w:val="00FB01E5"/>
    <w:rsid w:val="00FB03F1"/>
    <w:rsid w:val="00FB0701"/>
    <w:rsid w:val="00FB0BF2"/>
    <w:rsid w:val="00FB1205"/>
    <w:rsid w:val="00FB1248"/>
    <w:rsid w:val="00FB210C"/>
    <w:rsid w:val="00FB2312"/>
    <w:rsid w:val="00FB24E3"/>
    <w:rsid w:val="00FB2606"/>
    <w:rsid w:val="00FB27B6"/>
    <w:rsid w:val="00FB28C7"/>
    <w:rsid w:val="00FB296F"/>
    <w:rsid w:val="00FB2D16"/>
    <w:rsid w:val="00FB2E27"/>
    <w:rsid w:val="00FB34C3"/>
    <w:rsid w:val="00FB3D11"/>
    <w:rsid w:val="00FB3EB8"/>
    <w:rsid w:val="00FB4401"/>
    <w:rsid w:val="00FB48BB"/>
    <w:rsid w:val="00FB4A8A"/>
    <w:rsid w:val="00FB4EF3"/>
    <w:rsid w:val="00FB505F"/>
    <w:rsid w:val="00FB5717"/>
    <w:rsid w:val="00FB57EC"/>
    <w:rsid w:val="00FB62F2"/>
    <w:rsid w:val="00FB635F"/>
    <w:rsid w:val="00FB64CA"/>
    <w:rsid w:val="00FB64FE"/>
    <w:rsid w:val="00FB6620"/>
    <w:rsid w:val="00FB6928"/>
    <w:rsid w:val="00FB6A04"/>
    <w:rsid w:val="00FB6EED"/>
    <w:rsid w:val="00FB6F48"/>
    <w:rsid w:val="00FB7049"/>
    <w:rsid w:val="00FB74C5"/>
    <w:rsid w:val="00FB7F4A"/>
    <w:rsid w:val="00FC014D"/>
    <w:rsid w:val="00FC0375"/>
    <w:rsid w:val="00FC038D"/>
    <w:rsid w:val="00FC05CB"/>
    <w:rsid w:val="00FC0652"/>
    <w:rsid w:val="00FC08DF"/>
    <w:rsid w:val="00FC0A85"/>
    <w:rsid w:val="00FC18D3"/>
    <w:rsid w:val="00FC1B0A"/>
    <w:rsid w:val="00FC25D4"/>
    <w:rsid w:val="00FC3212"/>
    <w:rsid w:val="00FC3465"/>
    <w:rsid w:val="00FC38FB"/>
    <w:rsid w:val="00FC3B30"/>
    <w:rsid w:val="00FC3BF7"/>
    <w:rsid w:val="00FC3C9B"/>
    <w:rsid w:val="00FC3E6C"/>
    <w:rsid w:val="00FC3F49"/>
    <w:rsid w:val="00FC40AC"/>
    <w:rsid w:val="00FC4263"/>
    <w:rsid w:val="00FC453A"/>
    <w:rsid w:val="00FC45AA"/>
    <w:rsid w:val="00FC4766"/>
    <w:rsid w:val="00FC48D3"/>
    <w:rsid w:val="00FC4E46"/>
    <w:rsid w:val="00FC4F1D"/>
    <w:rsid w:val="00FC4F33"/>
    <w:rsid w:val="00FC58AA"/>
    <w:rsid w:val="00FC5B66"/>
    <w:rsid w:val="00FC5EE1"/>
    <w:rsid w:val="00FC5F92"/>
    <w:rsid w:val="00FC632E"/>
    <w:rsid w:val="00FC658D"/>
    <w:rsid w:val="00FC65A4"/>
    <w:rsid w:val="00FC66C1"/>
    <w:rsid w:val="00FC6D84"/>
    <w:rsid w:val="00FC6EAF"/>
    <w:rsid w:val="00FC6F52"/>
    <w:rsid w:val="00FC74C7"/>
    <w:rsid w:val="00FC77C8"/>
    <w:rsid w:val="00FC79B6"/>
    <w:rsid w:val="00FC7C94"/>
    <w:rsid w:val="00FD055D"/>
    <w:rsid w:val="00FD0907"/>
    <w:rsid w:val="00FD09A2"/>
    <w:rsid w:val="00FD0B53"/>
    <w:rsid w:val="00FD0D89"/>
    <w:rsid w:val="00FD0FDA"/>
    <w:rsid w:val="00FD1068"/>
    <w:rsid w:val="00FD1253"/>
    <w:rsid w:val="00FD16D2"/>
    <w:rsid w:val="00FD259F"/>
    <w:rsid w:val="00FD2746"/>
    <w:rsid w:val="00FD27F2"/>
    <w:rsid w:val="00FD286C"/>
    <w:rsid w:val="00FD2B7D"/>
    <w:rsid w:val="00FD32FF"/>
    <w:rsid w:val="00FD3364"/>
    <w:rsid w:val="00FD3451"/>
    <w:rsid w:val="00FD3958"/>
    <w:rsid w:val="00FD3997"/>
    <w:rsid w:val="00FD3BBD"/>
    <w:rsid w:val="00FD3F57"/>
    <w:rsid w:val="00FD4400"/>
    <w:rsid w:val="00FD5079"/>
    <w:rsid w:val="00FD518B"/>
    <w:rsid w:val="00FD53E5"/>
    <w:rsid w:val="00FD5A10"/>
    <w:rsid w:val="00FD5C15"/>
    <w:rsid w:val="00FD618C"/>
    <w:rsid w:val="00FD696E"/>
    <w:rsid w:val="00FD6A39"/>
    <w:rsid w:val="00FD7366"/>
    <w:rsid w:val="00FD74D7"/>
    <w:rsid w:val="00FD76FF"/>
    <w:rsid w:val="00FD78E2"/>
    <w:rsid w:val="00FE06D7"/>
    <w:rsid w:val="00FE0B7B"/>
    <w:rsid w:val="00FE0CE1"/>
    <w:rsid w:val="00FE1313"/>
    <w:rsid w:val="00FE1376"/>
    <w:rsid w:val="00FE1445"/>
    <w:rsid w:val="00FE1477"/>
    <w:rsid w:val="00FE1CD7"/>
    <w:rsid w:val="00FE1E3F"/>
    <w:rsid w:val="00FE21D4"/>
    <w:rsid w:val="00FE2671"/>
    <w:rsid w:val="00FE2A20"/>
    <w:rsid w:val="00FE2E9E"/>
    <w:rsid w:val="00FE31BD"/>
    <w:rsid w:val="00FE380C"/>
    <w:rsid w:val="00FE3A51"/>
    <w:rsid w:val="00FE3E31"/>
    <w:rsid w:val="00FE3EB2"/>
    <w:rsid w:val="00FE4064"/>
    <w:rsid w:val="00FE4317"/>
    <w:rsid w:val="00FE4598"/>
    <w:rsid w:val="00FE4667"/>
    <w:rsid w:val="00FE4B86"/>
    <w:rsid w:val="00FE512C"/>
    <w:rsid w:val="00FE5134"/>
    <w:rsid w:val="00FE5726"/>
    <w:rsid w:val="00FE59E7"/>
    <w:rsid w:val="00FE5B2A"/>
    <w:rsid w:val="00FE5DE5"/>
    <w:rsid w:val="00FE616B"/>
    <w:rsid w:val="00FE6551"/>
    <w:rsid w:val="00FE6860"/>
    <w:rsid w:val="00FE69E9"/>
    <w:rsid w:val="00FE6AD1"/>
    <w:rsid w:val="00FE6AEC"/>
    <w:rsid w:val="00FE6FC4"/>
    <w:rsid w:val="00FE72C3"/>
    <w:rsid w:val="00FE7B25"/>
    <w:rsid w:val="00FE7F2D"/>
    <w:rsid w:val="00FF00AF"/>
    <w:rsid w:val="00FF0421"/>
    <w:rsid w:val="00FF070B"/>
    <w:rsid w:val="00FF0995"/>
    <w:rsid w:val="00FF0D3B"/>
    <w:rsid w:val="00FF0F3D"/>
    <w:rsid w:val="00FF1AA0"/>
    <w:rsid w:val="00FF2566"/>
    <w:rsid w:val="00FF26F2"/>
    <w:rsid w:val="00FF281F"/>
    <w:rsid w:val="00FF2B6D"/>
    <w:rsid w:val="00FF2D42"/>
    <w:rsid w:val="00FF39E3"/>
    <w:rsid w:val="00FF3F8F"/>
    <w:rsid w:val="00FF43CB"/>
    <w:rsid w:val="00FF49D3"/>
    <w:rsid w:val="00FF4B30"/>
    <w:rsid w:val="00FF4FD2"/>
    <w:rsid w:val="00FF54E4"/>
    <w:rsid w:val="00FF5DD8"/>
    <w:rsid w:val="00FF5FAF"/>
    <w:rsid w:val="00FF64CA"/>
    <w:rsid w:val="00FF695C"/>
    <w:rsid w:val="00FF6A9C"/>
    <w:rsid w:val="00FF6F06"/>
    <w:rsid w:val="00FF6FFC"/>
    <w:rsid w:val="00FF7038"/>
    <w:rsid w:val="010772BB"/>
    <w:rsid w:val="01104DCA"/>
    <w:rsid w:val="01121CB6"/>
    <w:rsid w:val="011B4139"/>
    <w:rsid w:val="01200B03"/>
    <w:rsid w:val="01202B4B"/>
    <w:rsid w:val="0139724A"/>
    <w:rsid w:val="01423FDF"/>
    <w:rsid w:val="014432AF"/>
    <w:rsid w:val="01461651"/>
    <w:rsid w:val="014C5705"/>
    <w:rsid w:val="014E2B2F"/>
    <w:rsid w:val="014F31ED"/>
    <w:rsid w:val="015C240E"/>
    <w:rsid w:val="016252AE"/>
    <w:rsid w:val="01690899"/>
    <w:rsid w:val="016E078A"/>
    <w:rsid w:val="0179325D"/>
    <w:rsid w:val="017D6C97"/>
    <w:rsid w:val="017E1411"/>
    <w:rsid w:val="01807C5C"/>
    <w:rsid w:val="018B7709"/>
    <w:rsid w:val="01912F05"/>
    <w:rsid w:val="019744EF"/>
    <w:rsid w:val="019E7CEB"/>
    <w:rsid w:val="01A43B2D"/>
    <w:rsid w:val="01AB4DCF"/>
    <w:rsid w:val="01B36B55"/>
    <w:rsid w:val="01BD7326"/>
    <w:rsid w:val="01BF65B6"/>
    <w:rsid w:val="01C1507C"/>
    <w:rsid w:val="01D0476E"/>
    <w:rsid w:val="01D43CDE"/>
    <w:rsid w:val="01DB42F5"/>
    <w:rsid w:val="01E3432D"/>
    <w:rsid w:val="01E728CC"/>
    <w:rsid w:val="01F07700"/>
    <w:rsid w:val="01F57B9E"/>
    <w:rsid w:val="02014DE8"/>
    <w:rsid w:val="02016938"/>
    <w:rsid w:val="02097C5A"/>
    <w:rsid w:val="020B22A6"/>
    <w:rsid w:val="021308B2"/>
    <w:rsid w:val="02145FEB"/>
    <w:rsid w:val="021566EB"/>
    <w:rsid w:val="021A5A41"/>
    <w:rsid w:val="021A7388"/>
    <w:rsid w:val="021D4E59"/>
    <w:rsid w:val="021E7A3A"/>
    <w:rsid w:val="02274E09"/>
    <w:rsid w:val="022F2E4D"/>
    <w:rsid w:val="02317BB2"/>
    <w:rsid w:val="02391BCF"/>
    <w:rsid w:val="02394DE5"/>
    <w:rsid w:val="023E037A"/>
    <w:rsid w:val="02461A6C"/>
    <w:rsid w:val="02461C31"/>
    <w:rsid w:val="024B1D9F"/>
    <w:rsid w:val="024B3984"/>
    <w:rsid w:val="024E43D4"/>
    <w:rsid w:val="025158F0"/>
    <w:rsid w:val="025207F1"/>
    <w:rsid w:val="025B03F7"/>
    <w:rsid w:val="025F77DB"/>
    <w:rsid w:val="02653A88"/>
    <w:rsid w:val="02680942"/>
    <w:rsid w:val="026A1308"/>
    <w:rsid w:val="026D2EDB"/>
    <w:rsid w:val="02722EF7"/>
    <w:rsid w:val="0273252D"/>
    <w:rsid w:val="028343E2"/>
    <w:rsid w:val="02835686"/>
    <w:rsid w:val="0285092F"/>
    <w:rsid w:val="02851176"/>
    <w:rsid w:val="028B2BE5"/>
    <w:rsid w:val="028D324C"/>
    <w:rsid w:val="02982CC2"/>
    <w:rsid w:val="029A1AE9"/>
    <w:rsid w:val="029E2FA5"/>
    <w:rsid w:val="02A230DC"/>
    <w:rsid w:val="02A453EF"/>
    <w:rsid w:val="02A93FB2"/>
    <w:rsid w:val="02AA6EAF"/>
    <w:rsid w:val="02AB376C"/>
    <w:rsid w:val="02B66479"/>
    <w:rsid w:val="02B84747"/>
    <w:rsid w:val="02CB6705"/>
    <w:rsid w:val="02CD73D5"/>
    <w:rsid w:val="02CF7EB9"/>
    <w:rsid w:val="02D40E63"/>
    <w:rsid w:val="02D8317A"/>
    <w:rsid w:val="02E16D41"/>
    <w:rsid w:val="02E50A95"/>
    <w:rsid w:val="02F64DC3"/>
    <w:rsid w:val="02FA71A9"/>
    <w:rsid w:val="02FF5316"/>
    <w:rsid w:val="03005641"/>
    <w:rsid w:val="03073F59"/>
    <w:rsid w:val="03084CC5"/>
    <w:rsid w:val="030D142B"/>
    <w:rsid w:val="030F44BE"/>
    <w:rsid w:val="031102B8"/>
    <w:rsid w:val="03115A9F"/>
    <w:rsid w:val="03193F66"/>
    <w:rsid w:val="031C3CB5"/>
    <w:rsid w:val="031D78B3"/>
    <w:rsid w:val="0325578C"/>
    <w:rsid w:val="032E4B47"/>
    <w:rsid w:val="032F0FDE"/>
    <w:rsid w:val="03344DB6"/>
    <w:rsid w:val="033631FA"/>
    <w:rsid w:val="03464780"/>
    <w:rsid w:val="03546316"/>
    <w:rsid w:val="035843CA"/>
    <w:rsid w:val="035F6CAB"/>
    <w:rsid w:val="0360064F"/>
    <w:rsid w:val="0361118E"/>
    <w:rsid w:val="03676506"/>
    <w:rsid w:val="03686D7C"/>
    <w:rsid w:val="03687EF4"/>
    <w:rsid w:val="036A0224"/>
    <w:rsid w:val="036C5641"/>
    <w:rsid w:val="036E4F49"/>
    <w:rsid w:val="03784495"/>
    <w:rsid w:val="037A6D7F"/>
    <w:rsid w:val="037E3E00"/>
    <w:rsid w:val="038417C7"/>
    <w:rsid w:val="03863560"/>
    <w:rsid w:val="038A53C3"/>
    <w:rsid w:val="039049C0"/>
    <w:rsid w:val="039752BA"/>
    <w:rsid w:val="03986D4C"/>
    <w:rsid w:val="03AA3C14"/>
    <w:rsid w:val="03AC06D6"/>
    <w:rsid w:val="03AD321E"/>
    <w:rsid w:val="03B13B40"/>
    <w:rsid w:val="03B9649F"/>
    <w:rsid w:val="03C433B4"/>
    <w:rsid w:val="03D55738"/>
    <w:rsid w:val="03D86989"/>
    <w:rsid w:val="03DC0204"/>
    <w:rsid w:val="03E80E22"/>
    <w:rsid w:val="03F64FBC"/>
    <w:rsid w:val="03F97864"/>
    <w:rsid w:val="03FA0F6F"/>
    <w:rsid w:val="04054259"/>
    <w:rsid w:val="040701CD"/>
    <w:rsid w:val="040D7F4B"/>
    <w:rsid w:val="040E5B20"/>
    <w:rsid w:val="04140B35"/>
    <w:rsid w:val="042068B5"/>
    <w:rsid w:val="04273438"/>
    <w:rsid w:val="04297268"/>
    <w:rsid w:val="042A05E1"/>
    <w:rsid w:val="04393719"/>
    <w:rsid w:val="04427F62"/>
    <w:rsid w:val="04447AB4"/>
    <w:rsid w:val="04543C3D"/>
    <w:rsid w:val="04544266"/>
    <w:rsid w:val="0455216A"/>
    <w:rsid w:val="0456256C"/>
    <w:rsid w:val="045B5E75"/>
    <w:rsid w:val="045F5D24"/>
    <w:rsid w:val="0462279E"/>
    <w:rsid w:val="0464742E"/>
    <w:rsid w:val="04737F79"/>
    <w:rsid w:val="04740900"/>
    <w:rsid w:val="04753FD1"/>
    <w:rsid w:val="04766988"/>
    <w:rsid w:val="04771672"/>
    <w:rsid w:val="047F5EBA"/>
    <w:rsid w:val="0481148C"/>
    <w:rsid w:val="0487470E"/>
    <w:rsid w:val="04875A62"/>
    <w:rsid w:val="049B640A"/>
    <w:rsid w:val="04AB7D3C"/>
    <w:rsid w:val="04AC3F77"/>
    <w:rsid w:val="04B8133D"/>
    <w:rsid w:val="04BC76CE"/>
    <w:rsid w:val="04BF66E0"/>
    <w:rsid w:val="04C47818"/>
    <w:rsid w:val="04CC6709"/>
    <w:rsid w:val="04D426B8"/>
    <w:rsid w:val="04DC183F"/>
    <w:rsid w:val="04E81883"/>
    <w:rsid w:val="04E9251F"/>
    <w:rsid w:val="04EC1344"/>
    <w:rsid w:val="04FD75E4"/>
    <w:rsid w:val="0501228F"/>
    <w:rsid w:val="050C0543"/>
    <w:rsid w:val="050E1B1C"/>
    <w:rsid w:val="050F179E"/>
    <w:rsid w:val="050F7DF7"/>
    <w:rsid w:val="05101FE3"/>
    <w:rsid w:val="051024C7"/>
    <w:rsid w:val="05156BCA"/>
    <w:rsid w:val="0529299D"/>
    <w:rsid w:val="05330424"/>
    <w:rsid w:val="055063A0"/>
    <w:rsid w:val="056B3F02"/>
    <w:rsid w:val="056E12E8"/>
    <w:rsid w:val="05763219"/>
    <w:rsid w:val="057C2593"/>
    <w:rsid w:val="0584799C"/>
    <w:rsid w:val="058567D1"/>
    <w:rsid w:val="058B3561"/>
    <w:rsid w:val="05900B53"/>
    <w:rsid w:val="05913347"/>
    <w:rsid w:val="05951392"/>
    <w:rsid w:val="0597508C"/>
    <w:rsid w:val="059C0A46"/>
    <w:rsid w:val="05A83E7A"/>
    <w:rsid w:val="05AD4EDF"/>
    <w:rsid w:val="05B72010"/>
    <w:rsid w:val="05B90A41"/>
    <w:rsid w:val="05C2677D"/>
    <w:rsid w:val="05CC727D"/>
    <w:rsid w:val="05D16715"/>
    <w:rsid w:val="05D44194"/>
    <w:rsid w:val="05D55448"/>
    <w:rsid w:val="05E53273"/>
    <w:rsid w:val="05EE14C8"/>
    <w:rsid w:val="05EE5B61"/>
    <w:rsid w:val="05F5608B"/>
    <w:rsid w:val="05F90E3B"/>
    <w:rsid w:val="060176F4"/>
    <w:rsid w:val="060B04F1"/>
    <w:rsid w:val="060C033C"/>
    <w:rsid w:val="06255D85"/>
    <w:rsid w:val="06291BC2"/>
    <w:rsid w:val="062D2E66"/>
    <w:rsid w:val="06316662"/>
    <w:rsid w:val="06356075"/>
    <w:rsid w:val="0637786D"/>
    <w:rsid w:val="065473FF"/>
    <w:rsid w:val="066037A7"/>
    <w:rsid w:val="066628F1"/>
    <w:rsid w:val="06746D8E"/>
    <w:rsid w:val="06841F28"/>
    <w:rsid w:val="06904920"/>
    <w:rsid w:val="06935CEE"/>
    <w:rsid w:val="06993BD5"/>
    <w:rsid w:val="069D6E41"/>
    <w:rsid w:val="06A3724E"/>
    <w:rsid w:val="06AD4463"/>
    <w:rsid w:val="06B169DC"/>
    <w:rsid w:val="06B377A7"/>
    <w:rsid w:val="06B44CE1"/>
    <w:rsid w:val="06CB5EE0"/>
    <w:rsid w:val="06CF447F"/>
    <w:rsid w:val="07023D57"/>
    <w:rsid w:val="070D2BA4"/>
    <w:rsid w:val="071C39F4"/>
    <w:rsid w:val="071F01F7"/>
    <w:rsid w:val="072B2A6E"/>
    <w:rsid w:val="072D2CA3"/>
    <w:rsid w:val="07322BA9"/>
    <w:rsid w:val="07333937"/>
    <w:rsid w:val="07366415"/>
    <w:rsid w:val="07384071"/>
    <w:rsid w:val="075227FF"/>
    <w:rsid w:val="07524810"/>
    <w:rsid w:val="0755123B"/>
    <w:rsid w:val="07627D0B"/>
    <w:rsid w:val="07685587"/>
    <w:rsid w:val="076E7BEC"/>
    <w:rsid w:val="0774749B"/>
    <w:rsid w:val="07825180"/>
    <w:rsid w:val="078403A0"/>
    <w:rsid w:val="078664DD"/>
    <w:rsid w:val="078B23F5"/>
    <w:rsid w:val="07AF374E"/>
    <w:rsid w:val="07C3190C"/>
    <w:rsid w:val="07C838E2"/>
    <w:rsid w:val="07CA3B25"/>
    <w:rsid w:val="07CC5223"/>
    <w:rsid w:val="07CE41A4"/>
    <w:rsid w:val="07CF3D70"/>
    <w:rsid w:val="07CF4AF5"/>
    <w:rsid w:val="07DB0CF5"/>
    <w:rsid w:val="07DC2BAC"/>
    <w:rsid w:val="07E32EB3"/>
    <w:rsid w:val="07E736A4"/>
    <w:rsid w:val="07EE6B32"/>
    <w:rsid w:val="07F15A60"/>
    <w:rsid w:val="07F452B9"/>
    <w:rsid w:val="07FB6EDE"/>
    <w:rsid w:val="07FD353E"/>
    <w:rsid w:val="08015A41"/>
    <w:rsid w:val="08026901"/>
    <w:rsid w:val="08084996"/>
    <w:rsid w:val="081263DB"/>
    <w:rsid w:val="08132240"/>
    <w:rsid w:val="08154DDC"/>
    <w:rsid w:val="083869CD"/>
    <w:rsid w:val="083E0D78"/>
    <w:rsid w:val="0842606A"/>
    <w:rsid w:val="08485C31"/>
    <w:rsid w:val="084B3F2B"/>
    <w:rsid w:val="08602D67"/>
    <w:rsid w:val="08753D34"/>
    <w:rsid w:val="08821F66"/>
    <w:rsid w:val="0883089C"/>
    <w:rsid w:val="088B00D0"/>
    <w:rsid w:val="089173DA"/>
    <w:rsid w:val="089C5D28"/>
    <w:rsid w:val="08A75E1C"/>
    <w:rsid w:val="08A824AC"/>
    <w:rsid w:val="08B52625"/>
    <w:rsid w:val="08BB708B"/>
    <w:rsid w:val="08BB73C8"/>
    <w:rsid w:val="08BD2B55"/>
    <w:rsid w:val="08CD1374"/>
    <w:rsid w:val="08CD2A1B"/>
    <w:rsid w:val="08CE4368"/>
    <w:rsid w:val="08D0090F"/>
    <w:rsid w:val="08D85658"/>
    <w:rsid w:val="08DC23C6"/>
    <w:rsid w:val="08F35698"/>
    <w:rsid w:val="09036653"/>
    <w:rsid w:val="090A2DF1"/>
    <w:rsid w:val="090E07DE"/>
    <w:rsid w:val="09116E50"/>
    <w:rsid w:val="09131E1B"/>
    <w:rsid w:val="0913452B"/>
    <w:rsid w:val="091F7807"/>
    <w:rsid w:val="09290223"/>
    <w:rsid w:val="09491D4A"/>
    <w:rsid w:val="094E4943"/>
    <w:rsid w:val="095133DD"/>
    <w:rsid w:val="09532E83"/>
    <w:rsid w:val="0954147B"/>
    <w:rsid w:val="095951AB"/>
    <w:rsid w:val="0963528E"/>
    <w:rsid w:val="09662C5E"/>
    <w:rsid w:val="09674090"/>
    <w:rsid w:val="096D3278"/>
    <w:rsid w:val="097739F5"/>
    <w:rsid w:val="0980239B"/>
    <w:rsid w:val="0988417D"/>
    <w:rsid w:val="0989490C"/>
    <w:rsid w:val="09994342"/>
    <w:rsid w:val="099B57D8"/>
    <w:rsid w:val="09A4665D"/>
    <w:rsid w:val="09B14265"/>
    <w:rsid w:val="09B37AB5"/>
    <w:rsid w:val="09BF599D"/>
    <w:rsid w:val="09CD5776"/>
    <w:rsid w:val="09D02363"/>
    <w:rsid w:val="09D47266"/>
    <w:rsid w:val="09D80162"/>
    <w:rsid w:val="09EB0392"/>
    <w:rsid w:val="09EE4B58"/>
    <w:rsid w:val="09F12359"/>
    <w:rsid w:val="09FA7173"/>
    <w:rsid w:val="09FD7FE5"/>
    <w:rsid w:val="0A07378E"/>
    <w:rsid w:val="0A116363"/>
    <w:rsid w:val="0A14156E"/>
    <w:rsid w:val="0A1A6845"/>
    <w:rsid w:val="0A28082A"/>
    <w:rsid w:val="0A2F07E0"/>
    <w:rsid w:val="0A38790A"/>
    <w:rsid w:val="0A3C71C9"/>
    <w:rsid w:val="0A401C1E"/>
    <w:rsid w:val="0A4375EB"/>
    <w:rsid w:val="0A456E50"/>
    <w:rsid w:val="0A4D453B"/>
    <w:rsid w:val="0A534715"/>
    <w:rsid w:val="0A5820D6"/>
    <w:rsid w:val="0A5949EC"/>
    <w:rsid w:val="0A65148D"/>
    <w:rsid w:val="0A6F2FA6"/>
    <w:rsid w:val="0A754520"/>
    <w:rsid w:val="0A7F11BD"/>
    <w:rsid w:val="0A7F2616"/>
    <w:rsid w:val="0A85222D"/>
    <w:rsid w:val="0A865D37"/>
    <w:rsid w:val="0A8D6D65"/>
    <w:rsid w:val="0A932A9A"/>
    <w:rsid w:val="0A9E5023"/>
    <w:rsid w:val="0AA115A8"/>
    <w:rsid w:val="0AA237EF"/>
    <w:rsid w:val="0AA5285D"/>
    <w:rsid w:val="0AAA441C"/>
    <w:rsid w:val="0AAC2D71"/>
    <w:rsid w:val="0AAF5405"/>
    <w:rsid w:val="0AC33068"/>
    <w:rsid w:val="0ACC4DEA"/>
    <w:rsid w:val="0AD75369"/>
    <w:rsid w:val="0AD76CC3"/>
    <w:rsid w:val="0ADA7EAE"/>
    <w:rsid w:val="0ADB1785"/>
    <w:rsid w:val="0ADB3262"/>
    <w:rsid w:val="0ADD1928"/>
    <w:rsid w:val="0ADF0047"/>
    <w:rsid w:val="0B020CD1"/>
    <w:rsid w:val="0B036B2A"/>
    <w:rsid w:val="0B0776A1"/>
    <w:rsid w:val="0B0D650D"/>
    <w:rsid w:val="0B141E20"/>
    <w:rsid w:val="0B1D07DF"/>
    <w:rsid w:val="0B207F89"/>
    <w:rsid w:val="0B2A6AFF"/>
    <w:rsid w:val="0B2E1C5E"/>
    <w:rsid w:val="0B3D40FA"/>
    <w:rsid w:val="0B3D6F3B"/>
    <w:rsid w:val="0B3F581C"/>
    <w:rsid w:val="0B4C113E"/>
    <w:rsid w:val="0B673230"/>
    <w:rsid w:val="0B707013"/>
    <w:rsid w:val="0B710CB0"/>
    <w:rsid w:val="0B745196"/>
    <w:rsid w:val="0B760C85"/>
    <w:rsid w:val="0B776FD5"/>
    <w:rsid w:val="0B853C9D"/>
    <w:rsid w:val="0B861AA9"/>
    <w:rsid w:val="0B8658AE"/>
    <w:rsid w:val="0B8A6442"/>
    <w:rsid w:val="0B8E2402"/>
    <w:rsid w:val="0B913322"/>
    <w:rsid w:val="0B9A660C"/>
    <w:rsid w:val="0BA32BBF"/>
    <w:rsid w:val="0BA45D6B"/>
    <w:rsid w:val="0BC812E3"/>
    <w:rsid w:val="0BC85D45"/>
    <w:rsid w:val="0BE908BA"/>
    <w:rsid w:val="0BEB6FAD"/>
    <w:rsid w:val="0BEF3E6D"/>
    <w:rsid w:val="0BF03140"/>
    <w:rsid w:val="0BF33597"/>
    <w:rsid w:val="0BF63C32"/>
    <w:rsid w:val="0BFF2EB1"/>
    <w:rsid w:val="0BFF309A"/>
    <w:rsid w:val="0C00082A"/>
    <w:rsid w:val="0C1F4602"/>
    <w:rsid w:val="0C202B49"/>
    <w:rsid w:val="0C222EB8"/>
    <w:rsid w:val="0C2C1067"/>
    <w:rsid w:val="0C3B71BE"/>
    <w:rsid w:val="0C3E5E97"/>
    <w:rsid w:val="0C3F6109"/>
    <w:rsid w:val="0C4012DF"/>
    <w:rsid w:val="0C4078D6"/>
    <w:rsid w:val="0C446C02"/>
    <w:rsid w:val="0C52714D"/>
    <w:rsid w:val="0C562C4F"/>
    <w:rsid w:val="0C5C01B5"/>
    <w:rsid w:val="0C624B0D"/>
    <w:rsid w:val="0C632E53"/>
    <w:rsid w:val="0C636C10"/>
    <w:rsid w:val="0C6539B3"/>
    <w:rsid w:val="0C6E582F"/>
    <w:rsid w:val="0C7233D0"/>
    <w:rsid w:val="0C775EFD"/>
    <w:rsid w:val="0C786586"/>
    <w:rsid w:val="0C8F06C3"/>
    <w:rsid w:val="0C8F2A13"/>
    <w:rsid w:val="0C8F4BFD"/>
    <w:rsid w:val="0C9663E4"/>
    <w:rsid w:val="0C974395"/>
    <w:rsid w:val="0C9968D7"/>
    <w:rsid w:val="0CA57779"/>
    <w:rsid w:val="0CB256AA"/>
    <w:rsid w:val="0CB41EA1"/>
    <w:rsid w:val="0CB604CB"/>
    <w:rsid w:val="0CBC26E2"/>
    <w:rsid w:val="0CC3700E"/>
    <w:rsid w:val="0CC46469"/>
    <w:rsid w:val="0CC86617"/>
    <w:rsid w:val="0CD3448A"/>
    <w:rsid w:val="0CD853BC"/>
    <w:rsid w:val="0CE10923"/>
    <w:rsid w:val="0CEB5AA2"/>
    <w:rsid w:val="0CF11522"/>
    <w:rsid w:val="0CF5061A"/>
    <w:rsid w:val="0CFB244E"/>
    <w:rsid w:val="0CFD34F3"/>
    <w:rsid w:val="0CFF0714"/>
    <w:rsid w:val="0D015B77"/>
    <w:rsid w:val="0D0C0257"/>
    <w:rsid w:val="0D227A47"/>
    <w:rsid w:val="0D2658EB"/>
    <w:rsid w:val="0D3370A4"/>
    <w:rsid w:val="0D3746BE"/>
    <w:rsid w:val="0D4A7D17"/>
    <w:rsid w:val="0D4B47BF"/>
    <w:rsid w:val="0D4D07BF"/>
    <w:rsid w:val="0D4E1EF4"/>
    <w:rsid w:val="0D515864"/>
    <w:rsid w:val="0D572399"/>
    <w:rsid w:val="0D61116A"/>
    <w:rsid w:val="0D615E8D"/>
    <w:rsid w:val="0D632CC0"/>
    <w:rsid w:val="0D680721"/>
    <w:rsid w:val="0D686C16"/>
    <w:rsid w:val="0D6C48F9"/>
    <w:rsid w:val="0D75764F"/>
    <w:rsid w:val="0D760351"/>
    <w:rsid w:val="0D7A1596"/>
    <w:rsid w:val="0D7A616E"/>
    <w:rsid w:val="0D7D5C20"/>
    <w:rsid w:val="0D806457"/>
    <w:rsid w:val="0D830D76"/>
    <w:rsid w:val="0D846CE4"/>
    <w:rsid w:val="0D8D3E0E"/>
    <w:rsid w:val="0D8E35BC"/>
    <w:rsid w:val="0D9712DA"/>
    <w:rsid w:val="0D9D2A92"/>
    <w:rsid w:val="0DA6628A"/>
    <w:rsid w:val="0DB25D48"/>
    <w:rsid w:val="0DC44663"/>
    <w:rsid w:val="0DC55944"/>
    <w:rsid w:val="0DCC389E"/>
    <w:rsid w:val="0DD1794B"/>
    <w:rsid w:val="0DD25D41"/>
    <w:rsid w:val="0DD55136"/>
    <w:rsid w:val="0DD60968"/>
    <w:rsid w:val="0DD72E0E"/>
    <w:rsid w:val="0DF0557B"/>
    <w:rsid w:val="0DF14B4F"/>
    <w:rsid w:val="0DF40D50"/>
    <w:rsid w:val="0DF93D02"/>
    <w:rsid w:val="0E105B77"/>
    <w:rsid w:val="0E192430"/>
    <w:rsid w:val="0E1C3E29"/>
    <w:rsid w:val="0E1C6A5C"/>
    <w:rsid w:val="0E1F0A74"/>
    <w:rsid w:val="0E264412"/>
    <w:rsid w:val="0E292C51"/>
    <w:rsid w:val="0E29399C"/>
    <w:rsid w:val="0E2C22E5"/>
    <w:rsid w:val="0E320A71"/>
    <w:rsid w:val="0E336917"/>
    <w:rsid w:val="0E395C13"/>
    <w:rsid w:val="0E3C6E49"/>
    <w:rsid w:val="0E4254E2"/>
    <w:rsid w:val="0E453D9C"/>
    <w:rsid w:val="0E48714E"/>
    <w:rsid w:val="0E4A372D"/>
    <w:rsid w:val="0E4B4EC3"/>
    <w:rsid w:val="0E537624"/>
    <w:rsid w:val="0E567156"/>
    <w:rsid w:val="0E5714E3"/>
    <w:rsid w:val="0E594438"/>
    <w:rsid w:val="0E5F16B3"/>
    <w:rsid w:val="0E634F9B"/>
    <w:rsid w:val="0E6D25BB"/>
    <w:rsid w:val="0E76417A"/>
    <w:rsid w:val="0E7A45B9"/>
    <w:rsid w:val="0E920C2D"/>
    <w:rsid w:val="0E9F6410"/>
    <w:rsid w:val="0EA04010"/>
    <w:rsid w:val="0EAD226B"/>
    <w:rsid w:val="0EAF6D96"/>
    <w:rsid w:val="0EB82577"/>
    <w:rsid w:val="0EBB51FB"/>
    <w:rsid w:val="0EC31E3E"/>
    <w:rsid w:val="0ED20261"/>
    <w:rsid w:val="0ED22A09"/>
    <w:rsid w:val="0ED427A7"/>
    <w:rsid w:val="0ED52EA9"/>
    <w:rsid w:val="0ED549C0"/>
    <w:rsid w:val="0ED56330"/>
    <w:rsid w:val="0EF7298E"/>
    <w:rsid w:val="0F076A14"/>
    <w:rsid w:val="0F0B2010"/>
    <w:rsid w:val="0F1656B4"/>
    <w:rsid w:val="0F16672A"/>
    <w:rsid w:val="0F171C1F"/>
    <w:rsid w:val="0F1C1192"/>
    <w:rsid w:val="0F232830"/>
    <w:rsid w:val="0F281893"/>
    <w:rsid w:val="0F304FC9"/>
    <w:rsid w:val="0F33549C"/>
    <w:rsid w:val="0F38308F"/>
    <w:rsid w:val="0F3C4848"/>
    <w:rsid w:val="0F420E70"/>
    <w:rsid w:val="0F4C22A3"/>
    <w:rsid w:val="0F54164E"/>
    <w:rsid w:val="0F544D5C"/>
    <w:rsid w:val="0F5664FF"/>
    <w:rsid w:val="0F6D732E"/>
    <w:rsid w:val="0F6F7DD1"/>
    <w:rsid w:val="0F74531A"/>
    <w:rsid w:val="0F817250"/>
    <w:rsid w:val="0F8C0668"/>
    <w:rsid w:val="0F8D56B0"/>
    <w:rsid w:val="0F9772D0"/>
    <w:rsid w:val="0F983B14"/>
    <w:rsid w:val="0F9E16F5"/>
    <w:rsid w:val="0FA62B57"/>
    <w:rsid w:val="0FA8167D"/>
    <w:rsid w:val="0FAC7F25"/>
    <w:rsid w:val="0FB87AF4"/>
    <w:rsid w:val="0FBB4C42"/>
    <w:rsid w:val="0FBE64EF"/>
    <w:rsid w:val="0FD03C97"/>
    <w:rsid w:val="0FD27B8F"/>
    <w:rsid w:val="0FD5389C"/>
    <w:rsid w:val="0FDF37D8"/>
    <w:rsid w:val="0FF173C6"/>
    <w:rsid w:val="0FF6449F"/>
    <w:rsid w:val="0FFC1439"/>
    <w:rsid w:val="0FFF400C"/>
    <w:rsid w:val="10001A99"/>
    <w:rsid w:val="10022FB8"/>
    <w:rsid w:val="101F7743"/>
    <w:rsid w:val="102E0D89"/>
    <w:rsid w:val="10387340"/>
    <w:rsid w:val="103D3811"/>
    <w:rsid w:val="104A7676"/>
    <w:rsid w:val="104B7595"/>
    <w:rsid w:val="10503460"/>
    <w:rsid w:val="105F404F"/>
    <w:rsid w:val="10653D2D"/>
    <w:rsid w:val="106B70E0"/>
    <w:rsid w:val="107018B1"/>
    <w:rsid w:val="10712154"/>
    <w:rsid w:val="10777D07"/>
    <w:rsid w:val="107B3A50"/>
    <w:rsid w:val="107D69B5"/>
    <w:rsid w:val="108E203F"/>
    <w:rsid w:val="108F2E01"/>
    <w:rsid w:val="1099291B"/>
    <w:rsid w:val="109A4AD8"/>
    <w:rsid w:val="109E63DD"/>
    <w:rsid w:val="10A63946"/>
    <w:rsid w:val="10A70B4E"/>
    <w:rsid w:val="10A70F7C"/>
    <w:rsid w:val="10AF2B90"/>
    <w:rsid w:val="10BC7F89"/>
    <w:rsid w:val="10C62388"/>
    <w:rsid w:val="10C876C3"/>
    <w:rsid w:val="10D349A6"/>
    <w:rsid w:val="10D60DD9"/>
    <w:rsid w:val="10D635DC"/>
    <w:rsid w:val="10D8121F"/>
    <w:rsid w:val="10E20D73"/>
    <w:rsid w:val="10E8394D"/>
    <w:rsid w:val="11033E1D"/>
    <w:rsid w:val="110D3370"/>
    <w:rsid w:val="110D7643"/>
    <w:rsid w:val="111B0EC4"/>
    <w:rsid w:val="1120128B"/>
    <w:rsid w:val="11274D56"/>
    <w:rsid w:val="11286A95"/>
    <w:rsid w:val="112B52AD"/>
    <w:rsid w:val="112C4ED2"/>
    <w:rsid w:val="11314862"/>
    <w:rsid w:val="113925D4"/>
    <w:rsid w:val="113C33F0"/>
    <w:rsid w:val="113E37B9"/>
    <w:rsid w:val="113E71EC"/>
    <w:rsid w:val="113F0C7D"/>
    <w:rsid w:val="113F4EE1"/>
    <w:rsid w:val="11433644"/>
    <w:rsid w:val="114E299D"/>
    <w:rsid w:val="11513B7C"/>
    <w:rsid w:val="11574BED"/>
    <w:rsid w:val="115D2398"/>
    <w:rsid w:val="11661A17"/>
    <w:rsid w:val="116A7C03"/>
    <w:rsid w:val="116E1F8A"/>
    <w:rsid w:val="11736B4D"/>
    <w:rsid w:val="117D6775"/>
    <w:rsid w:val="118521E6"/>
    <w:rsid w:val="118B7329"/>
    <w:rsid w:val="118D4C4D"/>
    <w:rsid w:val="118F3299"/>
    <w:rsid w:val="11961C10"/>
    <w:rsid w:val="119947D6"/>
    <w:rsid w:val="119F2363"/>
    <w:rsid w:val="11A25A47"/>
    <w:rsid w:val="11AC2FF3"/>
    <w:rsid w:val="11B77AC1"/>
    <w:rsid w:val="11BE076C"/>
    <w:rsid w:val="11D80B6D"/>
    <w:rsid w:val="11DE154E"/>
    <w:rsid w:val="11E45A3F"/>
    <w:rsid w:val="11F16E22"/>
    <w:rsid w:val="11F61272"/>
    <w:rsid w:val="11F63774"/>
    <w:rsid w:val="11F73FA6"/>
    <w:rsid w:val="11F8282B"/>
    <w:rsid w:val="12014975"/>
    <w:rsid w:val="120D5851"/>
    <w:rsid w:val="120F4AAF"/>
    <w:rsid w:val="1216213C"/>
    <w:rsid w:val="1216343F"/>
    <w:rsid w:val="12191520"/>
    <w:rsid w:val="12213619"/>
    <w:rsid w:val="12236773"/>
    <w:rsid w:val="122A404E"/>
    <w:rsid w:val="122A7545"/>
    <w:rsid w:val="12312EC7"/>
    <w:rsid w:val="123B0CC7"/>
    <w:rsid w:val="123B1120"/>
    <w:rsid w:val="123F49E2"/>
    <w:rsid w:val="124C22D6"/>
    <w:rsid w:val="124C4972"/>
    <w:rsid w:val="124E5FBC"/>
    <w:rsid w:val="125D453D"/>
    <w:rsid w:val="12642215"/>
    <w:rsid w:val="126532B4"/>
    <w:rsid w:val="12687E5D"/>
    <w:rsid w:val="126D5EC7"/>
    <w:rsid w:val="126E3FB0"/>
    <w:rsid w:val="127E243F"/>
    <w:rsid w:val="127E365B"/>
    <w:rsid w:val="12830616"/>
    <w:rsid w:val="129047EF"/>
    <w:rsid w:val="1299008F"/>
    <w:rsid w:val="129E1907"/>
    <w:rsid w:val="129F75C2"/>
    <w:rsid w:val="12A263AE"/>
    <w:rsid w:val="12AC0376"/>
    <w:rsid w:val="12B54C81"/>
    <w:rsid w:val="12CA0201"/>
    <w:rsid w:val="12CB52EA"/>
    <w:rsid w:val="12CE4EBC"/>
    <w:rsid w:val="12CE6A6C"/>
    <w:rsid w:val="12CF0426"/>
    <w:rsid w:val="12D03115"/>
    <w:rsid w:val="12D5386B"/>
    <w:rsid w:val="12D81644"/>
    <w:rsid w:val="12DF237C"/>
    <w:rsid w:val="12EE62A8"/>
    <w:rsid w:val="12F05B27"/>
    <w:rsid w:val="12F6638B"/>
    <w:rsid w:val="12F96C37"/>
    <w:rsid w:val="12FE5CF1"/>
    <w:rsid w:val="130B44B9"/>
    <w:rsid w:val="130C1CAB"/>
    <w:rsid w:val="13151474"/>
    <w:rsid w:val="13181508"/>
    <w:rsid w:val="131E7C3F"/>
    <w:rsid w:val="132027F8"/>
    <w:rsid w:val="13262480"/>
    <w:rsid w:val="1326460B"/>
    <w:rsid w:val="13303CC1"/>
    <w:rsid w:val="133C63F9"/>
    <w:rsid w:val="1344702C"/>
    <w:rsid w:val="134D6D5D"/>
    <w:rsid w:val="13627CA6"/>
    <w:rsid w:val="13697B26"/>
    <w:rsid w:val="13702ABF"/>
    <w:rsid w:val="13786E27"/>
    <w:rsid w:val="138B043C"/>
    <w:rsid w:val="138C55B5"/>
    <w:rsid w:val="138D473E"/>
    <w:rsid w:val="13907B55"/>
    <w:rsid w:val="139133FF"/>
    <w:rsid w:val="13920F8B"/>
    <w:rsid w:val="13AF2E96"/>
    <w:rsid w:val="13B40B53"/>
    <w:rsid w:val="13B91768"/>
    <w:rsid w:val="13C37133"/>
    <w:rsid w:val="13C6140A"/>
    <w:rsid w:val="13CE1ACB"/>
    <w:rsid w:val="13DC4C69"/>
    <w:rsid w:val="13DF1B21"/>
    <w:rsid w:val="13E06141"/>
    <w:rsid w:val="13EC1618"/>
    <w:rsid w:val="13ED621B"/>
    <w:rsid w:val="13FB40F5"/>
    <w:rsid w:val="13FD5B41"/>
    <w:rsid w:val="13FE1C6C"/>
    <w:rsid w:val="1403344D"/>
    <w:rsid w:val="140449BE"/>
    <w:rsid w:val="14053DF1"/>
    <w:rsid w:val="140B7457"/>
    <w:rsid w:val="140D012A"/>
    <w:rsid w:val="14125E03"/>
    <w:rsid w:val="141609C6"/>
    <w:rsid w:val="14202042"/>
    <w:rsid w:val="142028AF"/>
    <w:rsid w:val="14272AF8"/>
    <w:rsid w:val="142A21E3"/>
    <w:rsid w:val="142A7B10"/>
    <w:rsid w:val="14316DAB"/>
    <w:rsid w:val="1436543A"/>
    <w:rsid w:val="14383D50"/>
    <w:rsid w:val="1448451A"/>
    <w:rsid w:val="1448687D"/>
    <w:rsid w:val="14555362"/>
    <w:rsid w:val="1461414E"/>
    <w:rsid w:val="14665177"/>
    <w:rsid w:val="146C5F3E"/>
    <w:rsid w:val="146E7F2E"/>
    <w:rsid w:val="14720436"/>
    <w:rsid w:val="147B0939"/>
    <w:rsid w:val="147C0111"/>
    <w:rsid w:val="147C2F1C"/>
    <w:rsid w:val="147D2042"/>
    <w:rsid w:val="147D38AC"/>
    <w:rsid w:val="1490598A"/>
    <w:rsid w:val="14A107E2"/>
    <w:rsid w:val="14AE048E"/>
    <w:rsid w:val="14B400F7"/>
    <w:rsid w:val="14B90EDE"/>
    <w:rsid w:val="14BF3AD3"/>
    <w:rsid w:val="14C0011F"/>
    <w:rsid w:val="14C25453"/>
    <w:rsid w:val="14C57350"/>
    <w:rsid w:val="14D25BCA"/>
    <w:rsid w:val="14D50E9B"/>
    <w:rsid w:val="14D956AA"/>
    <w:rsid w:val="14DB109D"/>
    <w:rsid w:val="14F85CD6"/>
    <w:rsid w:val="14FC19D9"/>
    <w:rsid w:val="150B5741"/>
    <w:rsid w:val="150F3F9B"/>
    <w:rsid w:val="1510137F"/>
    <w:rsid w:val="15145A86"/>
    <w:rsid w:val="15162B1E"/>
    <w:rsid w:val="151867FD"/>
    <w:rsid w:val="151E12D7"/>
    <w:rsid w:val="15206BFA"/>
    <w:rsid w:val="15310BDD"/>
    <w:rsid w:val="15312A4D"/>
    <w:rsid w:val="153633CC"/>
    <w:rsid w:val="15395870"/>
    <w:rsid w:val="153F00F8"/>
    <w:rsid w:val="1544615D"/>
    <w:rsid w:val="15470505"/>
    <w:rsid w:val="154F7027"/>
    <w:rsid w:val="155025C8"/>
    <w:rsid w:val="15552547"/>
    <w:rsid w:val="155865D0"/>
    <w:rsid w:val="15646175"/>
    <w:rsid w:val="156A0713"/>
    <w:rsid w:val="156D3AF1"/>
    <w:rsid w:val="15706F90"/>
    <w:rsid w:val="15736AAD"/>
    <w:rsid w:val="157604AC"/>
    <w:rsid w:val="15797AE1"/>
    <w:rsid w:val="15802553"/>
    <w:rsid w:val="1587133C"/>
    <w:rsid w:val="15895EC6"/>
    <w:rsid w:val="158D3D63"/>
    <w:rsid w:val="158E79BA"/>
    <w:rsid w:val="158F05D0"/>
    <w:rsid w:val="158F16F4"/>
    <w:rsid w:val="158F2433"/>
    <w:rsid w:val="159474BE"/>
    <w:rsid w:val="159D1509"/>
    <w:rsid w:val="15A042DF"/>
    <w:rsid w:val="15A25A1F"/>
    <w:rsid w:val="15A612FA"/>
    <w:rsid w:val="15AD4D76"/>
    <w:rsid w:val="15B03C6F"/>
    <w:rsid w:val="15B05E40"/>
    <w:rsid w:val="15B301B3"/>
    <w:rsid w:val="15B33BB7"/>
    <w:rsid w:val="15C042B1"/>
    <w:rsid w:val="15C13E67"/>
    <w:rsid w:val="15CB0919"/>
    <w:rsid w:val="15CB7807"/>
    <w:rsid w:val="15CC32B5"/>
    <w:rsid w:val="15CD1E48"/>
    <w:rsid w:val="15D42472"/>
    <w:rsid w:val="15D52AF3"/>
    <w:rsid w:val="15D7212C"/>
    <w:rsid w:val="15E94F30"/>
    <w:rsid w:val="15F841CB"/>
    <w:rsid w:val="15FF11A1"/>
    <w:rsid w:val="16062208"/>
    <w:rsid w:val="16075C33"/>
    <w:rsid w:val="160B494E"/>
    <w:rsid w:val="1611410A"/>
    <w:rsid w:val="16134E2F"/>
    <w:rsid w:val="161F03E2"/>
    <w:rsid w:val="1624609B"/>
    <w:rsid w:val="162E0A55"/>
    <w:rsid w:val="1631622F"/>
    <w:rsid w:val="163D07D0"/>
    <w:rsid w:val="164957CB"/>
    <w:rsid w:val="165C2014"/>
    <w:rsid w:val="16606C12"/>
    <w:rsid w:val="16615D26"/>
    <w:rsid w:val="16617691"/>
    <w:rsid w:val="166328B9"/>
    <w:rsid w:val="1667465C"/>
    <w:rsid w:val="167108C9"/>
    <w:rsid w:val="167C734E"/>
    <w:rsid w:val="1695187D"/>
    <w:rsid w:val="1696003E"/>
    <w:rsid w:val="169B5108"/>
    <w:rsid w:val="169E00E1"/>
    <w:rsid w:val="16A40EB6"/>
    <w:rsid w:val="16A73A3D"/>
    <w:rsid w:val="16A91080"/>
    <w:rsid w:val="16AB10B3"/>
    <w:rsid w:val="16C44209"/>
    <w:rsid w:val="16CB7A0B"/>
    <w:rsid w:val="16CD3211"/>
    <w:rsid w:val="16CF0B9C"/>
    <w:rsid w:val="16D577D9"/>
    <w:rsid w:val="16EA190C"/>
    <w:rsid w:val="16EB31D5"/>
    <w:rsid w:val="16F00894"/>
    <w:rsid w:val="16F24F16"/>
    <w:rsid w:val="16F629BE"/>
    <w:rsid w:val="16F87168"/>
    <w:rsid w:val="16FB6592"/>
    <w:rsid w:val="17017CBD"/>
    <w:rsid w:val="17073EDB"/>
    <w:rsid w:val="1709782A"/>
    <w:rsid w:val="17171191"/>
    <w:rsid w:val="171C2B2F"/>
    <w:rsid w:val="171D3157"/>
    <w:rsid w:val="17265D32"/>
    <w:rsid w:val="172E43B4"/>
    <w:rsid w:val="174D7E11"/>
    <w:rsid w:val="17506EBA"/>
    <w:rsid w:val="17573CC9"/>
    <w:rsid w:val="17587576"/>
    <w:rsid w:val="175A5EE4"/>
    <w:rsid w:val="175C726D"/>
    <w:rsid w:val="176165FF"/>
    <w:rsid w:val="176714AA"/>
    <w:rsid w:val="176A50C6"/>
    <w:rsid w:val="17723346"/>
    <w:rsid w:val="17730E15"/>
    <w:rsid w:val="177410CE"/>
    <w:rsid w:val="17756ECE"/>
    <w:rsid w:val="17820421"/>
    <w:rsid w:val="178C220C"/>
    <w:rsid w:val="179566AC"/>
    <w:rsid w:val="179B0E39"/>
    <w:rsid w:val="17A441C7"/>
    <w:rsid w:val="17A6649F"/>
    <w:rsid w:val="17AB7DD3"/>
    <w:rsid w:val="17AE3E7C"/>
    <w:rsid w:val="17B612D6"/>
    <w:rsid w:val="17B92440"/>
    <w:rsid w:val="17BA645A"/>
    <w:rsid w:val="17C159AE"/>
    <w:rsid w:val="17C61ED9"/>
    <w:rsid w:val="17CD6335"/>
    <w:rsid w:val="17D01B13"/>
    <w:rsid w:val="17E62EF7"/>
    <w:rsid w:val="17F14C30"/>
    <w:rsid w:val="17F70E89"/>
    <w:rsid w:val="17F86DCD"/>
    <w:rsid w:val="17FE164B"/>
    <w:rsid w:val="17FF7C33"/>
    <w:rsid w:val="18061B9E"/>
    <w:rsid w:val="180A67F3"/>
    <w:rsid w:val="18277217"/>
    <w:rsid w:val="182C40BE"/>
    <w:rsid w:val="182C6D4A"/>
    <w:rsid w:val="1831015B"/>
    <w:rsid w:val="183500E0"/>
    <w:rsid w:val="18375AEE"/>
    <w:rsid w:val="183A37C3"/>
    <w:rsid w:val="183B6A1A"/>
    <w:rsid w:val="183E448D"/>
    <w:rsid w:val="18497C71"/>
    <w:rsid w:val="18511D3E"/>
    <w:rsid w:val="185B0E1C"/>
    <w:rsid w:val="185B550A"/>
    <w:rsid w:val="185F5764"/>
    <w:rsid w:val="1862019C"/>
    <w:rsid w:val="186C1B3B"/>
    <w:rsid w:val="186F2226"/>
    <w:rsid w:val="18720B66"/>
    <w:rsid w:val="18745145"/>
    <w:rsid w:val="18770778"/>
    <w:rsid w:val="187E6061"/>
    <w:rsid w:val="187F00B1"/>
    <w:rsid w:val="187F1657"/>
    <w:rsid w:val="188331BE"/>
    <w:rsid w:val="188F1BF6"/>
    <w:rsid w:val="1890127D"/>
    <w:rsid w:val="1894562F"/>
    <w:rsid w:val="18A46A64"/>
    <w:rsid w:val="18A53948"/>
    <w:rsid w:val="18B36545"/>
    <w:rsid w:val="18CA24D1"/>
    <w:rsid w:val="18CB708B"/>
    <w:rsid w:val="18CD7C03"/>
    <w:rsid w:val="18CF583C"/>
    <w:rsid w:val="18CF7FC4"/>
    <w:rsid w:val="18D310F8"/>
    <w:rsid w:val="18D4656E"/>
    <w:rsid w:val="18D73F6C"/>
    <w:rsid w:val="18D870F3"/>
    <w:rsid w:val="18D97E0C"/>
    <w:rsid w:val="18EB417D"/>
    <w:rsid w:val="18EB790A"/>
    <w:rsid w:val="18EC7AA0"/>
    <w:rsid w:val="18ED5F6E"/>
    <w:rsid w:val="18FE4AF6"/>
    <w:rsid w:val="190637E5"/>
    <w:rsid w:val="19111963"/>
    <w:rsid w:val="19141E34"/>
    <w:rsid w:val="191B3481"/>
    <w:rsid w:val="191B7F84"/>
    <w:rsid w:val="191E13B6"/>
    <w:rsid w:val="19210556"/>
    <w:rsid w:val="1922221B"/>
    <w:rsid w:val="19270C45"/>
    <w:rsid w:val="192D5B24"/>
    <w:rsid w:val="19311A01"/>
    <w:rsid w:val="19374E24"/>
    <w:rsid w:val="193755AB"/>
    <w:rsid w:val="193C7689"/>
    <w:rsid w:val="19446DCF"/>
    <w:rsid w:val="19481705"/>
    <w:rsid w:val="195349AB"/>
    <w:rsid w:val="196B701B"/>
    <w:rsid w:val="1974655F"/>
    <w:rsid w:val="19810EAE"/>
    <w:rsid w:val="198C4923"/>
    <w:rsid w:val="198D36C2"/>
    <w:rsid w:val="19931899"/>
    <w:rsid w:val="19965838"/>
    <w:rsid w:val="199B2A19"/>
    <w:rsid w:val="19A6551D"/>
    <w:rsid w:val="19AF476D"/>
    <w:rsid w:val="19B1702A"/>
    <w:rsid w:val="19B5643A"/>
    <w:rsid w:val="19BD77E6"/>
    <w:rsid w:val="19C33FAF"/>
    <w:rsid w:val="19C60191"/>
    <w:rsid w:val="19C75364"/>
    <w:rsid w:val="19CD343B"/>
    <w:rsid w:val="19D4211F"/>
    <w:rsid w:val="19D51AE2"/>
    <w:rsid w:val="19DD627B"/>
    <w:rsid w:val="19E558ED"/>
    <w:rsid w:val="19E702ED"/>
    <w:rsid w:val="19EF26BA"/>
    <w:rsid w:val="19F03DA4"/>
    <w:rsid w:val="19F30B76"/>
    <w:rsid w:val="19F518A6"/>
    <w:rsid w:val="1A0B78DC"/>
    <w:rsid w:val="1A0E1FB8"/>
    <w:rsid w:val="1A0F05F0"/>
    <w:rsid w:val="1A177AFF"/>
    <w:rsid w:val="1A1839C5"/>
    <w:rsid w:val="1A191D75"/>
    <w:rsid w:val="1A1B2509"/>
    <w:rsid w:val="1A203CB5"/>
    <w:rsid w:val="1A214C90"/>
    <w:rsid w:val="1A293A25"/>
    <w:rsid w:val="1A2B259E"/>
    <w:rsid w:val="1A2D3673"/>
    <w:rsid w:val="1A3570A9"/>
    <w:rsid w:val="1A3A4C3F"/>
    <w:rsid w:val="1A3F7070"/>
    <w:rsid w:val="1A463C17"/>
    <w:rsid w:val="1A4938D2"/>
    <w:rsid w:val="1A4B0593"/>
    <w:rsid w:val="1A4B5924"/>
    <w:rsid w:val="1A4F0BA6"/>
    <w:rsid w:val="1A5118B7"/>
    <w:rsid w:val="1A53525F"/>
    <w:rsid w:val="1A5F73B2"/>
    <w:rsid w:val="1A600A56"/>
    <w:rsid w:val="1A6253BF"/>
    <w:rsid w:val="1A672992"/>
    <w:rsid w:val="1A742C93"/>
    <w:rsid w:val="1A76652E"/>
    <w:rsid w:val="1A8122DB"/>
    <w:rsid w:val="1A82621B"/>
    <w:rsid w:val="1A9F2DD9"/>
    <w:rsid w:val="1AA04512"/>
    <w:rsid w:val="1AB375DA"/>
    <w:rsid w:val="1AB950BF"/>
    <w:rsid w:val="1AC40A88"/>
    <w:rsid w:val="1AC849C7"/>
    <w:rsid w:val="1ACA4666"/>
    <w:rsid w:val="1AD10033"/>
    <w:rsid w:val="1AD76858"/>
    <w:rsid w:val="1AD80E84"/>
    <w:rsid w:val="1AEF147D"/>
    <w:rsid w:val="1AF01372"/>
    <w:rsid w:val="1AF17339"/>
    <w:rsid w:val="1AFA01B8"/>
    <w:rsid w:val="1B091379"/>
    <w:rsid w:val="1B144C50"/>
    <w:rsid w:val="1B190AA8"/>
    <w:rsid w:val="1B1A2C38"/>
    <w:rsid w:val="1B1F2116"/>
    <w:rsid w:val="1B253ED2"/>
    <w:rsid w:val="1B28185B"/>
    <w:rsid w:val="1B2E2592"/>
    <w:rsid w:val="1B306F6E"/>
    <w:rsid w:val="1B3120F7"/>
    <w:rsid w:val="1B4724B9"/>
    <w:rsid w:val="1B4B56FB"/>
    <w:rsid w:val="1B4D3B30"/>
    <w:rsid w:val="1B530546"/>
    <w:rsid w:val="1B54490D"/>
    <w:rsid w:val="1B5654CF"/>
    <w:rsid w:val="1B5737FD"/>
    <w:rsid w:val="1B65304B"/>
    <w:rsid w:val="1B65616E"/>
    <w:rsid w:val="1B682904"/>
    <w:rsid w:val="1B695BF5"/>
    <w:rsid w:val="1B6D133E"/>
    <w:rsid w:val="1B7310DB"/>
    <w:rsid w:val="1B764B48"/>
    <w:rsid w:val="1B90571E"/>
    <w:rsid w:val="1B9474E4"/>
    <w:rsid w:val="1B9759DC"/>
    <w:rsid w:val="1B9C3D85"/>
    <w:rsid w:val="1BA66585"/>
    <w:rsid w:val="1BA8759E"/>
    <w:rsid w:val="1BAF40D6"/>
    <w:rsid w:val="1BAF6D9D"/>
    <w:rsid w:val="1BBC5B9C"/>
    <w:rsid w:val="1BBD692F"/>
    <w:rsid w:val="1BC03F98"/>
    <w:rsid w:val="1BD42462"/>
    <w:rsid w:val="1BD47599"/>
    <w:rsid w:val="1BD9126C"/>
    <w:rsid w:val="1BE710E9"/>
    <w:rsid w:val="1BE91F4A"/>
    <w:rsid w:val="1BEC4613"/>
    <w:rsid w:val="1BEF124B"/>
    <w:rsid w:val="1BFB4551"/>
    <w:rsid w:val="1BFC35B6"/>
    <w:rsid w:val="1C004DFD"/>
    <w:rsid w:val="1C004FDE"/>
    <w:rsid w:val="1C0B0C57"/>
    <w:rsid w:val="1C147634"/>
    <w:rsid w:val="1C1B2B06"/>
    <w:rsid w:val="1C23493A"/>
    <w:rsid w:val="1C2B08A7"/>
    <w:rsid w:val="1C2C3A55"/>
    <w:rsid w:val="1C30311E"/>
    <w:rsid w:val="1C30419F"/>
    <w:rsid w:val="1C313CAF"/>
    <w:rsid w:val="1C3443D6"/>
    <w:rsid w:val="1C3E0C02"/>
    <w:rsid w:val="1C45580F"/>
    <w:rsid w:val="1C4812BC"/>
    <w:rsid w:val="1C535A8E"/>
    <w:rsid w:val="1C5D39F2"/>
    <w:rsid w:val="1C610AA6"/>
    <w:rsid w:val="1C6C2D14"/>
    <w:rsid w:val="1C745776"/>
    <w:rsid w:val="1C8C1551"/>
    <w:rsid w:val="1C91600E"/>
    <w:rsid w:val="1C9328BA"/>
    <w:rsid w:val="1C9C0B85"/>
    <w:rsid w:val="1CA702DA"/>
    <w:rsid w:val="1CAC3B24"/>
    <w:rsid w:val="1CAD0CF6"/>
    <w:rsid w:val="1CB0100A"/>
    <w:rsid w:val="1CB011EA"/>
    <w:rsid w:val="1CDC289A"/>
    <w:rsid w:val="1CE5066F"/>
    <w:rsid w:val="1CEC4C8B"/>
    <w:rsid w:val="1CFD770F"/>
    <w:rsid w:val="1CFF44F3"/>
    <w:rsid w:val="1D036FF2"/>
    <w:rsid w:val="1D072A08"/>
    <w:rsid w:val="1D162E82"/>
    <w:rsid w:val="1D16724F"/>
    <w:rsid w:val="1D1B00D1"/>
    <w:rsid w:val="1D1F3E94"/>
    <w:rsid w:val="1D211C0E"/>
    <w:rsid w:val="1D220894"/>
    <w:rsid w:val="1D250379"/>
    <w:rsid w:val="1D2C2719"/>
    <w:rsid w:val="1D305D4E"/>
    <w:rsid w:val="1D343D64"/>
    <w:rsid w:val="1D4A1620"/>
    <w:rsid w:val="1D4A795C"/>
    <w:rsid w:val="1D4D532D"/>
    <w:rsid w:val="1D5267B2"/>
    <w:rsid w:val="1D543D0E"/>
    <w:rsid w:val="1D59781D"/>
    <w:rsid w:val="1D641725"/>
    <w:rsid w:val="1D66743D"/>
    <w:rsid w:val="1D6F4039"/>
    <w:rsid w:val="1D714E5E"/>
    <w:rsid w:val="1D75162D"/>
    <w:rsid w:val="1D880644"/>
    <w:rsid w:val="1D8A13F4"/>
    <w:rsid w:val="1D8A2F77"/>
    <w:rsid w:val="1D8B76EC"/>
    <w:rsid w:val="1D8F5A12"/>
    <w:rsid w:val="1D977D64"/>
    <w:rsid w:val="1D984230"/>
    <w:rsid w:val="1D987D29"/>
    <w:rsid w:val="1DA47104"/>
    <w:rsid w:val="1DB126A8"/>
    <w:rsid w:val="1DB64448"/>
    <w:rsid w:val="1DB65011"/>
    <w:rsid w:val="1DB92EF3"/>
    <w:rsid w:val="1DBA11E8"/>
    <w:rsid w:val="1DBA37BA"/>
    <w:rsid w:val="1DBC2CF7"/>
    <w:rsid w:val="1DBF2212"/>
    <w:rsid w:val="1DCD1277"/>
    <w:rsid w:val="1DD478D4"/>
    <w:rsid w:val="1DEB3F78"/>
    <w:rsid w:val="1DEC27B2"/>
    <w:rsid w:val="1DEE3885"/>
    <w:rsid w:val="1DF22C3C"/>
    <w:rsid w:val="1DF26B3D"/>
    <w:rsid w:val="1E0222A6"/>
    <w:rsid w:val="1E055630"/>
    <w:rsid w:val="1E10348C"/>
    <w:rsid w:val="1E1836BB"/>
    <w:rsid w:val="1E193386"/>
    <w:rsid w:val="1E1F6166"/>
    <w:rsid w:val="1E2A77AA"/>
    <w:rsid w:val="1E2C7C80"/>
    <w:rsid w:val="1E323337"/>
    <w:rsid w:val="1E3433A3"/>
    <w:rsid w:val="1E407C8A"/>
    <w:rsid w:val="1E41478F"/>
    <w:rsid w:val="1E434B0E"/>
    <w:rsid w:val="1E4A3E44"/>
    <w:rsid w:val="1E51577F"/>
    <w:rsid w:val="1E5D1DBE"/>
    <w:rsid w:val="1E624FAD"/>
    <w:rsid w:val="1E67314C"/>
    <w:rsid w:val="1E6B0372"/>
    <w:rsid w:val="1E6D43FB"/>
    <w:rsid w:val="1E6F3F32"/>
    <w:rsid w:val="1E71123F"/>
    <w:rsid w:val="1E762D8D"/>
    <w:rsid w:val="1E7C5FE1"/>
    <w:rsid w:val="1E882341"/>
    <w:rsid w:val="1E910666"/>
    <w:rsid w:val="1E9A1BBC"/>
    <w:rsid w:val="1EA4240A"/>
    <w:rsid w:val="1EB20425"/>
    <w:rsid w:val="1ECB1F7D"/>
    <w:rsid w:val="1ED148CA"/>
    <w:rsid w:val="1EE0010E"/>
    <w:rsid w:val="1EE22BA0"/>
    <w:rsid w:val="1EE54340"/>
    <w:rsid w:val="1EF205C1"/>
    <w:rsid w:val="1EF44289"/>
    <w:rsid w:val="1F0E5328"/>
    <w:rsid w:val="1F0F1DB6"/>
    <w:rsid w:val="1F134AA0"/>
    <w:rsid w:val="1F1D6C14"/>
    <w:rsid w:val="1F216D41"/>
    <w:rsid w:val="1F2B1611"/>
    <w:rsid w:val="1F34388E"/>
    <w:rsid w:val="1F433CF8"/>
    <w:rsid w:val="1F4449E7"/>
    <w:rsid w:val="1F4C1ECF"/>
    <w:rsid w:val="1F5064E8"/>
    <w:rsid w:val="1F5F1C99"/>
    <w:rsid w:val="1F617F58"/>
    <w:rsid w:val="1F6D1682"/>
    <w:rsid w:val="1F767447"/>
    <w:rsid w:val="1F7D4882"/>
    <w:rsid w:val="1F7D6AC6"/>
    <w:rsid w:val="1F840FEA"/>
    <w:rsid w:val="1F9320E6"/>
    <w:rsid w:val="1F9767DC"/>
    <w:rsid w:val="1F985F77"/>
    <w:rsid w:val="1FA30CB4"/>
    <w:rsid w:val="1FAD25BC"/>
    <w:rsid w:val="1FB43A91"/>
    <w:rsid w:val="1FBD5E45"/>
    <w:rsid w:val="1FBE234A"/>
    <w:rsid w:val="1FDC0C52"/>
    <w:rsid w:val="1FEE40DF"/>
    <w:rsid w:val="1FF01E88"/>
    <w:rsid w:val="1FF33B75"/>
    <w:rsid w:val="1FF724BA"/>
    <w:rsid w:val="1FFF4F92"/>
    <w:rsid w:val="200122BB"/>
    <w:rsid w:val="200A2CA8"/>
    <w:rsid w:val="201328F1"/>
    <w:rsid w:val="201A37AD"/>
    <w:rsid w:val="2020426A"/>
    <w:rsid w:val="20213C60"/>
    <w:rsid w:val="202F4D63"/>
    <w:rsid w:val="20321A3C"/>
    <w:rsid w:val="203E043F"/>
    <w:rsid w:val="20400EDD"/>
    <w:rsid w:val="20427BDC"/>
    <w:rsid w:val="20442E75"/>
    <w:rsid w:val="204A10B3"/>
    <w:rsid w:val="20505055"/>
    <w:rsid w:val="205E39C8"/>
    <w:rsid w:val="20671D21"/>
    <w:rsid w:val="206836A6"/>
    <w:rsid w:val="206D2D05"/>
    <w:rsid w:val="20723704"/>
    <w:rsid w:val="2076244A"/>
    <w:rsid w:val="2079517B"/>
    <w:rsid w:val="207D1FAC"/>
    <w:rsid w:val="208956F5"/>
    <w:rsid w:val="208C3953"/>
    <w:rsid w:val="20AD4C3F"/>
    <w:rsid w:val="20B401DA"/>
    <w:rsid w:val="20B543A0"/>
    <w:rsid w:val="20B90B6A"/>
    <w:rsid w:val="20BA04F8"/>
    <w:rsid w:val="20BC6F03"/>
    <w:rsid w:val="20BE6194"/>
    <w:rsid w:val="20C71159"/>
    <w:rsid w:val="20D17306"/>
    <w:rsid w:val="20D3463E"/>
    <w:rsid w:val="20D868A6"/>
    <w:rsid w:val="20DA22D4"/>
    <w:rsid w:val="20DB2085"/>
    <w:rsid w:val="20DD0588"/>
    <w:rsid w:val="20F42933"/>
    <w:rsid w:val="20F46856"/>
    <w:rsid w:val="20F81EB0"/>
    <w:rsid w:val="20FE2C2C"/>
    <w:rsid w:val="21022021"/>
    <w:rsid w:val="210249B5"/>
    <w:rsid w:val="21113CD5"/>
    <w:rsid w:val="211356AF"/>
    <w:rsid w:val="21136B66"/>
    <w:rsid w:val="2119184E"/>
    <w:rsid w:val="2125035B"/>
    <w:rsid w:val="212772B1"/>
    <w:rsid w:val="21295BD4"/>
    <w:rsid w:val="212C5F65"/>
    <w:rsid w:val="2147253D"/>
    <w:rsid w:val="21492A17"/>
    <w:rsid w:val="214A7024"/>
    <w:rsid w:val="21607DD9"/>
    <w:rsid w:val="21742A14"/>
    <w:rsid w:val="217551E9"/>
    <w:rsid w:val="217619B7"/>
    <w:rsid w:val="217F311E"/>
    <w:rsid w:val="21816423"/>
    <w:rsid w:val="2182329A"/>
    <w:rsid w:val="21932147"/>
    <w:rsid w:val="21941FB5"/>
    <w:rsid w:val="219E2663"/>
    <w:rsid w:val="21A34799"/>
    <w:rsid w:val="21A615BF"/>
    <w:rsid w:val="21A87391"/>
    <w:rsid w:val="21AB24B7"/>
    <w:rsid w:val="21AE7C2C"/>
    <w:rsid w:val="21B04139"/>
    <w:rsid w:val="21C449AC"/>
    <w:rsid w:val="21C74071"/>
    <w:rsid w:val="21C90B02"/>
    <w:rsid w:val="21CA3F79"/>
    <w:rsid w:val="21CA5D56"/>
    <w:rsid w:val="21D9741D"/>
    <w:rsid w:val="21DE0A10"/>
    <w:rsid w:val="21E27D41"/>
    <w:rsid w:val="21F902E7"/>
    <w:rsid w:val="21FB4E97"/>
    <w:rsid w:val="21FE0DCA"/>
    <w:rsid w:val="220107FF"/>
    <w:rsid w:val="22016706"/>
    <w:rsid w:val="220E5144"/>
    <w:rsid w:val="221D447A"/>
    <w:rsid w:val="22250D90"/>
    <w:rsid w:val="2229456D"/>
    <w:rsid w:val="222951CA"/>
    <w:rsid w:val="22310094"/>
    <w:rsid w:val="224367C3"/>
    <w:rsid w:val="224F7819"/>
    <w:rsid w:val="225134F3"/>
    <w:rsid w:val="225C5164"/>
    <w:rsid w:val="22635221"/>
    <w:rsid w:val="226B772B"/>
    <w:rsid w:val="226D65A2"/>
    <w:rsid w:val="22741B8A"/>
    <w:rsid w:val="2277585D"/>
    <w:rsid w:val="2281768F"/>
    <w:rsid w:val="22826CB4"/>
    <w:rsid w:val="22872CA1"/>
    <w:rsid w:val="22965C2D"/>
    <w:rsid w:val="22A20F9A"/>
    <w:rsid w:val="22A320BF"/>
    <w:rsid w:val="22A87DB8"/>
    <w:rsid w:val="22AF300D"/>
    <w:rsid w:val="22C010CD"/>
    <w:rsid w:val="22C74DC5"/>
    <w:rsid w:val="22CB0D08"/>
    <w:rsid w:val="22D05ED3"/>
    <w:rsid w:val="22D40210"/>
    <w:rsid w:val="22D543AD"/>
    <w:rsid w:val="22D92514"/>
    <w:rsid w:val="22D93440"/>
    <w:rsid w:val="22DD6C88"/>
    <w:rsid w:val="22E6686C"/>
    <w:rsid w:val="22EF0E5E"/>
    <w:rsid w:val="22FA25A8"/>
    <w:rsid w:val="23017BF8"/>
    <w:rsid w:val="23045BE6"/>
    <w:rsid w:val="230C4598"/>
    <w:rsid w:val="23123BF2"/>
    <w:rsid w:val="23143F87"/>
    <w:rsid w:val="23254ADE"/>
    <w:rsid w:val="232751BD"/>
    <w:rsid w:val="23297330"/>
    <w:rsid w:val="23311A79"/>
    <w:rsid w:val="23362FB7"/>
    <w:rsid w:val="233B2A6E"/>
    <w:rsid w:val="23451D67"/>
    <w:rsid w:val="236A158A"/>
    <w:rsid w:val="236C34C2"/>
    <w:rsid w:val="23724132"/>
    <w:rsid w:val="237325EE"/>
    <w:rsid w:val="23776685"/>
    <w:rsid w:val="23776EB9"/>
    <w:rsid w:val="237E0825"/>
    <w:rsid w:val="23826FAE"/>
    <w:rsid w:val="23862E9B"/>
    <w:rsid w:val="23923A28"/>
    <w:rsid w:val="239C7F07"/>
    <w:rsid w:val="23A5417A"/>
    <w:rsid w:val="23A55E99"/>
    <w:rsid w:val="23AE503E"/>
    <w:rsid w:val="23B97421"/>
    <w:rsid w:val="23BA1A3E"/>
    <w:rsid w:val="23BD0C64"/>
    <w:rsid w:val="23BF1626"/>
    <w:rsid w:val="23C07C83"/>
    <w:rsid w:val="23C4041C"/>
    <w:rsid w:val="23C424FE"/>
    <w:rsid w:val="23C52495"/>
    <w:rsid w:val="23C6517C"/>
    <w:rsid w:val="23C678D1"/>
    <w:rsid w:val="23CF2124"/>
    <w:rsid w:val="23D85290"/>
    <w:rsid w:val="23DF5D79"/>
    <w:rsid w:val="24053B82"/>
    <w:rsid w:val="241037E9"/>
    <w:rsid w:val="24117B58"/>
    <w:rsid w:val="24245C9C"/>
    <w:rsid w:val="24264988"/>
    <w:rsid w:val="2430514D"/>
    <w:rsid w:val="2434071D"/>
    <w:rsid w:val="2435766C"/>
    <w:rsid w:val="2443413B"/>
    <w:rsid w:val="244652DF"/>
    <w:rsid w:val="2448530B"/>
    <w:rsid w:val="244B3905"/>
    <w:rsid w:val="244C1644"/>
    <w:rsid w:val="24570199"/>
    <w:rsid w:val="24576553"/>
    <w:rsid w:val="24603CBE"/>
    <w:rsid w:val="246C5128"/>
    <w:rsid w:val="24730983"/>
    <w:rsid w:val="247352FD"/>
    <w:rsid w:val="24812F05"/>
    <w:rsid w:val="248172E5"/>
    <w:rsid w:val="24826C48"/>
    <w:rsid w:val="249C51CD"/>
    <w:rsid w:val="24A501A0"/>
    <w:rsid w:val="24AC06DC"/>
    <w:rsid w:val="24B6323B"/>
    <w:rsid w:val="24BC0CD7"/>
    <w:rsid w:val="24BF49CA"/>
    <w:rsid w:val="24C22243"/>
    <w:rsid w:val="24CE5A36"/>
    <w:rsid w:val="24D36218"/>
    <w:rsid w:val="24D44938"/>
    <w:rsid w:val="24DA287A"/>
    <w:rsid w:val="24DE6DF9"/>
    <w:rsid w:val="24E03606"/>
    <w:rsid w:val="24E16141"/>
    <w:rsid w:val="24E86CAC"/>
    <w:rsid w:val="24ED1F91"/>
    <w:rsid w:val="24EE6057"/>
    <w:rsid w:val="24F04D6E"/>
    <w:rsid w:val="24F30C32"/>
    <w:rsid w:val="24F64EB8"/>
    <w:rsid w:val="24F84C71"/>
    <w:rsid w:val="24F86CA9"/>
    <w:rsid w:val="24FF0BB1"/>
    <w:rsid w:val="250B17B6"/>
    <w:rsid w:val="251F3ED2"/>
    <w:rsid w:val="252044F1"/>
    <w:rsid w:val="25275C21"/>
    <w:rsid w:val="253830DB"/>
    <w:rsid w:val="253D2115"/>
    <w:rsid w:val="253D646D"/>
    <w:rsid w:val="254320A1"/>
    <w:rsid w:val="25444848"/>
    <w:rsid w:val="254B2DA5"/>
    <w:rsid w:val="25540922"/>
    <w:rsid w:val="2555466E"/>
    <w:rsid w:val="25570312"/>
    <w:rsid w:val="2557648A"/>
    <w:rsid w:val="256822D2"/>
    <w:rsid w:val="25743136"/>
    <w:rsid w:val="25754289"/>
    <w:rsid w:val="25791ED0"/>
    <w:rsid w:val="257D6C38"/>
    <w:rsid w:val="25801A43"/>
    <w:rsid w:val="258423BF"/>
    <w:rsid w:val="258C3B0E"/>
    <w:rsid w:val="25917246"/>
    <w:rsid w:val="2595748E"/>
    <w:rsid w:val="25981717"/>
    <w:rsid w:val="259F0120"/>
    <w:rsid w:val="25A74EE2"/>
    <w:rsid w:val="25AA3002"/>
    <w:rsid w:val="25CB18B1"/>
    <w:rsid w:val="25CB344A"/>
    <w:rsid w:val="25D03C4F"/>
    <w:rsid w:val="25D358CB"/>
    <w:rsid w:val="25DD0F0F"/>
    <w:rsid w:val="25DD63B4"/>
    <w:rsid w:val="25DE2033"/>
    <w:rsid w:val="25E07064"/>
    <w:rsid w:val="25E13C9F"/>
    <w:rsid w:val="25E92942"/>
    <w:rsid w:val="25F037D4"/>
    <w:rsid w:val="25F11836"/>
    <w:rsid w:val="25F33AC0"/>
    <w:rsid w:val="25FC10FA"/>
    <w:rsid w:val="26002652"/>
    <w:rsid w:val="2601057B"/>
    <w:rsid w:val="2605375A"/>
    <w:rsid w:val="260C4E44"/>
    <w:rsid w:val="26125E56"/>
    <w:rsid w:val="261B36DC"/>
    <w:rsid w:val="261D613E"/>
    <w:rsid w:val="262D6C5C"/>
    <w:rsid w:val="26336C57"/>
    <w:rsid w:val="26385203"/>
    <w:rsid w:val="263E579F"/>
    <w:rsid w:val="264403FD"/>
    <w:rsid w:val="264970E7"/>
    <w:rsid w:val="264C52A9"/>
    <w:rsid w:val="2651382C"/>
    <w:rsid w:val="265A3E1B"/>
    <w:rsid w:val="26655610"/>
    <w:rsid w:val="26672FB5"/>
    <w:rsid w:val="26764C8A"/>
    <w:rsid w:val="267E4B55"/>
    <w:rsid w:val="26807653"/>
    <w:rsid w:val="268B1370"/>
    <w:rsid w:val="268D426D"/>
    <w:rsid w:val="26993026"/>
    <w:rsid w:val="26995CD7"/>
    <w:rsid w:val="269D295C"/>
    <w:rsid w:val="26A526F1"/>
    <w:rsid w:val="26A74CEE"/>
    <w:rsid w:val="26B02F27"/>
    <w:rsid w:val="26BC7262"/>
    <w:rsid w:val="26BD44CD"/>
    <w:rsid w:val="26C2709D"/>
    <w:rsid w:val="26C4327C"/>
    <w:rsid w:val="26CA00D6"/>
    <w:rsid w:val="26D54DF2"/>
    <w:rsid w:val="26D71FED"/>
    <w:rsid w:val="26DA23BF"/>
    <w:rsid w:val="26E30E5D"/>
    <w:rsid w:val="26E437CD"/>
    <w:rsid w:val="26E66B7E"/>
    <w:rsid w:val="26F46B2C"/>
    <w:rsid w:val="26FA5D0C"/>
    <w:rsid w:val="26FE15A3"/>
    <w:rsid w:val="27010BBF"/>
    <w:rsid w:val="270F3476"/>
    <w:rsid w:val="271B30FE"/>
    <w:rsid w:val="27256A6D"/>
    <w:rsid w:val="272F2A71"/>
    <w:rsid w:val="2740298B"/>
    <w:rsid w:val="274D2174"/>
    <w:rsid w:val="27574150"/>
    <w:rsid w:val="27617A73"/>
    <w:rsid w:val="276A4F57"/>
    <w:rsid w:val="276A70EE"/>
    <w:rsid w:val="27725C2F"/>
    <w:rsid w:val="27783345"/>
    <w:rsid w:val="27784122"/>
    <w:rsid w:val="27792037"/>
    <w:rsid w:val="277B26F9"/>
    <w:rsid w:val="277E7145"/>
    <w:rsid w:val="27823537"/>
    <w:rsid w:val="27897287"/>
    <w:rsid w:val="27902813"/>
    <w:rsid w:val="279979A4"/>
    <w:rsid w:val="279A139F"/>
    <w:rsid w:val="279D20E4"/>
    <w:rsid w:val="279D4092"/>
    <w:rsid w:val="279D6B87"/>
    <w:rsid w:val="27A2382F"/>
    <w:rsid w:val="27A9253B"/>
    <w:rsid w:val="27AB7C10"/>
    <w:rsid w:val="27AC5DA8"/>
    <w:rsid w:val="27AD5C7F"/>
    <w:rsid w:val="27B458C3"/>
    <w:rsid w:val="27D1311E"/>
    <w:rsid w:val="27D2332F"/>
    <w:rsid w:val="27DC2F4C"/>
    <w:rsid w:val="27DD578D"/>
    <w:rsid w:val="27DF372B"/>
    <w:rsid w:val="27E976CB"/>
    <w:rsid w:val="27EA1189"/>
    <w:rsid w:val="27F14B98"/>
    <w:rsid w:val="27F60249"/>
    <w:rsid w:val="27FB734B"/>
    <w:rsid w:val="27FF7067"/>
    <w:rsid w:val="28031C32"/>
    <w:rsid w:val="28034E9C"/>
    <w:rsid w:val="280B62AE"/>
    <w:rsid w:val="280F0D02"/>
    <w:rsid w:val="281B34FB"/>
    <w:rsid w:val="281E3F2D"/>
    <w:rsid w:val="28222BED"/>
    <w:rsid w:val="282748CC"/>
    <w:rsid w:val="282E1B61"/>
    <w:rsid w:val="283C0457"/>
    <w:rsid w:val="284E5414"/>
    <w:rsid w:val="284F21C2"/>
    <w:rsid w:val="28542272"/>
    <w:rsid w:val="2854785D"/>
    <w:rsid w:val="28606977"/>
    <w:rsid w:val="28730968"/>
    <w:rsid w:val="2879103D"/>
    <w:rsid w:val="288249AB"/>
    <w:rsid w:val="28855038"/>
    <w:rsid w:val="28894293"/>
    <w:rsid w:val="289026B7"/>
    <w:rsid w:val="289A14F5"/>
    <w:rsid w:val="289A76D7"/>
    <w:rsid w:val="28AC4B6A"/>
    <w:rsid w:val="28AD1947"/>
    <w:rsid w:val="28B25745"/>
    <w:rsid w:val="28B47330"/>
    <w:rsid w:val="28B50CBE"/>
    <w:rsid w:val="28B9753A"/>
    <w:rsid w:val="28BD5697"/>
    <w:rsid w:val="28BF248D"/>
    <w:rsid w:val="28CD6989"/>
    <w:rsid w:val="28D051E0"/>
    <w:rsid w:val="28D1667D"/>
    <w:rsid w:val="28D37BD9"/>
    <w:rsid w:val="28D5390A"/>
    <w:rsid w:val="28D62997"/>
    <w:rsid w:val="28DA5036"/>
    <w:rsid w:val="28ED1A21"/>
    <w:rsid w:val="28F13CD5"/>
    <w:rsid w:val="2901117D"/>
    <w:rsid w:val="29040768"/>
    <w:rsid w:val="29130D5B"/>
    <w:rsid w:val="29193F8F"/>
    <w:rsid w:val="29195482"/>
    <w:rsid w:val="291C1D86"/>
    <w:rsid w:val="292C29A6"/>
    <w:rsid w:val="292F4055"/>
    <w:rsid w:val="29301D04"/>
    <w:rsid w:val="29311BA5"/>
    <w:rsid w:val="293B5570"/>
    <w:rsid w:val="2940549B"/>
    <w:rsid w:val="29425E6B"/>
    <w:rsid w:val="2949637B"/>
    <w:rsid w:val="295075DA"/>
    <w:rsid w:val="29581078"/>
    <w:rsid w:val="29637CED"/>
    <w:rsid w:val="29641055"/>
    <w:rsid w:val="29684B1C"/>
    <w:rsid w:val="296C6708"/>
    <w:rsid w:val="2971261B"/>
    <w:rsid w:val="297321B0"/>
    <w:rsid w:val="29745DCD"/>
    <w:rsid w:val="297926BC"/>
    <w:rsid w:val="297F1C2E"/>
    <w:rsid w:val="298618F3"/>
    <w:rsid w:val="2992409C"/>
    <w:rsid w:val="29A36FA1"/>
    <w:rsid w:val="29A71ACD"/>
    <w:rsid w:val="29C55F2D"/>
    <w:rsid w:val="29C70182"/>
    <w:rsid w:val="29CB26C0"/>
    <w:rsid w:val="29CB3E45"/>
    <w:rsid w:val="29D34987"/>
    <w:rsid w:val="29D54BF3"/>
    <w:rsid w:val="29E173D4"/>
    <w:rsid w:val="29E47709"/>
    <w:rsid w:val="29EC13BE"/>
    <w:rsid w:val="29FB1A08"/>
    <w:rsid w:val="2A02055D"/>
    <w:rsid w:val="2A066FA5"/>
    <w:rsid w:val="2A0F53F9"/>
    <w:rsid w:val="2A135348"/>
    <w:rsid w:val="2A162FB4"/>
    <w:rsid w:val="2A1E2F7F"/>
    <w:rsid w:val="2A241D85"/>
    <w:rsid w:val="2A245B3D"/>
    <w:rsid w:val="2A2F11CC"/>
    <w:rsid w:val="2A341C21"/>
    <w:rsid w:val="2A3B78C6"/>
    <w:rsid w:val="2A3D03B7"/>
    <w:rsid w:val="2A454359"/>
    <w:rsid w:val="2A5254D3"/>
    <w:rsid w:val="2A5425DB"/>
    <w:rsid w:val="2A5C0FE5"/>
    <w:rsid w:val="2A5C2E40"/>
    <w:rsid w:val="2A621D6C"/>
    <w:rsid w:val="2A685422"/>
    <w:rsid w:val="2A685B56"/>
    <w:rsid w:val="2A6907F4"/>
    <w:rsid w:val="2A6A06A7"/>
    <w:rsid w:val="2A6F6BA6"/>
    <w:rsid w:val="2A7C51A6"/>
    <w:rsid w:val="2A7D46AC"/>
    <w:rsid w:val="2A7E0BDF"/>
    <w:rsid w:val="2A886020"/>
    <w:rsid w:val="2A8B5FA1"/>
    <w:rsid w:val="2A946B9F"/>
    <w:rsid w:val="2A963885"/>
    <w:rsid w:val="2AA203CD"/>
    <w:rsid w:val="2AA3320C"/>
    <w:rsid w:val="2AA83DE8"/>
    <w:rsid w:val="2AAC6D4E"/>
    <w:rsid w:val="2AD76686"/>
    <w:rsid w:val="2ADB23B9"/>
    <w:rsid w:val="2AE17DC4"/>
    <w:rsid w:val="2AEE2A78"/>
    <w:rsid w:val="2AF55DA6"/>
    <w:rsid w:val="2AFB71E6"/>
    <w:rsid w:val="2AFE6B5A"/>
    <w:rsid w:val="2B011EF0"/>
    <w:rsid w:val="2B054532"/>
    <w:rsid w:val="2B055707"/>
    <w:rsid w:val="2B1311A8"/>
    <w:rsid w:val="2B152B1D"/>
    <w:rsid w:val="2B157780"/>
    <w:rsid w:val="2B1929A7"/>
    <w:rsid w:val="2B287772"/>
    <w:rsid w:val="2B303094"/>
    <w:rsid w:val="2B390CFA"/>
    <w:rsid w:val="2B3A2BA0"/>
    <w:rsid w:val="2B3B35F8"/>
    <w:rsid w:val="2B435037"/>
    <w:rsid w:val="2B441A37"/>
    <w:rsid w:val="2B4815AE"/>
    <w:rsid w:val="2B4D332F"/>
    <w:rsid w:val="2B523BD6"/>
    <w:rsid w:val="2B573CC3"/>
    <w:rsid w:val="2B58766A"/>
    <w:rsid w:val="2B5E0664"/>
    <w:rsid w:val="2B5E44C5"/>
    <w:rsid w:val="2B600098"/>
    <w:rsid w:val="2B6721AE"/>
    <w:rsid w:val="2B6824DA"/>
    <w:rsid w:val="2B7B3D4B"/>
    <w:rsid w:val="2B7E35B9"/>
    <w:rsid w:val="2B7E5F7D"/>
    <w:rsid w:val="2B8C5662"/>
    <w:rsid w:val="2B8D4D16"/>
    <w:rsid w:val="2B9A654A"/>
    <w:rsid w:val="2B9C17AB"/>
    <w:rsid w:val="2B9C3D0A"/>
    <w:rsid w:val="2B9F26B7"/>
    <w:rsid w:val="2BA04A54"/>
    <w:rsid w:val="2BA516F9"/>
    <w:rsid w:val="2BAE6011"/>
    <w:rsid w:val="2BB644CB"/>
    <w:rsid w:val="2BBF69A9"/>
    <w:rsid w:val="2BCC1487"/>
    <w:rsid w:val="2BD04FFB"/>
    <w:rsid w:val="2BD15686"/>
    <w:rsid w:val="2BD6693F"/>
    <w:rsid w:val="2BED753B"/>
    <w:rsid w:val="2BF55D0D"/>
    <w:rsid w:val="2C052B23"/>
    <w:rsid w:val="2C0802A8"/>
    <w:rsid w:val="2C0D70F2"/>
    <w:rsid w:val="2C112CE0"/>
    <w:rsid w:val="2C1258EB"/>
    <w:rsid w:val="2C1835C4"/>
    <w:rsid w:val="2C23382D"/>
    <w:rsid w:val="2C2878C9"/>
    <w:rsid w:val="2C3D53C4"/>
    <w:rsid w:val="2C413F89"/>
    <w:rsid w:val="2C4203FF"/>
    <w:rsid w:val="2C42362C"/>
    <w:rsid w:val="2C484E16"/>
    <w:rsid w:val="2C494F65"/>
    <w:rsid w:val="2C570063"/>
    <w:rsid w:val="2C672D13"/>
    <w:rsid w:val="2C695BE0"/>
    <w:rsid w:val="2C7D5953"/>
    <w:rsid w:val="2C800FFD"/>
    <w:rsid w:val="2C835E61"/>
    <w:rsid w:val="2C953C34"/>
    <w:rsid w:val="2C961379"/>
    <w:rsid w:val="2C964586"/>
    <w:rsid w:val="2C9D7EBA"/>
    <w:rsid w:val="2CA45EEA"/>
    <w:rsid w:val="2CAB6707"/>
    <w:rsid w:val="2CAD52C3"/>
    <w:rsid w:val="2CAF0155"/>
    <w:rsid w:val="2CAF51F4"/>
    <w:rsid w:val="2CB065F8"/>
    <w:rsid w:val="2CB204FB"/>
    <w:rsid w:val="2CB96973"/>
    <w:rsid w:val="2CBE0DD5"/>
    <w:rsid w:val="2CBF0E67"/>
    <w:rsid w:val="2CC37B44"/>
    <w:rsid w:val="2CC40458"/>
    <w:rsid w:val="2CC60CC9"/>
    <w:rsid w:val="2CD14EBA"/>
    <w:rsid w:val="2CD61793"/>
    <w:rsid w:val="2CDA699E"/>
    <w:rsid w:val="2CDE5961"/>
    <w:rsid w:val="2CDF1174"/>
    <w:rsid w:val="2CEC2F1A"/>
    <w:rsid w:val="2CF85BB0"/>
    <w:rsid w:val="2D1E2F39"/>
    <w:rsid w:val="2D206150"/>
    <w:rsid w:val="2D207E34"/>
    <w:rsid w:val="2D232147"/>
    <w:rsid w:val="2D233903"/>
    <w:rsid w:val="2D263B0B"/>
    <w:rsid w:val="2D285B7B"/>
    <w:rsid w:val="2D2E1DB3"/>
    <w:rsid w:val="2D2E3DD9"/>
    <w:rsid w:val="2D3117A9"/>
    <w:rsid w:val="2D493E46"/>
    <w:rsid w:val="2D59135B"/>
    <w:rsid w:val="2D5E7B07"/>
    <w:rsid w:val="2D603A4E"/>
    <w:rsid w:val="2D63552F"/>
    <w:rsid w:val="2D67444F"/>
    <w:rsid w:val="2D723421"/>
    <w:rsid w:val="2D7748FD"/>
    <w:rsid w:val="2D857F3F"/>
    <w:rsid w:val="2D877CB9"/>
    <w:rsid w:val="2D9263DF"/>
    <w:rsid w:val="2DA53EF1"/>
    <w:rsid w:val="2DAA781D"/>
    <w:rsid w:val="2DAC1EBE"/>
    <w:rsid w:val="2DAE7C26"/>
    <w:rsid w:val="2DAF4C11"/>
    <w:rsid w:val="2DB276CC"/>
    <w:rsid w:val="2DB66B13"/>
    <w:rsid w:val="2DBF5CBF"/>
    <w:rsid w:val="2DD1716D"/>
    <w:rsid w:val="2DD54245"/>
    <w:rsid w:val="2DDC13F1"/>
    <w:rsid w:val="2DDF62EC"/>
    <w:rsid w:val="2DEA4F27"/>
    <w:rsid w:val="2DEF4367"/>
    <w:rsid w:val="2DF37F82"/>
    <w:rsid w:val="2DFF3468"/>
    <w:rsid w:val="2DFF6FDC"/>
    <w:rsid w:val="2E0B7604"/>
    <w:rsid w:val="2E0F49B6"/>
    <w:rsid w:val="2E1168A2"/>
    <w:rsid w:val="2E1B6BC7"/>
    <w:rsid w:val="2E3365CF"/>
    <w:rsid w:val="2E3933B0"/>
    <w:rsid w:val="2E3F2FA4"/>
    <w:rsid w:val="2E496286"/>
    <w:rsid w:val="2E5E5760"/>
    <w:rsid w:val="2E631070"/>
    <w:rsid w:val="2E635722"/>
    <w:rsid w:val="2E6D70D1"/>
    <w:rsid w:val="2E72705C"/>
    <w:rsid w:val="2E766B87"/>
    <w:rsid w:val="2E7C61E0"/>
    <w:rsid w:val="2EA01709"/>
    <w:rsid w:val="2EA12CF0"/>
    <w:rsid w:val="2EA33E72"/>
    <w:rsid w:val="2EA46AE1"/>
    <w:rsid w:val="2EAE63C6"/>
    <w:rsid w:val="2EB03B3E"/>
    <w:rsid w:val="2EBD62E0"/>
    <w:rsid w:val="2EBE574E"/>
    <w:rsid w:val="2EC07D29"/>
    <w:rsid w:val="2ED313C1"/>
    <w:rsid w:val="2ED4394C"/>
    <w:rsid w:val="2EE07496"/>
    <w:rsid w:val="2EE1169E"/>
    <w:rsid w:val="2EE40FC7"/>
    <w:rsid w:val="2EE82522"/>
    <w:rsid w:val="2EE91CA9"/>
    <w:rsid w:val="2EEF4C8F"/>
    <w:rsid w:val="2EF70051"/>
    <w:rsid w:val="2F00175A"/>
    <w:rsid w:val="2F00768A"/>
    <w:rsid w:val="2F025EC8"/>
    <w:rsid w:val="2F031C8E"/>
    <w:rsid w:val="2F046986"/>
    <w:rsid w:val="2F0513CF"/>
    <w:rsid w:val="2F056CB9"/>
    <w:rsid w:val="2F062467"/>
    <w:rsid w:val="2F064728"/>
    <w:rsid w:val="2F0C3ADC"/>
    <w:rsid w:val="2F121655"/>
    <w:rsid w:val="2F2C2A6A"/>
    <w:rsid w:val="2F35677C"/>
    <w:rsid w:val="2F3B2331"/>
    <w:rsid w:val="2F4777C8"/>
    <w:rsid w:val="2F4E34A5"/>
    <w:rsid w:val="2F52471A"/>
    <w:rsid w:val="2F554FEF"/>
    <w:rsid w:val="2F5C3E19"/>
    <w:rsid w:val="2F6342E0"/>
    <w:rsid w:val="2F636A77"/>
    <w:rsid w:val="2F640A2D"/>
    <w:rsid w:val="2F6B21A6"/>
    <w:rsid w:val="2F6D688C"/>
    <w:rsid w:val="2F705FBC"/>
    <w:rsid w:val="2F710595"/>
    <w:rsid w:val="2F75706B"/>
    <w:rsid w:val="2F786136"/>
    <w:rsid w:val="2F797203"/>
    <w:rsid w:val="2F7A66FB"/>
    <w:rsid w:val="2F7B0172"/>
    <w:rsid w:val="2F7C2F99"/>
    <w:rsid w:val="2F8174D3"/>
    <w:rsid w:val="2F840FC0"/>
    <w:rsid w:val="2F8527FE"/>
    <w:rsid w:val="2F900479"/>
    <w:rsid w:val="2F9245AF"/>
    <w:rsid w:val="2F947793"/>
    <w:rsid w:val="2F9769D9"/>
    <w:rsid w:val="2F9802FB"/>
    <w:rsid w:val="2F9C6603"/>
    <w:rsid w:val="2FB755AC"/>
    <w:rsid w:val="2FBE394C"/>
    <w:rsid w:val="2FC62C4F"/>
    <w:rsid w:val="2FCA3F74"/>
    <w:rsid w:val="2FD35A84"/>
    <w:rsid w:val="2FD42EF3"/>
    <w:rsid w:val="2FD744E2"/>
    <w:rsid w:val="2FD9268E"/>
    <w:rsid w:val="2FDE5DB9"/>
    <w:rsid w:val="2FE10BED"/>
    <w:rsid w:val="2FE5137A"/>
    <w:rsid w:val="2FF633C4"/>
    <w:rsid w:val="2FFE65E4"/>
    <w:rsid w:val="2FFE6631"/>
    <w:rsid w:val="300320F5"/>
    <w:rsid w:val="300778A0"/>
    <w:rsid w:val="300872A1"/>
    <w:rsid w:val="30097742"/>
    <w:rsid w:val="301847D2"/>
    <w:rsid w:val="302A7A8F"/>
    <w:rsid w:val="302B0AFD"/>
    <w:rsid w:val="303409F7"/>
    <w:rsid w:val="303D5F57"/>
    <w:rsid w:val="30470D73"/>
    <w:rsid w:val="304C4DCD"/>
    <w:rsid w:val="30542AC4"/>
    <w:rsid w:val="3054395B"/>
    <w:rsid w:val="30627E84"/>
    <w:rsid w:val="307142BA"/>
    <w:rsid w:val="307410EA"/>
    <w:rsid w:val="30762880"/>
    <w:rsid w:val="307F4749"/>
    <w:rsid w:val="308008D7"/>
    <w:rsid w:val="3093264A"/>
    <w:rsid w:val="30963906"/>
    <w:rsid w:val="30B031FE"/>
    <w:rsid w:val="30B070BA"/>
    <w:rsid w:val="30BD1E38"/>
    <w:rsid w:val="30CA3829"/>
    <w:rsid w:val="30D75A9B"/>
    <w:rsid w:val="30DE36AE"/>
    <w:rsid w:val="30DE6F4B"/>
    <w:rsid w:val="30E97071"/>
    <w:rsid w:val="30EB1EA3"/>
    <w:rsid w:val="30F9510A"/>
    <w:rsid w:val="310D19BA"/>
    <w:rsid w:val="31111DFA"/>
    <w:rsid w:val="31147F9E"/>
    <w:rsid w:val="31170841"/>
    <w:rsid w:val="311E6F3B"/>
    <w:rsid w:val="312A6A3F"/>
    <w:rsid w:val="31335394"/>
    <w:rsid w:val="313A388F"/>
    <w:rsid w:val="314036CF"/>
    <w:rsid w:val="314A0BA7"/>
    <w:rsid w:val="314C6C7E"/>
    <w:rsid w:val="31510A0E"/>
    <w:rsid w:val="315B570A"/>
    <w:rsid w:val="31613857"/>
    <w:rsid w:val="316D7DE0"/>
    <w:rsid w:val="31734EFB"/>
    <w:rsid w:val="317A68A1"/>
    <w:rsid w:val="318001A5"/>
    <w:rsid w:val="318432F2"/>
    <w:rsid w:val="318D6A3D"/>
    <w:rsid w:val="318E109A"/>
    <w:rsid w:val="319E2335"/>
    <w:rsid w:val="31A27410"/>
    <w:rsid w:val="31A30570"/>
    <w:rsid w:val="31A7740E"/>
    <w:rsid w:val="31A80E64"/>
    <w:rsid w:val="31AA2D16"/>
    <w:rsid w:val="31AE2599"/>
    <w:rsid w:val="31BF172D"/>
    <w:rsid w:val="31C04592"/>
    <w:rsid w:val="31C87840"/>
    <w:rsid w:val="31DA3A7E"/>
    <w:rsid w:val="31DF1DAA"/>
    <w:rsid w:val="31E32458"/>
    <w:rsid w:val="31E83511"/>
    <w:rsid w:val="31F205D1"/>
    <w:rsid w:val="31F5569C"/>
    <w:rsid w:val="31F86CE2"/>
    <w:rsid w:val="31F95349"/>
    <w:rsid w:val="31F97936"/>
    <w:rsid w:val="31F979D2"/>
    <w:rsid w:val="31FD3FD7"/>
    <w:rsid w:val="32172255"/>
    <w:rsid w:val="32280E91"/>
    <w:rsid w:val="322D7327"/>
    <w:rsid w:val="322F0C47"/>
    <w:rsid w:val="32375DC6"/>
    <w:rsid w:val="32397E12"/>
    <w:rsid w:val="32426B10"/>
    <w:rsid w:val="32435D27"/>
    <w:rsid w:val="32506738"/>
    <w:rsid w:val="32525E0F"/>
    <w:rsid w:val="325430DC"/>
    <w:rsid w:val="32544DB5"/>
    <w:rsid w:val="32557513"/>
    <w:rsid w:val="325B1BE5"/>
    <w:rsid w:val="325B76B8"/>
    <w:rsid w:val="325C2DF5"/>
    <w:rsid w:val="3261222A"/>
    <w:rsid w:val="32643E01"/>
    <w:rsid w:val="326B1A15"/>
    <w:rsid w:val="32732D2E"/>
    <w:rsid w:val="3275603E"/>
    <w:rsid w:val="327F6BBE"/>
    <w:rsid w:val="32860D73"/>
    <w:rsid w:val="32871EA9"/>
    <w:rsid w:val="328C767F"/>
    <w:rsid w:val="3293126D"/>
    <w:rsid w:val="32950556"/>
    <w:rsid w:val="329D64DF"/>
    <w:rsid w:val="32A1002B"/>
    <w:rsid w:val="32A47515"/>
    <w:rsid w:val="32A5398E"/>
    <w:rsid w:val="32AC78B0"/>
    <w:rsid w:val="32AE14C5"/>
    <w:rsid w:val="32B343E9"/>
    <w:rsid w:val="32B4144C"/>
    <w:rsid w:val="32B7351C"/>
    <w:rsid w:val="32C534D2"/>
    <w:rsid w:val="32CA7067"/>
    <w:rsid w:val="32CC3F1F"/>
    <w:rsid w:val="32DD4BE9"/>
    <w:rsid w:val="32EF55DE"/>
    <w:rsid w:val="32F77020"/>
    <w:rsid w:val="33010894"/>
    <w:rsid w:val="330C453A"/>
    <w:rsid w:val="331170BE"/>
    <w:rsid w:val="331225A2"/>
    <w:rsid w:val="331373C5"/>
    <w:rsid w:val="331C4596"/>
    <w:rsid w:val="33217CCE"/>
    <w:rsid w:val="332548CE"/>
    <w:rsid w:val="33266009"/>
    <w:rsid w:val="332C0B6A"/>
    <w:rsid w:val="33326703"/>
    <w:rsid w:val="33361C10"/>
    <w:rsid w:val="33414B22"/>
    <w:rsid w:val="33445E44"/>
    <w:rsid w:val="33656EF4"/>
    <w:rsid w:val="336A75BD"/>
    <w:rsid w:val="33751B59"/>
    <w:rsid w:val="337E6B91"/>
    <w:rsid w:val="338E781E"/>
    <w:rsid w:val="3396141F"/>
    <w:rsid w:val="339F051F"/>
    <w:rsid w:val="33A1053B"/>
    <w:rsid w:val="33A7576E"/>
    <w:rsid w:val="33A81D9E"/>
    <w:rsid w:val="33A8258D"/>
    <w:rsid w:val="33B52408"/>
    <w:rsid w:val="33BA0702"/>
    <w:rsid w:val="33BB243E"/>
    <w:rsid w:val="33C0228F"/>
    <w:rsid w:val="33C82436"/>
    <w:rsid w:val="33CB7897"/>
    <w:rsid w:val="33D15B1A"/>
    <w:rsid w:val="33DD2E18"/>
    <w:rsid w:val="33DF0937"/>
    <w:rsid w:val="33E00D2B"/>
    <w:rsid w:val="33E12271"/>
    <w:rsid w:val="33E31AE5"/>
    <w:rsid w:val="33FF7601"/>
    <w:rsid w:val="34016402"/>
    <w:rsid w:val="340735FD"/>
    <w:rsid w:val="34107C22"/>
    <w:rsid w:val="34157291"/>
    <w:rsid w:val="34292AF8"/>
    <w:rsid w:val="342932A7"/>
    <w:rsid w:val="342B5542"/>
    <w:rsid w:val="342E71A0"/>
    <w:rsid w:val="34333A10"/>
    <w:rsid w:val="343A0D66"/>
    <w:rsid w:val="34474259"/>
    <w:rsid w:val="34495064"/>
    <w:rsid w:val="344B7658"/>
    <w:rsid w:val="344E2B7E"/>
    <w:rsid w:val="345472B5"/>
    <w:rsid w:val="345637B7"/>
    <w:rsid w:val="3459010C"/>
    <w:rsid w:val="34594EAA"/>
    <w:rsid w:val="345A591C"/>
    <w:rsid w:val="3472287F"/>
    <w:rsid w:val="34762CB5"/>
    <w:rsid w:val="347F4A43"/>
    <w:rsid w:val="34800098"/>
    <w:rsid w:val="3482330F"/>
    <w:rsid w:val="348A4920"/>
    <w:rsid w:val="348D1FC3"/>
    <w:rsid w:val="349A03F5"/>
    <w:rsid w:val="349C1D6C"/>
    <w:rsid w:val="349C316D"/>
    <w:rsid w:val="349F5AD1"/>
    <w:rsid w:val="34A002F4"/>
    <w:rsid w:val="34A15508"/>
    <w:rsid w:val="34A92788"/>
    <w:rsid w:val="34AB6A17"/>
    <w:rsid w:val="34B32C51"/>
    <w:rsid w:val="34BB3E4A"/>
    <w:rsid w:val="34CB5B4C"/>
    <w:rsid w:val="34D53B41"/>
    <w:rsid w:val="34DA042C"/>
    <w:rsid w:val="34DD2B19"/>
    <w:rsid w:val="34DF08FB"/>
    <w:rsid w:val="34E56BD1"/>
    <w:rsid w:val="34EF515A"/>
    <w:rsid w:val="34F16A35"/>
    <w:rsid w:val="34F2459F"/>
    <w:rsid w:val="34F5237C"/>
    <w:rsid w:val="35075EB2"/>
    <w:rsid w:val="35084BE0"/>
    <w:rsid w:val="350B32D7"/>
    <w:rsid w:val="350F6D0A"/>
    <w:rsid w:val="35150852"/>
    <w:rsid w:val="35273D51"/>
    <w:rsid w:val="3533573E"/>
    <w:rsid w:val="35342BEE"/>
    <w:rsid w:val="353952DB"/>
    <w:rsid w:val="353A4DF4"/>
    <w:rsid w:val="354617D6"/>
    <w:rsid w:val="35461E2F"/>
    <w:rsid w:val="354D3256"/>
    <w:rsid w:val="35580722"/>
    <w:rsid w:val="35603057"/>
    <w:rsid w:val="356D41FB"/>
    <w:rsid w:val="35710C79"/>
    <w:rsid w:val="357A0970"/>
    <w:rsid w:val="357E0CF4"/>
    <w:rsid w:val="35855A31"/>
    <w:rsid w:val="359342B4"/>
    <w:rsid w:val="35934F7A"/>
    <w:rsid w:val="35942D39"/>
    <w:rsid w:val="35980DDE"/>
    <w:rsid w:val="359904A5"/>
    <w:rsid w:val="359F5548"/>
    <w:rsid w:val="35A172C4"/>
    <w:rsid w:val="35A47FD9"/>
    <w:rsid w:val="35A57486"/>
    <w:rsid w:val="35B12D1D"/>
    <w:rsid w:val="35B23722"/>
    <w:rsid w:val="35BD24F5"/>
    <w:rsid w:val="35C40D45"/>
    <w:rsid w:val="35C47010"/>
    <w:rsid w:val="35C55588"/>
    <w:rsid w:val="35CD21A7"/>
    <w:rsid w:val="35CD5B88"/>
    <w:rsid w:val="35DA52FD"/>
    <w:rsid w:val="35DB1BFD"/>
    <w:rsid w:val="35E11173"/>
    <w:rsid w:val="35E4024D"/>
    <w:rsid w:val="35E65EB7"/>
    <w:rsid w:val="35E67612"/>
    <w:rsid w:val="35E93C44"/>
    <w:rsid w:val="35FA60BD"/>
    <w:rsid w:val="35FE7BA2"/>
    <w:rsid w:val="36064DF6"/>
    <w:rsid w:val="361516F2"/>
    <w:rsid w:val="361E0A94"/>
    <w:rsid w:val="36227C6D"/>
    <w:rsid w:val="36236182"/>
    <w:rsid w:val="36262D9D"/>
    <w:rsid w:val="36285D5F"/>
    <w:rsid w:val="362E0CF9"/>
    <w:rsid w:val="362F3D28"/>
    <w:rsid w:val="363319FF"/>
    <w:rsid w:val="36354424"/>
    <w:rsid w:val="363551BB"/>
    <w:rsid w:val="363E7622"/>
    <w:rsid w:val="364576A4"/>
    <w:rsid w:val="365B6CBA"/>
    <w:rsid w:val="36642FCF"/>
    <w:rsid w:val="36657517"/>
    <w:rsid w:val="36701294"/>
    <w:rsid w:val="36762B99"/>
    <w:rsid w:val="367B0B47"/>
    <w:rsid w:val="367C6181"/>
    <w:rsid w:val="367D4520"/>
    <w:rsid w:val="36812C8E"/>
    <w:rsid w:val="368509FB"/>
    <w:rsid w:val="36892CC7"/>
    <w:rsid w:val="368D3951"/>
    <w:rsid w:val="36974461"/>
    <w:rsid w:val="369F19E5"/>
    <w:rsid w:val="36A25E9A"/>
    <w:rsid w:val="36A44098"/>
    <w:rsid w:val="36A8578F"/>
    <w:rsid w:val="36AE08DA"/>
    <w:rsid w:val="36BA4824"/>
    <w:rsid w:val="36BD3106"/>
    <w:rsid w:val="36BF1015"/>
    <w:rsid w:val="36C347A5"/>
    <w:rsid w:val="36C72C3E"/>
    <w:rsid w:val="36CF69CD"/>
    <w:rsid w:val="36D00755"/>
    <w:rsid w:val="36D07B87"/>
    <w:rsid w:val="36D32DAB"/>
    <w:rsid w:val="36DD71CC"/>
    <w:rsid w:val="36E17F85"/>
    <w:rsid w:val="36E5334E"/>
    <w:rsid w:val="36F81BF6"/>
    <w:rsid w:val="36FA64CC"/>
    <w:rsid w:val="36FF516E"/>
    <w:rsid w:val="37010AE2"/>
    <w:rsid w:val="370C4227"/>
    <w:rsid w:val="37103222"/>
    <w:rsid w:val="37111431"/>
    <w:rsid w:val="37116A91"/>
    <w:rsid w:val="37126C0B"/>
    <w:rsid w:val="37164D50"/>
    <w:rsid w:val="37230524"/>
    <w:rsid w:val="37287D2A"/>
    <w:rsid w:val="372C15A4"/>
    <w:rsid w:val="373401E4"/>
    <w:rsid w:val="373431ED"/>
    <w:rsid w:val="37357C87"/>
    <w:rsid w:val="37374B12"/>
    <w:rsid w:val="373952FC"/>
    <w:rsid w:val="37425EE7"/>
    <w:rsid w:val="37445EFD"/>
    <w:rsid w:val="37465CA8"/>
    <w:rsid w:val="374855CE"/>
    <w:rsid w:val="374E5D32"/>
    <w:rsid w:val="37505FBD"/>
    <w:rsid w:val="37577F46"/>
    <w:rsid w:val="375A5FA2"/>
    <w:rsid w:val="375B2B34"/>
    <w:rsid w:val="37633A06"/>
    <w:rsid w:val="37640BAF"/>
    <w:rsid w:val="376453E5"/>
    <w:rsid w:val="376539D8"/>
    <w:rsid w:val="376A44B1"/>
    <w:rsid w:val="37722551"/>
    <w:rsid w:val="37731C03"/>
    <w:rsid w:val="37820B03"/>
    <w:rsid w:val="378563F7"/>
    <w:rsid w:val="378C3452"/>
    <w:rsid w:val="378E4C23"/>
    <w:rsid w:val="37954A05"/>
    <w:rsid w:val="379A6D6D"/>
    <w:rsid w:val="37AC19BF"/>
    <w:rsid w:val="37AF43BA"/>
    <w:rsid w:val="37B158A8"/>
    <w:rsid w:val="37B57069"/>
    <w:rsid w:val="37C2529C"/>
    <w:rsid w:val="37C94D8F"/>
    <w:rsid w:val="37E40488"/>
    <w:rsid w:val="37E9251D"/>
    <w:rsid w:val="37EE0F3E"/>
    <w:rsid w:val="37F07B37"/>
    <w:rsid w:val="37F22CC0"/>
    <w:rsid w:val="38024CC9"/>
    <w:rsid w:val="38061E59"/>
    <w:rsid w:val="380F1ECE"/>
    <w:rsid w:val="382A2FC4"/>
    <w:rsid w:val="382A3FD4"/>
    <w:rsid w:val="383E6828"/>
    <w:rsid w:val="383F6DCB"/>
    <w:rsid w:val="384A2482"/>
    <w:rsid w:val="38595435"/>
    <w:rsid w:val="385C6729"/>
    <w:rsid w:val="38621AF4"/>
    <w:rsid w:val="387E72C3"/>
    <w:rsid w:val="38911538"/>
    <w:rsid w:val="389364FE"/>
    <w:rsid w:val="38985FC4"/>
    <w:rsid w:val="389A7EEF"/>
    <w:rsid w:val="38A251B2"/>
    <w:rsid w:val="38B566DC"/>
    <w:rsid w:val="38B75D96"/>
    <w:rsid w:val="38B832CD"/>
    <w:rsid w:val="38BD25CC"/>
    <w:rsid w:val="38BE566B"/>
    <w:rsid w:val="38C20BCA"/>
    <w:rsid w:val="38CA30B0"/>
    <w:rsid w:val="38D51BB2"/>
    <w:rsid w:val="38D83C8F"/>
    <w:rsid w:val="38DB612A"/>
    <w:rsid w:val="38DE23FB"/>
    <w:rsid w:val="38F56364"/>
    <w:rsid w:val="390533A9"/>
    <w:rsid w:val="390D6F6B"/>
    <w:rsid w:val="390D7106"/>
    <w:rsid w:val="3910122C"/>
    <w:rsid w:val="39146A55"/>
    <w:rsid w:val="391E7C9D"/>
    <w:rsid w:val="39274C41"/>
    <w:rsid w:val="39326217"/>
    <w:rsid w:val="39351334"/>
    <w:rsid w:val="393B22C2"/>
    <w:rsid w:val="39467E12"/>
    <w:rsid w:val="394A1EAE"/>
    <w:rsid w:val="395249D2"/>
    <w:rsid w:val="395501B2"/>
    <w:rsid w:val="39563CC1"/>
    <w:rsid w:val="39565A2B"/>
    <w:rsid w:val="39571449"/>
    <w:rsid w:val="395766B3"/>
    <w:rsid w:val="395F164C"/>
    <w:rsid w:val="395F2B25"/>
    <w:rsid w:val="39613CD2"/>
    <w:rsid w:val="397230EC"/>
    <w:rsid w:val="397A026A"/>
    <w:rsid w:val="397E4B31"/>
    <w:rsid w:val="398553BD"/>
    <w:rsid w:val="39906DA4"/>
    <w:rsid w:val="399218BC"/>
    <w:rsid w:val="39A12DF8"/>
    <w:rsid w:val="39A1623E"/>
    <w:rsid w:val="39A24F7D"/>
    <w:rsid w:val="39A506E8"/>
    <w:rsid w:val="39B719F8"/>
    <w:rsid w:val="39BB4B87"/>
    <w:rsid w:val="39C53471"/>
    <w:rsid w:val="39C81609"/>
    <w:rsid w:val="39D20F35"/>
    <w:rsid w:val="39D2697B"/>
    <w:rsid w:val="39D80EFC"/>
    <w:rsid w:val="39DA4E00"/>
    <w:rsid w:val="39DD0A14"/>
    <w:rsid w:val="39E4626F"/>
    <w:rsid w:val="39E853FF"/>
    <w:rsid w:val="39EE6154"/>
    <w:rsid w:val="39F8773A"/>
    <w:rsid w:val="3A0B1130"/>
    <w:rsid w:val="3A1B6883"/>
    <w:rsid w:val="3A233CBA"/>
    <w:rsid w:val="3A2C522D"/>
    <w:rsid w:val="3A2D25C2"/>
    <w:rsid w:val="3A3C07B9"/>
    <w:rsid w:val="3A423402"/>
    <w:rsid w:val="3A4A16B6"/>
    <w:rsid w:val="3A4B1F0A"/>
    <w:rsid w:val="3A5072F0"/>
    <w:rsid w:val="3A5908B0"/>
    <w:rsid w:val="3A647EAD"/>
    <w:rsid w:val="3A661328"/>
    <w:rsid w:val="3A6C0CDF"/>
    <w:rsid w:val="3A75168A"/>
    <w:rsid w:val="3A7D157C"/>
    <w:rsid w:val="3A7E113B"/>
    <w:rsid w:val="3A7F69FC"/>
    <w:rsid w:val="3A8017EE"/>
    <w:rsid w:val="3A824876"/>
    <w:rsid w:val="3A8364F2"/>
    <w:rsid w:val="3A920B33"/>
    <w:rsid w:val="3A941474"/>
    <w:rsid w:val="3A976C4B"/>
    <w:rsid w:val="3AAB323F"/>
    <w:rsid w:val="3AAC731B"/>
    <w:rsid w:val="3AB33AA5"/>
    <w:rsid w:val="3AB75191"/>
    <w:rsid w:val="3ABC7E46"/>
    <w:rsid w:val="3ABD5A7A"/>
    <w:rsid w:val="3AC20774"/>
    <w:rsid w:val="3ACB3444"/>
    <w:rsid w:val="3AD8762B"/>
    <w:rsid w:val="3AE91DD3"/>
    <w:rsid w:val="3AEC1E2C"/>
    <w:rsid w:val="3AFF18AD"/>
    <w:rsid w:val="3AFF4168"/>
    <w:rsid w:val="3B0661B5"/>
    <w:rsid w:val="3B0B6C8D"/>
    <w:rsid w:val="3B125249"/>
    <w:rsid w:val="3B1E6ADE"/>
    <w:rsid w:val="3B257EAA"/>
    <w:rsid w:val="3B2C0B09"/>
    <w:rsid w:val="3B2C240C"/>
    <w:rsid w:val="3B3010AB"/>
    <w:rsid w:val="3B320C72"/>
    <w:rsid w:val="3B33597D"/>
    <w:rsid w:val="3B341DED"/>
    <w:rsid w:val="3B35505B"/>
    <w:rsid w:val="3B456660"/>
    <w:rsid w:val="3B46630B"/>
    <w:rsid w:val="3B4926F6"/>
    <w:rsid w:val="3B5C47B3"/>
    <w:rsid w:val="3B606794"/>
    <w:rsid w:val="3B6159C9"/>
    <w:rsid w:val="3B621658"/>
    <w:rsid w:val="3B62390F"/>
    <w:rsid w:val="3B746155"/>
    <w:rsid w:val="3B7A1E85"/>
    <w:rsid w:val="3B845BDD"/>
    <w:rsid w:val="3B85509B"/>
    <w:rsid w:val="3B8752C1"/>
    <w:rsid w:val="3B8A15FB"/>
    <w:rsid w:val="3B902498"/>
    <w:rsid w:val="3BB54FD5"/>
    <w:rsid w:val="3BC81F11"/>
    <w:rsid w:val="3BC9128F"/>
    <w:rsid w:val="3BCB24A7"/>
    <w:rsid w:val="3BD04DDC"/>
    <w:rsid w:val="3BD24616"/>
    <w:rsid w:val="3BD41205"/>
    <w:rsid w:val="3BD6718F"/>
    <w:rsid w:val="3BF21669"/>
    <w:rsid w:val="3BF62D4C"/>
    <w:rsid w:val="3BFF0758"/>
    <w:rsid w:val="3C0E17DB"/>
    <w:rsid w:val="3C185A30"/>
    <w:rsid w:val="3C1D0882"/>
    <w:rsid w:val="3C211905"/>
    <w:rsid w:val="3C3262DA"/>
    <w:rsid w:val="3C36437B"/>
    <w:rsid w:val="3C3D548A"/>
    <w:rsid w:val="3C3E2CE0"/>
    <w:rsid w:val="3C400A72"/>
    <w:rsid w:val="3C472002"/>
    <w:rsid w:val="3C4C3125"/>
    <w:rsid w:val="3C4E6EB0"/>
    <w:rsid w:val="3C5732D0"/>
    <w:rsid w:val="3C587BEB"/>
    <w:rsid w:val="3C663E59"/>
    <w:rsid w:val="3C89042B"/>
    <w:rsid w:val="3C9C54C8"/>
    <w:rsid w:val="3C9D4CC8"/>
    <w:rsid w:val="3CA34CA7"/>
    <w:rsid w:val="3CB331DA"/>
    <w:rsid w:val="3CD700A4"/>
    <w:rsid w:val="3CDD03EC"/>
    <w:rsid w:val="3CDF3AE3"/>
    <w:rsid w:val="3CE059E6"/>
    <w:rsid w:val="3CE510BF"/>
    <w:rsid w:val="3CE83AA0"/>
    <w:rsid w:val="3CE92E53"/>
    <w:rsid w:val="3CF151AF"/>
    <w:rsid w:val="3CFC090C"/>
    <w:rsid w:val="3D1629CF"/>
    <w:rsid w:val="3D1C62CE"/>
    <w:rsid w:val="3D260B6F"/>
    <w:rsid w:val="3D2A0FA2"/>
    <w:rsid w:val="3D3377F8"/>
    <w:rsid w:val="3D34467E"/>
    <w:rsid w:val="3D3E06E1"/>
    <w:rsid w:val="3D525F6C"/>
    <w:rsid w:val="3D543914"/>
    <w:rsid w:val="3D597E2B"/>
    <w:rsid w:val="3D5F184A"/>
    <w:rsid w:val="3D753D01"/>
    <w:rsid w:val="3D7B4C1A"/>
    <w:rsid w:val="3D7C577D"/>
    <w:rsid w:val="3D7E03C1"/>
    <w:rsid w:val="3D826D3D"/>
    <w:rsid w:val="3D842A1D"/>
    <w:rsid w:val="3D8662A9"/>
    <w:rsid w:val="3D891A8A"/>
    <w:rsid w:val="3D892F09"/>
    <w:rsid w:val="3D9A76F4"/>
    <w:rsid w:val="3DA77627"/>
    <w:rsid w:val="3DA96FB6"/>
    <w:rsid w:val="3DAB2A36"/>
    <w:rsid w:val="3DB37071"/>
    <w:rsid w:val="3DB41FAD"/>
    <w:rsid w:val="3DB4563E"/>
    <w:rsid w:val="3DBE775F"/>
    <w:rsid w:val="3DBF55D0"/>
    <w:rsid w:val="3DC01EA1"/>
    <w:rsid w:val="3DC36037"/>
    <w:rsid w:val="3DC37B2A"/>
    <w:rsid w:val="3DC756D6"/>
    <w:rsid w:val="3DC97094"/>
    <w:rsid w:val="3DCB091F"/>
    <w:rsid w:val="3DD22920"/>
    <w:rsid w:val="3DE0085F"/>
    <w:rsid w:val="3DE76114"/>
    <w:rsid w:val="3DEC7679"/>
    <w:rsid w:val="3DEE0E41"/>
    <w:rsid w:val="3DF16E0D"/>
    <w:rsid w:val="3DF20F3C"/>
    <w:rsid w:val="3DFD1B82"/>
    <w:rsid w:val="3DFE244F"/>
    <w:rsid w:val="3DFE28B8"/>
    <w:rsid w:val="3E0222B5"/>
    <w:rsid w:val="3E040C55"/>
    <w:rsid w:val="3E125912"/>
    <w:rsid w:val="3E153362"/>
    <w:rsid w:val="3E1D5959"/>
    <w:rsid w:val="3E22306C"/>
    <w:rsid w:val="3E224B89"/>
    <w:rsid w:val="3E347584"/>
    <w:rsid w:val="3E3B4922"/>
    <w:rsid w:val="3E3D69C9"/>
    <w:rsid w:val="3E4B68D6"/>
    <w:rsid w:val="3E4E7CDE"/>
    <w:rsid w:val="3E514D30"/>
    <w:rsid w:val="3E61102B"/>
    <w:rsid w:val="3E6B4831"/>
    <w:rsid w:val="3E732145"/>
    <w:rsid w:val="3E9B5602"/>
    <w:rsid w:val="3E9C2EBB"/>
    <w:rsid w:val="3EAB2C99"/>
    <w:rsid w:val="3EBF301B"/>
    <w:rsid w:val="3ECD4E42"/>
    <w:rsid w:val="3EDA5D9F"/>
    <w:rsid w:val="3EEF3049"/>
    <w:rsid w:val="3EF3596C"/>
    <w:rsid w:val="3EF66252"/>
    <w:rsid w:val="3EF82EB5"/>
    <w:rsid w:val="3EFC4E38"/>
    <w:rsid w:val="3F10255B"/>
    <w:rsid w:val="3F125DC8"/>
    <w:rsid w:val="3F16338A"/>
    <w:rsid w:val="3F235540"/>
    <w:rsid w:val="3F2C6CC0"/>
    <w:rsid w:val="3F2E5094"/>
    <w:rsid w:val="3F32199D"/>
    <w:rsid w:val="3F356B6F"/>
    <w:rsid w:val="3F3F129C"/>
    <w:rsid w:val="3F4342F4"/>
    <w:rsid w:val="3F463246"/>
    <w:rsid w:val="3F4C39CA"/>
    <w:rsid w:val="3F4D28F0"/>
    <w:rsid w:val="3F521D59"/>
    <w:rsid w:val="3F5479E6"/>
    <w:rsid w:val="3F5957DF"/>
    <w:rsid w:val="3F5A5448"/>
    <w:rsid w:val="3F5C1DF4"/>
    <w:rsid w:val="3F5C7EAE"/>
    <w:rsid w:val="3F605355"/>
    <w:rsid w:val="3F62020E"/>
    <w:rsid w:val="3F6721AC"/>
    <w:rsid w:val="3F6B2410"/>
    <w:rsid w:val="3F6D4D0B"/>
    <w:rsid w:val="3F76314D"/>
    <w:rsid w:val="3F79039C"/>
    <w:rsid w:val="3F7B496C"/>
    <w:rsid w:val="3F7C221E"/>
    <w:rsid w:val="3F840641"/>
    <w:rsid w:val="3F8B23BB"/>
    <w:rsid w:val="3F9B6530"/>
    <w:rsid w:val="3FA16308"/>
    <w:rsid w:val="3FAB44B0"/>
    <w:rsid w:val="3FB3333F"/>
    <w:rsid w:val="3FB70950"/>
    <w:rsid w:val="3FB92119"/>
    <w:rsid w:val="3FD102E5"/>
    <w:rsid w:val="3FD44D89"/>
    <w:rsid w:val="3FD543A7"/>
    <w:rsid w:val="3FE77E39"/>
    <w:rsid w:val="3FF13990"/>
    <w:rsid w:val="3FF221A0"/>
    <w:rsid w:val="3FF31CA1"/>
    <w:rsid w:val="3FFD4277"/>
    <w:rsid w:val="40081328"/>
    <w:rsid w:val="400C6826"/>
    <w:rsid w:val="400D5156"/>
    <w:rsid w:val="40115952"/>
    <w:rsid w:val="401A01A4"/>
    <w:rsid w:val="402157E6"/>
    <w:rsid w:val="40294CC3"/>
    <w:rsid w:val="4030314D"/>
    <w:rsid w:val="4040767C"/>
    <w:rsid w:val="40450AAC"/>
    <w:rsid w:val="40475D8B"/>
    <w:rsid w:val="404C1542"/>
    <w:rsid w:val="405A43AA"/>
    <w:rsid w:val="405A513F"/>
    <w:rsid w:val="40630D63"/>
    <w:rsid w:val="406D32BA"/>
    <w:rsid w:val="40702ED1"/>
    <w:rsid w:val="40725197"/>
    <w:rsid w:val="40792637"/>
    <w:rsid w:val="407C40FD"/>
    <w:rsid w:val="408307C7"/>
    <w:rsid w:val="408A3385"/>
    <w:rsid w:val="408D7C09"/>
    <w:rsid w:val="4090306B"/>
    <w:rsid w:val="40965D72"/>
    <w:rsid w:val="409D6196"/>
    <w:rsid w:val="40A22139"/>
    <w:rsid w:val="40A42E56"/>
    <w:rsid w:val="40A502C8"/>
    <w:rsid w:val="40AF462A"/>
    <w:rsid w:val="40B80DE9"/>
    <w:rsid w:val="40C340F9"/>
    <w:rsid w:val="40D12520"/>
    <w:rsid w:val="40DD7963"/>
    <w:rsid w:val="40E16980"/>
    <w:rsid w:val="40E461CD"/>
    <w:rsid w:val="40E824F5"/>
    <w:rsid w:val="40EB1B51"/>
    <w:rsid w:val="40EB1C13"/>
    <w:rsid w:val="40F1205D"/>
    <w:rsid w:val="40FD3B9F"/>
    <w:rsid w:val="410F4A47"/>
    <w:rsid w:val="413355E9"/>
    <w:rsid w:val="41346FC0"/>
    <w:rsid w:val="413A49B0"/>
    <w:rsid w:val="413E2337"/>
    <w:rsid w:val="413E63E0"/>
    <w:rsid w:val="41415262"/>
    <w:rsid w:val="414A325F"/>
    <w:rsid w:val="415045D8"/>
    <w:rsid w:val="41551FCD"/>
    <w:rsid w:val="415665E3"/>
    <w:rsid w:val="41585271"/>
    <w:rsid w:val="415E2DB5"/>
    <w:rsid w:val="41617022"/>
    <w:rsid w:val="41742CC1"/>
    <w:rsid w:val="41747D62"/>
    <w:rsid w:val="41897FD9"/>
    <w:rsid w:val="41910623"/>
    <w:rsid w:val="41920EC0"/>
    <w:rsid w:val="419431DC"/>
    <w:rsid w:val="41994663"/>
    <w:rsid w:val="41A9297C"/>
    <w:rsid w:val="41B75475"/>
    <w:rsid w:val="41CA3840"/>
    <w:rsid w:val="41CC26FF"/>
    <w:rsid w:val="41CE56A4"/>
    <w:rsid w:val="41DB1792"/>
    <w:rsid w:val="41DE6ACD"/>
    <w:rsid w:val="41DF0629"/>
    <w:rsid w:val="41ED41F2"/>
    <w:rsid w:val="41F81DB2"/>
    <w:rsid w:val="42113897"/>
    <w:rsid w:val="421833A6"/>
    <w:rsid w:val="421B735A"/>
    <w:rsid w:val="421E5479"/>
    <w:rsid w:val="422C67B6"/>
    <w:rsid w:val="422D0D65"/>
    <w:rsid w:val="423802DC"/>
    <w:rsid w:val="423F6594"/>
    <w:rsid w:val="42406314"/>
    <w:rsid w:val="42453EDF"/>
    <w:rsid w:val="424615F4"/>
    <w:rsid w:val="4246486F"/>
    <w:rsid w:val="424D390C"/>
    <w:rsid w:val="42562C51"/>
    <w:rsid w:val="425E6994"/>
    <w:rsid w:val="425E7418"/>
    <w:rsid w:val="42662FDC"/>
    <w:rsid w:val="426B3370"/>
    <w:rsid w:val="4277265F"/>
    <w:rsid w:val="42804618"/>
    <w:rsid w:val="42812B7C"/>
    <w:rsid w:val="4287280E"/>
    <w:rsid w:val="428A0E48"/>
    <w:rsid w:val="42A06055"/>
    <w:rsid w:val="42A34D21"/>
    <w:rsid w:val="42A823C4"/>
    <w:rsid w:val="42AB6234"/>
    <w:rsid w:val="42B632E6"/>
    <w:rsid w:val="42C60474"/>
    <w:rsid w:val="42C7347D"/>
    <w:rsid w:val="42C854AA"/>
    <w:rsid w:val="42CA246A"/>
    <w:rsid w:val="42D46937"/>
    <w:rsid w:val="42D704C9"/>
    <w:rsid w:val="42D71EC3"/>
    <w:rsid w:val="42D72CCB"/>
    <w:rsid w:val="42E54C1B"/>
    <w:rsid w:val="42EB3F98"/>
    <w:rsid w:val="42F06DAF"/>
    <w:rsid w:val="42F40E68"/>
    <w:rsid w:val="42F56ACC"/>
    <w:rsid w:val="42FA1A80"/>
    <w:rsid w:val="430244D7"/>
    <w:rsid w:val="430C2195"/>
    <w:rsid w:val="431F2AE5"/>
    <w:rsid w:val="43261D3A"/>
    <w:rsid w:val="43272260"/>
    <w:rsid w:val="432771A4"/>
    <w:rsid w:val="4328767D"/>
    <w:rsid w:val="432A4211"/>
    <w:rsid w:val="43323F46"/>
    <w:rsid w:val="43410432"/>
    <w:rsid w:val="43434BFE"/>
    <w:rsid w:val="435376EE"/>
    <w:rsid w:val="43587703"/>
    <w:rsid w:val="436061EC"/>
    <w:rsid w:val="43614416"/>
    <w:rsid w:val="43636EEC"/>
    <w:rsid w:val="437103C7"/>
    <w:rsid w:val="43776BDB"/>
    <w:rsid w:val="4382062F"/>
    <w:rsid w:val="43873AE4"/>
    <w:rsid w:val="43911EBD"/>
    <w:rsid w:val="439710FB"/>
    <w:rsid w:val="439B7B38"/>
    <w:rsid w:val="43A92937"/>
    <w:rsid w:val="43AC37C7"/>
    <w:rsid w:val="43B379B7"/>
    <w:rsid w:val="43C5394A"/>
    <w:rsid w:val="43C72492"/>
    <w:rsid w:val="43CE2935"/>
    <w:rsid w:val="43E40427"/>
    <w:rsid w:val="43F75068"/>
    <w:rsid w:val="43FE2C42"/>
    <w:rsid w:val="440A05BD"/>
    <w:rsid w:val="440B472C"/>
    <w:rsid w:val="440E0FF4"/>
    <w:rsid w:val="442504D1"/>
    <w:rsid w:val="44276999"/>
    <w:rsid w:val="443164EE"/>
    <w:rsid w:val="443428C2"/>
    <w:rsid w:val="44346EB6"/>
    <w:rsid w:val="443E4FC1"/>
    <w:rsid w:val="443F5461"/>
    <w:rsid w:val="443F77B7"/>
    <w:rsid w:val="44414646"/>
    <w:rsid w:val="44417FAB"/>
    <w:rsid w:val="444A6271"/>
    <w:rsid w:val="444D7052"/>
    <w:rsid w:val="445023DB"/>
    <w:rsid w:val="44534C0D"/>
    <w:rsid w:val="44577782"/>
    <w:rsid w:val="446F4726"/>
    <w:rsid w:val="447038BD"/>
    <w:rsid w:val="44770E42"/>
    <w:rsid w:val="44823F85"/>
    <w:rsid w:val="44856355"/>
    <w:rsid w:val="448616C9"/>
    <w:rsid w:val="449D4F3F"/>
    <w:rsid w:val="44A1294F"/>
    <w:rsid w:val="44A83B1A"/>
    <w:rsid w:val="44A95203"/>
    <w:rsid w:val="44BB3E13"/>
    <w:rsid w:val="44BD41C4"/>
    <w:rsid w:val="44BD7AB3"/>
    <w:rsid w:val="44CD3FDE"/>
    <w:rsid w:val="44D3518B"/>
    <w:rsid w:val="44E30B39"/>
    <w:rsid w:val="44EB7ED7"/>
    <w:rsid w:val="44EE218E"/>
    <w:rsid w:val="44F7389A"/>
    <w:rsid w:val="44FE0800"/>
    <w:rsid w:val="450433E9"/>
    <w:rsid w:val="45150A44"/>
    <w:rsid w:val="451749A3"/>
    <w:rsid w:val="451766C1"/>
    <w:rsid w:val="451F6C0F"/>
    <w:rsid w:val="45247B8C"/>
    <w:rsid w:val="452517FB"/>
    <w:rsid w:val="453469BA"/>
    <w:rsid w:val="45414E4A"/>
    <w:rsid w:val="454212A1"/>
    <w:rsid w:val="45435288"/>
    <w:rsid w:val="45443BCA"/>
    <w:rsid w:val="454F32E3"/>
    <w:rsid w:val="455557FA"/>
    <w:rsid w:val="45562097"/>
    <w:rsid w:val="455F2C1D"/>
    <w:rsid w:val="4562395F"/>
    <w:rsid w:val="45657EDF"/>
    <w:rsid w:val="45671DDE"/>
    <w:rsid w:val="456A28E7"/>
    <w:rsid w:val="456D2EFE"/>
    <w:rsid w:val="456F0D15"/>
    <w:rsid w:val="457165D2"/>
    <w:rsid w:val="457326F7"/>
    <w:rsid w:val="45785341"/>
    <w:rsid w:val="458452AC"/>
    <w:rsid w:val="458805A6"/>
    <w:rsid w:val="458F2CD8"/>
    <w:rsid w:val="459704CD"/>
    <w:rsid w:val="45972311"/>
    <w:rsid w:val="459926F3"/>
    <w:rsid w:val="459C6F06"/>
    <w:rsid w:val="459E7F40"/>
    <w:rsid w:val="45A661D7"/>
    <w:rsid w:val="45AF63B0"/>
    <w:rsid w:val="45B4648B"/>
    <w:rsid w:val="45C51922"/>
    <w:rsid w:val="45C67869"/>
    <w:rsid w:val="45CD0342"/>
    <w:rsid w:val="45D766A6"/>
    <w:rsid w:val="45D814DA"/>
    <w:rsid w:val="45DE3A74"/>
    <w:rsid w:val="45F81EB1"/>
    <w:rsid w:val="46087067"/>
    <w:rsid w:val="460A48B3"/>
    <w:rsid w:val="460C006E"/>
    <w:rsid w:val="461179BF"/>
    <w:rsid w:val="4613227C"/>
    <w:rsid w:val="46153A87"/>
    <w:rsid w:val="461C7F72"/>
    <w:rsid w:val="461F5648"/>
    <w:rsid w:val="46245831"/>
    <w:rsid w:val="464438EA"/>
    <w:rsid w:val="465A4699"/>
    <w:rsid w:val="465A7ACC"/>
    <w:rsid w:val="465D5008"/>
    <w:rsid w:val="46655452"/>
    <w:rsid w:val="466719FA"/>
    <w:rsid w:val="466C69A1"/>
    <w:rsid w:val="466D7824"/>
    <w:rsid w:val="467067D0"/>
    <w:rsid w:val="46720F4D"/>
    <w:rsid w:val="468A62A0"/>
    <w:rsid w:val="468F2828"/>
    <w:rsid w:val="4698176F"/>
    <w:rsid w:val="46A20B28"/>
    <w:rsid w:val="46AA6E77"/>
    <w:rsid w:val="46AB0F5C"/>
    <w:rsid w:val="46AD68E1"/>
    <w:rsid w:val="46AD6F05"/>
    <w:rsid w:val="46AF25EB"/>
    <w:rsid w:val="46B70E49"/>
    <w:rsid w:val="46C17BCF"/>
    <w:rsid w:val="46C26486"/>
    <w:rsid w:val="46CD7D7C"/>
    <w:rsid w:val="46D602B5"/>
    <w:rsid w:val="46DD2E1D"/>
    <w:rsid w:val="46DF4974"/>
    <w:rsid w:val="46E66578"/>
    <w:rsid w:val="46E73B8D"/>
    <w:rsid w:val="46E81CBB"/>
    <w:rsid w:val="46E8363E"/>
    <w:rsid w:val="46EA1396"/>
    <w:rsid w:val="46F570BD"/>
    <w:rsid w:val="4700165A"/>
    <w:rsid w:val="47080516"/>
    <w:rsid w:val="47094C06"/>
    <w:rsid w:val="4717046B"/>
    <w:rsid w:val="4719513A"/>
    <w:rsid w:val="472330DB"/>
    <w:rsid w:val="47286249"/>
    <w:rsid w:val="4736071A"/>
    <w:rsid w:val="47391E3D"/>
    <w:rsid w:val="474466C4"/>
    <w:rsid w:val="474A6384"/>
    <w:rsid w:val="474F0DDA"/>
    <w:rsid w:val="47547F7F"/>
    <w:rsid w:val="47555097"/>
    <w:rsid w:val="475A3E17"/>
    <w:rsid w:val="475F0182"/>
    <w:rsid w:val="475F3289"/>
    <w:rsid w:val="47630B44"/>
    <w:rsid w:val="4763467C"/>
    <w:rsid w:val="476B63A7"/>
    <w:rsid w:val="47751466"/>
    <w:rsid w:val="47855F44"/>
    <w:rsid w:val="47862131"/>
    <w:rsid w:val="4786569F"/>
    <w:rsid w:val="479901A3"/>
    <w:rsid w:val="47991F0D"/>
    <w:rsid w:val="479C7B27"/>
    <w:rsid w:val="479D1B68"/>
    <w:rsid w:val="47A112F4"/>
    <w:rsid w:val="47AB62C4"/>
    <w:rsid w:val="47AD663F"/>
    <w:rsid w:val="47B55B9C"/>
    <w:rsid w:val="47B667CD"/>
    <w:rsid w:val="47B73870"/>
    <w:rsid w:val="47BE6485"/>
    <w:rsid w:val="47BF2B8A"/>
    <w:rsid w:val="47C85C14"/>
    <w:rsid w:val="47D1561F"/>
    <w:rsid w:val="47E519D0"/>
    <w:rsid w:val="47F533CE"/>
    <w:rsid w:val="47F73E92"/>
    <w:rsid w:val="47F74C67"/>
    <w:rsid w:val="47F94DB7"/>
    <w:rsid w:val="48010D87"/>
    <w:rsid w:val="480823AD"/>
    <w:rsid w:val="48085F96"/>
    <w:rsid w:val="48093971"/>
    <w:rsid w:val="48097A53"/>
    <w:rsid w:val="480C2639"/>
    <w:rsid w:val="480C7F0B"/>
    <w:rsid w:val="481977D7"/>
    <w:rsid w:val="482303DD"/>
    <w:rsid w:val="48253916"/>
    <w:rsid w:val="48274DB7"/>
    <w:rsid w:val="482848C6"/>
    <w:rsid w:val="482856F3"/>
    <w:rsid w:val="482A4EEC"/>
    <w:rsid w:val="48455722"/>
    <w:rsid w:val="484A762B"/>
    <w:rsid w:val="484B7586"/>
    <w:rsid w:val="486041D8"/>
    <w:rsid w:val="48666548"/>
    <w:rsid w:val="486D4056"/>
    <w:rsid w:val="4871067D"/>
    <w:rsid w:val="48730478"/>
    <w:rsid w:val="48781BB1"/>
    <w:rsid w:val="487871FC"/>
    <w:rsid w:val="487A40E5"/>
    <w:rsid w:val="48853223"/>
    <w:rsid w:val="488C272F"/>
    <w:rsid w:val="488D0ECB"/>
    <w:rsid w:val="48926CA2"/>
    <w:rsid w:val="48981265"/>
    <w:rsid w:val="489B0C7F"/>
    <w:rsid w:val="489C0B7D"/>
    <w:rsid w:val="48A0569B"/>
    <w:rsid w:val="48A65BEC"/>
    <w:rsid w:val="48A76684"/>
    <w:rsid w:val="48A941CF"/>
    <w:rsid w:val="48AB6AE0"/>
    <w:rsid w:val="48B555B6"/>
    <w:rsid w:val="48B75945"/>
    <w:rsid w:val="48BA5444"/>
    <w:rsid w:val="48C327E4"/>
    <w:rsid w:val="48E61AA4"/>
    <w:rsid w:val="48EA3A24"/>
    <w:rsid w:val="48EC5BD6"/>
    <w:rsid w:val="48F40C7C"/>
    <w:rsid w:val="49010E50"/>
    <w:rsid w:val="49180C81"/>
    <w:rsid w:val="4919164E"/>
    <w:rsid w:val="49220C85"/>
    <w:rsid w:val="492F7335"/>
    <w:rsid w:val="49341B4C"/>
    <w:rsid w:val="493E718D"/>
    <w:rsid w:val="49401D8A"/>
    <w:rsid w:val="49420F1A"/>
    <w:rsid w:val="494B6637"/>
    <w:rsid w:val="494F33D7"/>
    <w:rsid w:val="494F6363"/>
    <w:rsid w:val="494F7FED"/>
    <w:rsid w:val="49560876"/>
    <w:rsid w:val="495D4CF8"/>
    <w:rsid w:val="496070A6"/>
    <w:rsid w:val="49610C32"/>
    <w:rsid w:val="496E51E1"/>
    <w:rsid w:val="497E61D5"/>
    <w:rsid w:val="498222D0"/>
    <w:rsid w:val="49884152"/>
    <w:rsid w:val="499545E7"/>
    <w:rsid w:val="499D0246"/>
    <w:rsid w:val="49A66A40"/>
    <w:rsid w:val="49AA4DB4"/>
    <w:rsid w:val="49C039EA"/>
    <w:rsid w:val="49C233E7"/>
    <w:rsid w:val="49C24F3C"/>
    <w:rsid w:val="49C34965"/>
    <w:rsid w:val="49C821FF"/>
    <w:rsid w:val="49CE1B4A"/>
    <w:rsid w:val="49CE70A3"/>
    <w:rsid w:val="49D81588"/>
    <w:rsid w:val="49E55824"/>
    <w:rsid w:val="49F4108A"/>
    <w:rsid w:val="49FB5705"/>
    <w:rsid w:val="4A015E01"/>
    <w:rsid w:val="4A061037"/>
    <w:rsid w:val="4A1142CB"/>
    <w:rsid w:val="4A1824A7"/>
    <w:rsid w:val="4A24718E"/>
    <w:rsid w:val="4A29061F"/>
    <w:rsid w:val="4A294645"/>
    <w:rsid w:val="4A2D0006"/>
    <w:rsid w:val="4A2D38EE"/>
    <w:rsid w:val="4A37672F"/>
    <w:rsid w:val="4A3B1A81"/>
    <w:rsid w:val="4A3F10B2"/>
    <w:rsid w:val="4A450269"/>
    <w:rsid w:val="4A523351"/>
    <w:rsid w:val="4A561AB2"/>
    <w:rsid w:val="4A581D57"/>
    <w:rsid w:val="4A595FBF"/>
    <w:rsid w:val="4A5A4903"/>
    <w:rsid w:val="4A642F89"/>
    <w:rsid w:val="4A6565CB"/>
    <w:rsid w:val="4A666D37"/>
    <w:rsid w:val="4A680AE6"/>
    <w:rsid w:val="4A762DD0"/>
    <w:rsid w:val="4A77563B"/>
    <w:rsid w:val="4A7B2E64"/>
    <w:rsid w:val="4A873095"/>
    <w:rsid w:val="4A883780"/>
    <w:rsid w:val="4A8A5FF4"/>
    <w:rsid w:val="4A8E3B76"/>
    <w:rsid w:val="4A9A1C45"/>
    <w:rsid w:val="4A9C6A68"/>
    <w:rsid w:val="4AA322C8"/>
    <w:rsid w:val="4AB63D3A"/>
    <w:rsid w:val="4ACD6D65"/>
    <w:rsid w:val="4AD84913"/>
    <w:rsid w:val="4AE405A4"/>
    <w:rsid w:val="4AE739A8"/>
    <w:rsid w:val="4AE83F2F"/>
    <w:rsid w:val="4AF1599F"/>
    <w:rsid w:val="4AF17D94"/>
    <w:rsid w:val="4AF243D0"/>
    <w:rsid w:val="4AF36655"/>
    <w:rsid w:val="4B001BEE"/>
    <w:rsid w:val="4B0704A8"/>
    <w:rsid w:val="4B1420B8"/>
    <w:rsid w:val="4B17495C"/>
    <w:rsid w:val="4B227E15"/>
    <w:rsid w:val="4B2F6AE7"/>
    <w:rsid w:val="4B324956"/>
    <w:rsid w:val="4B3B4555"/>
    <w:rsid w:val="4B53793B"/>
    <w:rsid w:val="4B6618B1"/>
    <w:rsid w:val="4B770A12"/>
    <w:rsid w:val="4B7749F4"/>
    <w:rsid w:val="4B7C1062"/>
    <w:rsid w:val="4B7E0018"/>
    <w:rsid w:val="4B890559"/>
    <w:rsid w:val="4B8C3C3C"/>
    <w:rsid w:val="4B921AB8"/>
    <w:rsid w:val="4B930827"/>
    <w:rsid w:val="4B931900"/>
    <w:rsid w:val="4B954686"/>
    <w:rsid w:val="4B964C65"/>
    <w:rsid w:val="4B96703B"/>
    <w:rsid w:val="4B9D52BF"/>
    <w:rsid w:val="4B9E5FF4"/>
    <w:rsid w:val="4BAC606D"/>
    <w:rsid w:val="4BAF1889"/>
    <w:rsid w:val="4BB224BD"/>
    <w:rsid w:val="4BB53C76"/>
    <w:rsid w:val="4BC0436E"/>
    <w:rsid w:val="4BC171A5"/>
    <w:rsid w:val="4BC83B5A"/>
    <w:rsid w:val="4BF132B5"/>
    <w:rsid w:val="4C002D7B"/>
    <w:rsid w:val="4C010D82"/>
    <w:rsid w:val="4C071133"/>
    <w:rsid w:val="4C07355B"/>
    <w:rsid w:val="4C0B0FD5"/>
    <w:rsid w:val="4C0B1BFE"/>
    <w:rsid w:val="4C0C09E8"/>
    <w:rsid w:val="4C19413F"/>
    <w:rsid w:val="4C315CFE"/>
    <w:rsid w:val="4C3B3A4E"/>
    <w:rsid w:val="4C4D759D"/>
    <w:rsid w:val="4C5613D4"/>
    <w:rsid w:val="4C5C1A33"/>
    <w:rsid w:val="4C855042"/>
    <w:rsid w:val="4C894339"/>
    <w:rsid w:val="4C8B6EC3"/>
    <w:rsid w:val="4C91686A"/>
    <w:rsid w:val="4C974D1F"/>
    <w:rsid w:val="4C981176"/>
    <w:rsid w:val="4C9C2D0C"/>
    <w:rsid w:val="4CA33B08"/>
    <w:rsid w:val="4CA72106"/>
    <w:rsid w:val="4CA84347"/>
    <w:rsid w:val="4CAA71B3"/>
    <w:rsid w:val="4CAD5706"/>
    <w:rsid w:val="4CAE49CA"/>
    <w:rsid w:val="4CB02055"/>
    <w:rsid w:val="4CB5759E"/>
    <w:rsid w:val="4CBA2B97"/>
    <w:rsid w:val="4CC32A26"/>
    <w:rsid w:val="4CD11407"/>
    <w:rsid w:val="4CD24080"/>
    <w:rsid w:val="4CD3034F"/>
    <w:rsid w:val="4CD84191"/>
    <w:rsid w:val="4CD87460"/>
    <w:rsid w:val="4CDA263F"/>
    <w:rsid w:val="4CDD1CC0"/>
    <w:rsid w:val="4CE5518E"/>
    <w:rsid w:val="4CEC415E"/>
    <w:rsid w:val="4CED4190"/>
    <w:rsid w:val="4CF721A7"/>
    <w:rsid w:val="4CF74068"/>
    <w:rsid w:val="4D096C1F"/>
    <w:rsid w:val="4D0A73A0"/>
    <w:rsid w:val="4D113F1A"/>
    <w:rsid w:val="4D137F8D"/>
    <w:rsid w:val="4D154496"/>
    <w:rsid w:val="4D1679CC"/>
    <w:rsid w:val="4D1914D0"/>
    <w:rsid w:val="4D2D2FC1"/>
    <w:rsid w:val="4D3B513D"/>
    <w:rsid w:val="4D3C4D19"/>
    <w:rsid w:val="4D3F728A"/>
    <w:rsid w:val="4D402053"/>
    <w:rsid w:val="4D447968"/>
    <w:rsid w:val="4D4B3561"/>
    <w:rsid w:val="4D583D09"/>
    <w:rsid w:val="4D5A2BC0"/>
    <w:rsid w:val="4D683517"/>
    <w:rsid w:val="4D717DAD"/>
    <w:rsid w:val="4D7252CD"/>
    <w:rsid w:val="4D727F5E"/>
    <w:rsid w:val="4D765027"/>
    <w:rsid w:val="4D7C45E0"/>
    <w:rsid w:val="4D7F534F"/>
    <w:rsid w:val="4D8456AB"/>
    <w:rsid w:val="4D8632F1"/>
    <w:rsid w:val="4D87533D"/>
    <w:rsid w:val="4D88230C"/>
    <w:rsid w:val="4D8E1948"/>
    <w:rsid w:val="4D941BFA"/>
    <w:rsid w:val="4D977E97"/>
    <w:rsid w:val="4D9C2C9F"/>
    <w:rsid w:val="4D9F754C"/>
    <w:rsid w:val="4DA10AA0"/>
    <w:rsid w:val="4DA32B8C"/>
    <w:rsid w:val="4DB13B72"/>
    <w:rsid w:val="4DBA6349"/>
    <w:rsid w:val="4DC03AD5"/>
    <w:rsid w:val="4DC82A17"/>
    <w:rsid w:val="4DD04755"/>
    <w:rsid w:val="4DD933C5"/>
    <w:rsid w:val="4DDA33C5"/>
    <w:rsid w:val="4DEE08B3"/>
    <w:rsid w:val="4DF544C1"/>
    <w:rsid w:val="4DFF65E6"/>
    <w:rsid w:val="4E065FAC"/>
    <w:rsid w:val="4E0761D7"/>
    <w:rsid w:val="4E093532"/>
    <w:rsid w:val="4E0D07AD"/>
    <w:rsid w:val="4E0D43E2"/>
    <w:rsid w:val="4E0E6D8A"/>
    <w:rsid w:val="4E195727"/>
    <w:rsid w:val="4E1B41C7"/>
    <w:rsid w:val="4E1F511F"/>
    <w:rsid w:val="4E2A4333"/>
    <w:rsid w:val="4E2B4A8D"/>
    <w:rsid w:val="4E3374A7"/>
    <w:rsid w:val="4E3F73AD"/>
    <w:rsid w:val="4E4D1BC6"/>
    <w:rsid w:val="4E533B60"/>
    <w:rsid w:val="4E574AA4"/>
    <w:rsid w:val="4E630AD0"/>
    <w:rsid w:val="4E664ACF"/>
    <w:rsid w:val="4E695448"/>
    <w:rsid w:val="4E6F768F"/>
    <w:rsid w:val="4E7333EB"/>
    <w:rsid w:val="4E764573"/>
    <w:rsid w:val="4E915EE1"/>
    <w:rsid w:val="4E934DCD"/>
    <w:rsid w:val="4E941A23"/>
    <w:rsid w:val="4E9E0B79"/>
    <w:rsid w:val="4EA42A92"/>
    <w:rsid w:val="4EAC70C8"/>
    <w:rsid w:val="4EAF7C11"/>
    <w:rsid w:val="4EB359B0"/>
    <w:rsid w:val="4EB35CB5"/>
    <w:rsid w:val="4EB55696"/>
    <w:rsid w:val="4EB76F44"/>
    <w:rsid w:val="4EC25F66"/>
    <w:rsid w:val="4EC45D90"/>
    <w:rsid w:val="4EC74DBC"/>
    <w:rsid w:val="4ECA3731"/>
    <w:rsid w:val="4ECE2060"/>
    <w:rsid w:val="4ED311B6"/>
    <w:rsid w:val="4ED52EB4"/>
    <w:rsid w:val="4ED9015B"/>
    <w:rsid w:val="4EEB135F"/>
    <w:rsid w:val="4EF44E43"/>
    <w:rsid w:val="4EF67330"/>
    <w:rsid w:val="4EF70B17"/>
    <w:rsid w:val="4EFD1172"/>
    <w:rsid w:val="4F047514"/>
    <w:rsid w:val="4F0C2BA6"/>
    <w:rsid w:val="4F0C5FDD"/>
    <w:rsid w:val="4F124289"/>
    <w:rsid w:val="4F15624E"/>
    <w:rsid w:val="4F1C6F73"/>
    <w:rsid w:val="4F244F0D"/>
    <w:rsid w:val="4F2814CA"/>
    <w:rsid w:val="4F321AA7"/>
    <w:rsid w:val="4F356C7C"/>
    <w:rsid w:val="4F364827"/>
    <w:rsid w:val="4F383A50"/>
    <w:rsid w:val="4F3A0011"/>
    <w:rsid w:val="4F3C721A"/>
    <w:rsid w:val="4F3E0899"/>
    <w:rsid w:val="4F4F235F"/>
    <w:rsid w:val="4F527F1B"/>
    <w:rsid w:val="4F68719E"/>
    <w:rsid w:val="4F725E81"/>
    <w:rsid w:val="4F81769F"/>
    <w:rsid w:val="4F852D14"/>
    <w:rsid w:val="4F86127A"/>
    <w:rsid w:val="4F8E30E6"/>
    <w:rsid w:val="4F9302D9"/>
    <w:rsid w:val="4F965375"/>
    <w:rsid w:val="4F991EB3"/>
    <w:rsid w:val="4F9B61EC"/>
    <w:rsid w:val="4FA035C5"/>
    <w:rsid w:val="4FA32927"/>
    <w:rsid w:val="4FA3363A"/>
    <w:rsid w:val="4FA57D62"/>
    <w:rsid w:val="4FAA2B1B"/>
    <w:rsid w:val="4FAD0991"/>
    <w:rsid w:val="4FB8381A"/>
    <w:rsid w:val="4FBC4A6C"/>
    <w:rsid w:val="4FBF57CB"/>
    <w:rsid w:val="4FC16814"/>
    <w:rsid w:val="4FCE7D43"/>
    <w:rsid w:val="4FD22D49"/>
    <w:rsid w:val="4FD76904"/>
    <w:rsid w:val="4FD9087B"/>
    <w:rsid w:val="4FDB24D3"/>
    <w:rsid w:val="4FE73EC3"/>
    <w:rsid w:val="4FF50CB5"/>
    <w:rsid w:val="4FF74CF5"/>
    <w:rsid w:val="5000148F"/>
    <w:rsid w:val="50023A30"/>
    <w:rsid w:val="50077A5A"/>
    <w:rsid w:val="50121EFD"/>
    <w:rsid w:val="501313E2"/>
    <w:rsid w:val="50151A7C"/>
    <w:rsid w:val="501803DB"/>
    <w:rsid w:val="50191D05"/>
    <w:rsid w:val="501C129D"/>
    <w:rsid w:val="501F41C9"/>
    <w:rsid w:val="50224CA4"/>
    <w:rsid w:val="50281B41"/>
    <w:rsid w:val="502E6271"/>
    <w:rsid w:val="503D66AE"/>
    <w:rsid w:val="503F37E1"/>
    <w:rsid w:val="5041574B"/>
    <w:rsid w:val="5045298A"/>
    <w:rsid w:val="504B23AD"/>
    <w:rsid w:val="505026AC"/>
    <w:rsid w:val="505216A1"/>
    <w:rsid w:val="50577DEC"/>
    <w:rsid w:val="50601A91"/>
    <w:rsid w:val="50617105"/>
    <w:rsid w:val="50717A46"/>
    <w:rsid w:val="507760CE"/>
    <w:rsid w:val="50942A77"/>
    <w:rsid w:val="509673F9"/>
    <w:rsid w:val="509F3C49"/>
    <w:rsid w:val="50A20824"/>
    <w:rsid w:val="50A4792B"/>
    <w:rsid w:val="50AB0B24"/>
    <w:rsid w:val="50AE4600"/>
    <w:rsid w:val="50B825E0"/>
    <w:rsid w:val="50C049DD"/>
    <w:rsid w:val="50C10B8D"/>
    <w:rsid w:val="50C94282"/>
    <w:rsid w:val="50D0077C"/>
    <w:rsid w:val="50DD7C7A"/>
    <w:rsid w:val="50E566BB"/>
    <w:rsid w:val="50ED3EFC"/>
    <w:rsid w:val="50F00462"/>
    <w:rsid w:val="50F9285E"/>
    <w:rsid w:val="50FC4AC0"/>
    <w:rsid w:val="510E430E"/>
    <w:rsid w:val="51207FF7"/>
    <w:rsid w:val="51231883"/>
    <w:rsid w:val="51243BB3"/>
    <w:rsid w:val="512B1121"/>
    <w:rsid w:val="512D253D"/>
    <w:rsid w:val="513E25CE"/>
    <w:rsid w:val="51540F36"/>
    <w:rsid w:val="5161296D"/>
    <w:rsid w:val="516865EB"/>
    <w:rsid w:val="516B125D"/>
    <w:rsid w:val="517166D1"/>
    <w:rsid w:val="51780CD5"/>
    <w:rsid w:val="517D2849"/>
    <w:rsid w:val="517F69F1"/>
    <w:rsid w:val="51802E6D"/>
    <w:rsid w:val="518570BC"/>
    <w:rsid w:val="51862684"/>
    <w:rsid w:val="51871199"/>
    <w:rsid w:val="518A5143"/>
    <w:rsid w:val="518A5159"/>
    <w:rsid w:val="51971A31"/>
    <w:rsid w:val="519F44F5"/>
    <w:rsid w:val="51A1626C"/>
    <w:rsid w:val="51A24E1B"/>
    <w:rsid w:val="51AA1EE2"/>
    <w:rsid w:val="51AB2E32"/>
    <w:rsid w:val="51AE4AD4"/>
    <w:rsid w:val="51B7036C"/>
    <w:rsid w:val="51B82512"/>
    <w:rsid w:val="51B91B8F"/>
    <w:rsid w:val="51BE011E"/>
    <w:rsid w:val="51C47399"/>
    <w:rsid w:val="51C87BDC"/>
    <w:rsid w:val="51CC5FDF"/>
    <w:rsid w:val="51E819B4"/>
    <w:rsid w:val="51ED0A7F"/>
    <w:rsid w:val="51F43B4D"/>
    <w:rsid w:val="51F71E5E"/>
    <w:rsid w:val="51FC09E0"/>
    <w:rsid w:val="52246804"/>
    <w:rsid w:val="523B4C97"/>
    <w:rsid w:val="523E6585"/>
    <w:rsid w:val="524D61E2"/>
    <w:rsid w:val="52537000"/>
    <w:rsid w:val="52544113"/>
    <w:rsid w:val="525A7346"/>
    <w:rsid w:val="525D51B9"/>
    <w:rsid w:val="525E7346"/>
    <w:rsid w:val="52630D3A"/>
    <w:rsid w:val="52786F85"/>
    <w:rsid w:val="527E5B66"/>
    <w:rsid w:val="528823B5"/>
    <w:rsid w:val="529B1C4A"/>
    <w:rsid w:val="52BF6674"/>
    <w:rsid w:val="52D13C79"/>
    <w:rsid w:val="52D452B9"/>
    <w:rsid w:val="52D4621D"/>
    <w:rsid w:val="52DD11E1"/>
    <w:rsid w:val="52E90094"/>
    <w:rsid w:val="52F171EC"/>
    <w:rsid w:val="52F70E29"/>
    <w:rsid w:val="52FA6574"/>
    <w:rsid w:val="52FD49AF"/>
    <w:rsid w:val="53001D98"/>
    <w:rsid w:val="53054057"/>
    <w:rsid w:val="530B6D60"/>
    <w:rsid w:val="530F4B3C"/>
    <w:rsid w:val="53223F6A"/>
    <w:rsid w:val="532266B6"/>
    <w:rsid w:val="532507A6"/>
    <w:rsid w:val="5327506F"/>
    <w:rsid w:val="532C30D6"/>
    <w:rsid w:val="532E2510"/>
    <w:rsid w:val="532F1C53"/>
    <w:rsid w:val="533037AE"/>
    <w:rsid w:val="53310BDF"/>
    <w:rsid w:val="533568DF"/>
    <w:rsid w:val="53372427"/>
    <w:rsid w:val="53383278"/>
    <w:rsid w:val="533C2473"/>
    <w:rsid w:val="534025C2"/>
    <w:rsid w:val="53483B6E"/>
    <w:rsid w:val="53497732"/>
    <w:rsid w:val="535C2F18"/>
    <w:rsid w:val="535E38E9"/>
    <w:rsid w:val="53652C77"/>
    <w:rsid w:val="536F32C6"/>
    <w:rsid w:val="537F1013"/>
    <w:rsid w:val="5380685B"/>
    <w:rsid w:val="53835675"/>
    <w:rsid w:val="53843353"/>
    <w:rsid w:val="5397323A"/>
    <w:rsid w:val="53982B39"/>
    <w:rsid w:val="53986942"/>
    <w:rsid w:val="53A70486"/>
    <w:rsid w:val="53A82D22"/>
    <w:rsid w:val="53B16782"/>
    <w:rsid w:val="53B434A5"/>
    <w:rsid w:val="53BB7642"/>
    <w:rsid w:val="53C83125"/>
    <w:rsid w:val="53D51A79"/>
    <w:rsid w:val="53E271B3"/>
    <w:rsid w:val="53E27A0E"/>
    <w:rsid w:val="53F2784F"/>
    <w:rsid w:val="54017512"/>
    <w:rsid w:val="540E6836"/>
    <w:rsid w:val="54145240"/>
    <w:rsid w:val="54162E35"/>
    <w:rsid w:val="541800A5"/>
    <w:rsid w:val="541854F4"/>
    <w:rsid w:val="54185B86"/>
    <w:rsid w:val="5422114F"/>
    <w:rsid w:val="54253224"/>
    <w:rsid w:val="54280C7D"/>
    <w:rsid w:val="5428376E"/>
    <w:rsid w:val="5429256C"/>
    <w:rsid w:val="54317243"/>
    <w:rsid w:val="54342A6E"/>
    <w:rsid w:val="5446679C"/>
    <w:rsid w:val="54473615"/>
    <w:rsid w:val="544E1991"/>
    <w:rsid w:val="545C0880"/>
    <w:rsid w:val="54681DD5"/>
    <w:rsid w:val="5474687C"/>
    <w:rsid w:val="547C2981"/>
    <w:rsid w:val="547E29CE"/>
    <w:rsid w:val="5481282C"/>
    <w:rsid w:val="54835791"/>
    <w:rsid w:val="54890DFD"/>
    <w:rsid w:val="548C6C46"/>
    <w:rsid w:val="548E55C4"/>
    <w:rsid w:val="54924E07"/>
    <w:rsid w:val="549527FA"/>
    <w:rsid w:val="54A518B8"/>
    <w:rsid w:val="54B84A6C"/>
    <w:rsid w:val="54B970D8"/>
    <w:rsid w:val="54BA7D30"/>
    <w:rsid w:val="54BE4BD9"/>
    <w:rsid w:val="54CA3BFD"/>
    <w:rsid w:val="54D25A35"/>
    <w:rsid w:val="54D56C08"/>
    <w:rsid w:val="54D94E2D"/>
    <w:rsid w:val="54E5233E"/>
    <w:rsid w:val="54E567C3"/>
    <w:rsid w:val="54EB71D7"/>
    <w:rsid w:val="54F00DFB"/>
    <w:rsid w:val="54F37D3C"/>
    <w:rsid w:val="54F557AB"/>
    <w:rsid w:val="54F948E7"/>
    <w:rsid w:val="54FB751E"/>
    <w:rsid w:val="55045D55"/>
    <w:rsid w:val="550562F4"/>
    <w:rsid w:val="550A6EE9"/>
    <w:rsid w:val="551E25E9"/>
    <w:rsid w:val="551F7E07"/>
    <w:rsid w:val="55202DBF"/>
    <w:rsid w:val="552453A2"/>
    <w:rsid w:val="5528159E"/>
    <w:rsid w:val="5537004E"/>
    <w:rsid w:val="55505A6F"/>
    <w:rsid w:val="5552028D"/>
    <w:rsid w:val="55583B90"/>
    <w:rsid w:val="555D0D47"/>
    <w:rsid w:val="556E7D23"/>
    <w:rsid w:val="55725C71"/>
    <w:rsid w:val="5577224E"/>
    <w:rsid w:val="558079DF"/>
    <w:rsid w:val="55864A1E"/>
    <w:rsid w:val="558819EF"/>
    <w:rsid w:val="55883028"/>
    <w:rsid w:val="558A65C6"/>
    <w:rsid w:val="558E5D9A"/>
    <w:rsid w:val="558F4FD5"/>
    <w:rsid w:val="5594417C"/>
    <w:rsid w:val="55973473"/>
    <w:rsid w:val="55AB1511"/>
    <w:rsid w:val="55AF5AB1"/>
    <w:rsid w:val="55B75BDC"/>
    <w:rsid w:val="55C21410"/>
    <w:rsid w:val="55CA70AB"/>
    <w:rsid w:val="55CB1A12"/>
    <w:rsid w:val="55CB3F60"/>
    <w:rsid w:val="55CF2150"/>
    <w:rsid w:val="55D009F1"/>
    <w:rsid w:val="55E30428"/>
    <w:rsid w:val="55E54F21"/>
    <w:rsid w:val="55EA4D66"/>
    <w:rsid w:val="55EB318C"/>
    <w:rsid w:val="55EC7EB7"/>
    <w:rsid w:val="55FB2252"/>
    <w:rsid w:val="560B48F5"/>
    <w:rsid w:val="56131782"/>
    <w:rsid w:val="56164654"/>
    <w:rsid w:val="56212DF1"/>
    <w:rsid w:val="56264660"/>
    <w:rsid w:val="563254E0"/>
    <w:rsid w:val="563301D1"/>
    <w:rsid w:val="5634743C"/>
    <w:rsid w:val="56363F15"/>
    <w:rsid w:val="564C4D3B"/>
    <w:rsid w:val="564F501E"/>
    <w:rsid w:val="565443A3"/>
    <w:rsid w:val="56587D21"/>
    <w:rsid w:val="56591494"/>
    <w:rsid w:val="565B4232"/>
    <w:rsid w:val="565D034B"/>
    <w:rsid w:val="566229E6"/>
    <w:rsid w:val="56732611"/>
    <w:rsid w:val="56841686"/>
    <w:rsid w:val="568628FF"/>
    <w:rsid w:val="56871F0A"/>
    <w:rsid w:val="56885373"/>
    <w:rsid w:val="56891D2D"/>
    <w:rsid w:val="56927AEF"/>
    <w:rsid w:val="569874F5"/>
    <w:rsid w:val="56A20595"/>
    <w:rsid w:val="56AA0704"/>
    <w:rsid w:val="56AC6E53"/>
    <w:rsid w:val="56AE06EA"/>
    <w:rsid w:val="56B035A3"/>
    <w:rsid w:val="56B10908"/>
    <w:rsid w:val="56B170F4"/>
    <w:rsid w:val="56B4459A"/>
    <w:rsid w:val="56BC6899"/>
    <w:rsid w:val="56BD13B3"/>
    <w:rsid w:val="56C178EF"/>
    <w:rsid w:val="56C57F54"/>
    <w:rsid w:val="56CC6D6A"/>
    <w:rsid w:val="56CF0D53"/>
    <w:rsid w:val="56E7327D"/>
    <w:rsid w:val="56EC32CA"/>
    <w:rsid w:val="56F64B59"/>
    <w:rsid w:val="56F87747"/>
    <w:rsid w:val="56F967D8"/>
    <w:rsid w:val="56FE7C3C"/>
    <w:rsid w:val="571352C3"/>
    <w:rsid w:val="571C7613"/>
    <w:rsid w:val="571F0ED6"/>
    <w:rsid w:val="5720236A"/>
    <w:rsid w:val="572B338F"/>
    <w:rsid w:val="573804CA"/>
    <w:rsid w:val="57414CEE"/>
    <w:rsid w:val="574E1B51"/>
    <w:rsid w:val="575659EC"/>
    <w:rsid w:val="575D1B46"/>
    <w:rsid w:val="5764770F"/>
    <w:rsid w:val="577563BC"/>
    <w:rsid w:val="5779526D"/>
    <w:rsid w:val="577A1584"/>
    <w:rsid w:val="577D629F"/>
    <w:rsid w:val="577E0D2A"/>
    <w:rsid w:val="577F051B"/>
    <w:rsid w:val="57815612"/>
    <w:rsid w:val="578458D9"/>
    <w:rsid w:val="5785575D"/>
    <w:rsid w:val="578D4C44"/>
    <w:rsid w:val="578D4FF9"/>
    <w:rsid w:val="578F3F38"/>
    <w:rsid w:val="57925A38"/>
    <w:rsid w:val="57933C84"/>
    <w:rsid w:val="5795707C"/>
    <w:rsid w:val="579E3CC7"/>
    <w:rsid w:val="57A508A9"/>
    <w:rsid w:val="57AB19A1"/>
    <w:rsid w:val="57AB2930"/>
    <w:rsid w:val="57AD0A39"/>
    <w:rsid w:val="57B047CF"/>
    <w:rsid w:val="57B30AB2"/>
    <w:rsid w:val="57B40003"/>
    <w:rsid w:val="57B86075"/>
    <w:rsid w:val="57C93F6B"/>
    <w:rsid w:val="57C97E86"/>
    <w:rsid w:val="57CE50A1"/>
    <w:rsid w:val="57D0030E"/>
    <w:rsid w:val="57D92E7D"/>
    <w:rsid w:val="57D9563D"/>
    <w:rsid w:val="57DB2E56"/>
    <w:rsid w:val="57E03272"/>
    <w:rsid w:val="57E0563D"/>
    <w:rsid w:val="57E46146"/>
    <w:rsid w:val="57EA2A7F"/>
    <w:rsid w:val="57F10244"/>
    <w:rsid w:val="57F17344"/>
    <w:rsid w:val="57F66C46"/>
    <w:rsid w:val="57F949E1"/>
    <w:rsid w:val="57FB5C57"/>
    <w:rsid w:val="57FC5AE5"/>
    <w:rsid w:val="58045CEC"/>
    <w:rsid w:val="58136E2E"/>
    <w:rsid w:val="581F4B1A"/>
    <w:rsid w:val="58227AC5"/>
    <w:rsid w:val="582447C9"/>
    <w:rsid w:val="58263571"/>
    <w:rsid w:val="58275C1D"/>
    <w:rsid w:val="582B4D9A"/>
    <w:rsid w:val="58367ED5"/>
    <w:rsid w:val="5840307D"/>
    <w:rsid w:val="58410915"/>
    <w:rsid w:val="58440004"/>
    <w:rsid w:val="585153E7"/>
    <w:rsid w:val="58520E1E"/>
    <w:rsid w:val="58592910"/>
    <w:rsid w:val="58597463"/>
    <w:rsid w:val="585B12E2"/>
    <w:rsid w:val="585F1E40"/>
    <w:rsid w:val="58744459"/>
    <w:rsid w:val="58757CB1"/>
    <w:rsid w:val="587F704E"/>
    <w:rsid w:val="588E66AE"/>
    <w:rsid w:val="589077EC"/>
    <w:rsid w:val="5898370E"/>
    <w:rsid w:val="589C24D0"/>
    <w:rsid w:val="589F327B"/>
    <w:rsid w:val="58B0532C"/>
    <w:rsid w:val="58B450B4"/>
    <w:rsid w:val="58B459B4"/>
    <w:rsid w:val="58BB7F23"/>
    <w:rsid w:val="58C16C56"/>
    <w:rsid w:val="58C7367F"/>
    <w:rsid w:val="58C961B3"/>
    <w:rsid w:val="58CB249E"/>
    <w:rsid w:val="58D32D29"/>
    <w:rsid w:val="58D3495A"/>
    <w:rsid w:val="58DD2DC1"/>
    <w:rsid w:val="58DF5D40"/>
    <w:rsid w:val="59001878"/>
    <w:rsid w:val="590B443E"/>
    <w:rsid w:val="590C4CA4"/>
    <w:rsid w:val="590C7076"/>
    <w:rsid w:val="591267E7"/>
    <w:rsid w:val="591621E3"/>
    <w:rsid w:val="59182E8E"/>
    <w:rsid w:val="591C07C0"/>
    <w:rsid w:val="591C66FC"/>
    <w:rsid w:val="591D140C"/>
    <w:rsid w:val="59250225"/>
    <w:rsid w:val="59267C8F"/>
    <w:rsid w:val="59291850"/>
    <w:rsid w:val="593554A8"/>
    <w:rsid w:val="593C22E0"/>
    <w:rsid w:val="594D7D2C"/>
    <w:rsid w:val="59572E64"/>
    <w:rsid w:val="59643874"/>
    <w:rsid w:val="59680B68"/>
    <w:rsid w:val="59732E34"/>
    <w:rsid w:val="5977587E"/>
    <w:rsid w:val="597A6102"/>
    <w:rsid w:val="598025F5"/>
    <w:rsid w:val="59814534"/>
    <w:rsid w:val="598A28F3"/>
    <w:rsid w:val="59914110"/>
    <w:rsid w:val="599E22A0"/>
    <w:rsid w:val="599F3C08"/>
    <w:rsid w:val="59A07691"/>
    <w:rsid w:val="59A76635"/>
    <w:rsid w:val="59DF3E11"/>
    <w:rsid w:val="59E43CA1"/>
    <w:rsid w:val="59E8732E"/>
    <w:rsid w:val="59EB2206"/>
    <w:rsid w:val="59EE3525"/>
    <w:rsid w:val="59F17E34"/>
    <w:rsid w:val="59F56622"/>
    <w:rsid w:val="59F914D8"/>
    <w:rsid w:val="59FE2E48"/>
    <w:rsid w:val="5A005CE8"/>
    <w:rsid w:val="5A042CC3"/>
    <w:rsid w:val="5A0F4A20"/>
    <w:rsid w:val="5A117ECE"/>
    <w:rsid w:val="5A140C8D"/>
    <w:rsid w:val="5A1801D8"/>
    <w:rsid w:val="5A1A57F2"/>
    <w:rsid w:val="5A1C1411"/>
    <w:rsid w:val="5A1F08A1"/>
    <w:rsid w:val="5A2012E4"/>
    <w:rsid w:val="5A27554E"/>
    <w:rsid w:val="5A324731"/>
    <w:rsid w:val="5A390E88"/>
    <w:rsid w:val="5A3C11CC"/>
    <w:rsid w:val="5A40202A"/>
    <w:rsid w:val="5A410EDB"/>
    <w:rsid w:val="5A446B02"/>
    <w:rsid w:val="5A4A1724"/>
    <w:rsid w:val="5A5308F5"/>
    <w:rsid w:val="5A574075"/>
    <w:rsid w:val="5A5C0C6E"/>
    <w:rsid w:val="5A705EAB"/>
    <w:rsid w:val="5A7138C3"/>
    <w:rsid w:val="5A7C3664"/>
    <w:rsid w:val="5A7E09C8"/>
    <w:rsid w:val="5A7F6634"/>
    <w:rsid w:val="5A803BD4"/>
    <w:rsid w:val="5A861DF7"/>
    <w:rsid w:val="5A877771"/>
    <w:rsid w:val="5A8C4BD7"/>
    <w:rsid w:val="5A8D75C7"/>
    <w:rsid w:val="5A902EE7"/>
    <w:rsid w:val="5A955158"/>
    <w:rsid w:val="5AA662B2"/>
    <w:rsid w:val="5AA7492E"/>
    <w:rsid w:val="5AAA71C8"/>
    <w:rsid w:val="5ABB3363"/>
    <w:rsid w:val="5ADC2D7C"/>
    <w:rsid w:val="5ADD75A4"/>
    <w:rsid w:val="5AE15D82"/>
    <w:rsid w:val="5AE23AA0"/>
    <w:rsid w:val="5AE81196"/>
    <w:rsid w:val="5AEA6025"/>
    <w:rsid w:val="5AEE7D51"/>
    <w:rsid w:val="5AF07DAA"/>
    <w:rsid w:val="5AF160CB"/>
    <w:rsid w:val="5B066CCD"/>
    <w:rsid w:val="5B13396F"/>
    <w:rsid w:val="5B17491F"/>
    <w:rsid w:val="5B203BC7"/>
    <w:rsid w:val="5B26095F"/>
    <w:rsid w:val="5B271DD9"/>
    <w:rsid w:val="5B276A46"/>
    <w:rsid w:val="5B2A10DF"/>
    <w:rsid w:val="5B2B042F"/>
    <w:rsid w:val="5B324C2E"/>
    <w:rsid w:val="5B325826"/>
    <w:rsid w:val="5B34389A"/>
    <w:rsid w:val="5B3746DA"/>
    <w:rsid w:val="5B416207"/>
    <w:rsid w:val="5B420DC0"/>
    <w:rsid w:val="5B454E14"/>
    <w:rsid w:val="5B491D53"/>
    <w:rsid w:val="5B4A1D38"/>
    <w:rsid w:val="5B4E4D9B"/>
    <w:rsid w:val="5B771E5D"/>
    <w:rsid w:val="5B7856B2"/>
    <w:rsid w:val="5B7C1377"/>
    <w:rsid w:val="5B7D33BA"/>
    <w:rsid w:val="5B8A3FB8"/>
    <w:rsid w:val="5B8D2CCC"/>
    <w:rsid w:val="5B957E8F"/>
    <w:rsid w:val="5B975538"/>
    <w:rsid w:val="5B991D90"/>
    <w:rsid w:val="5B9C6B37"/>
    <w:rsid w:val="5B9C7F2F"/>
    <w:rsid w:val="5BB9100C"/>
    <w:rsid w:val="5BBB76D4"/>
    <w:rsid w:val="5BBC10EB"/>
    <w:rsid w:val="5BC420E0"/>
    <w:rsid w:val="5BCB5463"/>
    <w:rsid w:val="5BCB5C96"/>
    <w:rsid w:val="5BCC4415"/>
    <w:rsid w:val="5BCC6D47"/>
    <w:rsid w:val="5BD65B34"/>
    <w:rsid w:val="5BE23117"/>
    <w:rsid w:val="5BE84406"/>
    <w:rsid w:val="5BF037B4"/>
    <w:rsid w:val="5BF4013D"/>
    <w:rsid w:val="5BF82363"/>
    <w:rsid w:val="5BF94015"/>
    <w:rsid w:val="5BFE33C6"/>
    <w:rsid w:val="5C0440ED"/>
    <w:rsid w:val="5C0840BD"/>
    <w:rsid w:val="5C0B37A2"/>
    <w:rsid w:val="5C1759C8"/>
    <w:rsid w:val="5C1D55E3"/>
    <w:rsid w:val="5C270834"/>
    <w:rsid w:val="5C3270FF"/>
    <w:rsid w:val="5C3B2F83"/>
    <w:rsid w:val="5C4441AB"/>
    <w:rsid w:val="5C562681"/>
    <w:rsid w:val="5C586DF0"/>
    <w:rsid w:val="5C5A5716"/>
    <w:rsid w:val="5C60364F"/>
    <w:rsid w:val="5C6131C4"/>
    <w:rsid w:val="5C636957"/>
    <w:rsid w:val="5C6C1C75"/>
    <w:rsid w:val="5C6C385C"/>
    <w:rsid w:val="5C71422C"/>
    <w:rsid w:val="5C737D53"/>
    <w:rsid w:val="5C7C5401"/>
    <w:rsid w:val="5C921A2B"/>
    <w:rsid w:val="5C966826"/>
    <w:rsid w:val="5C9F072A"/>
    <w:rsid w:val="5CA57605"/>
    <w:rsid w:val="5CA96E18"/>
    <w:rsid w:val="5CAB0727"/>
    <w:rsid w:val="5CAD09E5"/>
    <w:rsid w:val="5CB6324F"/>
    <w:rsid w:val="5CBF72AA"/>
    <w:rsid w:val="5CC13E8D"/>
    <w:rsid w:val="5CCB2257"/>
    <w:rsid w:val="5CD20D52"/>
    <w:rsid w:val="5CD87D24"/>
    <w:rsid w:val="5CDE0EC5"/>
    <w:rsid w:val="5CE8615E"/>
    <w:rsid w:val="5CF40E0F"/>
    <w:rsid w:val="5CF94B88"/>
    <w:rsid w:val="5CFA1131"/>
    <w:rsid w:val="5CFB33A3"/>
    <w:rsid w:val="5D027CAC"/>
    <w:rsid w:val="5D0310AD"/>
    <w:rsid w:val="5D0B491A"/>
    <w:rsid w:val="5D142EDB"/>
    <w:rsid w:val="5D2001E3"/>
    <w:rsid w:val="5D222D9B"/>
    <w:rsid w:val="5D23094F"/>
    <w:rsid w:val="5D291B70"/>
    <w:rsid w:val="5D2D7D42"/>
    <w:rsid w:val="5D2E1A13"/>
    <w:rsid w:val="5D2F0B8C"/>
    <w:rsid w:val="5D343AC4"/>
    <w:rsid w:val="5D353E81"/>
    <w:rsid w:val="5D354162"/>
    <w:rsid w:val="5D3812A3"/>
    <w:rsid w:val="5D431052"/>
    <w:rsid w:val="5D432BB1"/>
    <w:rsid w:val="5D513CBB"/>
    <w:rsid w:val="5D523374"/>
    <w:rsid w:val="5D690CC4"/>
    <w:rsid w:val="5D6A1BDC"/>
    <w:rsid w:val="5D6A40ED"/>
    <w:rsid w:val="5D6E1210"/>
    <w:rsid w:val="5D6E2211"/>
    <w:rsid w:val="5D6F198F"/>
    <w:rsid w:val="5D796CA8"/>
    <w:rsid w:val="5D80099A"/>
    <w:rsid w:val="5D8D2DF8"/>
    <w:rsid w:val="5D9340E4"/>
    <w:rsid w:val="5D945537"/>
    <w:rsid w:val="5D960000"/>
    <w:rsid w:val="5DA51343"/>
    <w:rsid w:val="5DB111FB"/>
    <w:rsid w:val="5DB204A6"/>
    <w:rsid w:val="5DBA7BDE"/>
    <w:rsid w:val="5DC417E6"/>
    <w:rsid w:val="5DD35FAF"/>
    <w:rsid w:val="5DDF06FB"/>
    <w:rsid w:val="5DE06445"/>
    <w:rsid w:val="5DE7657E"/>
    <w:rsid w:val="5DF63AFC"/>
    <w:rsid w:val="5DF7672A"/>
    <w:rsid w:val="5DFA7A06"/>
    <w:rsid w:val="5E052F06"/>
    <w:rsid w:val="5E0A0CAC"/>
    <w:rsid w:val="5E0F5C76"/>
    <w:rsid w:val="5E1950FA"/>
    <w:rsid w:val="5E1D7B31"/>
    <w:rsid w:val="5E231327"/>
    <w:rsid w:val="5E2365EA"/>
    <w:rsid w:val="5E23717B"/>
    <w:rsid w:val="5E337DA7"/>
    <w:rsid w:val="5E3750AD"/>
    <w:rsid w:val="5E482645"/>
    <w:rsid w:val="5E4E3DA9"/>
    <w:rsid w:val="5E521F1A"/>
    <w:rsid w:val="5E54690B"/>
    <w:rsid w:val="5E5D27C4"/>
    <w:rsid w:val="5E60105C"/>
    <w:rsid w:val="5E6075C6"/>
    <w:rsid w:val="5E6343E3"/>
    <w:rsid w:val="5E674173"/>
    <w:rsid w:val="5E680A9D"/>
    <w:rsid w:val="5E715C57"/>
    <w:rsid w:val="5E82249C"/>
    <w:rsid w:val="5E8260F0"/>
    <w:rsid w:val="5E8C4C97"/>
    <w:rsid w:val="5E971758"/>
    <w:rsid w:val="5E997A75"/>
    <w:rsid w:val="5E9A60F3"/>
    <w:rsid w:val="5EA93ABD"/>
    <w:rsid w:val="5EAF4E9D"/>
    <w:rsid w:val="5EB27A57"/>
    <w:rsid w:val="5EB9493D"/>
    <w:rsid w:val="5EBB38D8"/>
    <w:rsid w:val="5EBD0336"/>
    <w:rsid w:val="5EC200D5"/>
    <w:rsid w:val="5EC90EC1"/>
    <w:rsid w:val="5ECE6E26"/>
    <w:rsid w:val="5EDA3F4B"/>
    <w:rsid w:val="5EDF27DE"/>
    <w:rsid w:val="5EE22744"/>
    <w:rsid w:val="5EE44CBC"/>
    <w:rsid w:val="5EEB13E7"/>
    <w:rsid w:val="5EEB77CF"/>
    <w:rsid w:val="5EF533D7"/>
    <w:rsid w:val="5EFA78CC"/>
    <w:rsid w:val="5EFB186F"/>
    <w:rsid w:val="5F0C3F11"/>
    <w:rsid w:val="5F0D20A1"/>
    <w:rsid w:val="5F141D99"/>
    <w:rsid w:val="5F201806"/>
    <w:rsid w:val="5F222A81"/>
    <w:rsid w:val="5F34347C"/>
    <w:rsid w:val="5F343990"/>
    <w:rsid w:val="5F3F6E60"/>
    <w:rsid w:val="5F3F7B83"/>
    <w:rsid w:val="5F40187B"/>
    <w:rsid w:val="5F463C3B"/>
    <w:rsid w:val="5F514936"/>
    <w:rsid w:val="5F5570A3"/>
    <w:rsid w:val="5F5C6C5C"/>
    <w:rsid w:val="5F5C73DF"/>
    <w:rsid w:val="5F685059"/>
    <w:rsid w:val="5F7A26AA"/>
    <w:rsid w:val="5F7B1931"/>
    <w:rsid w:val="5F7E30F9"/>
    <w:rsid w:val="5F892112"/>
    <w:rsid w:val="5FA55AD2"/>
    <w:rsid w:val="5FA57C12"/>
    <w:rsid w:val="5FBE776F"/>
    <w:rsid w:val="5FC04218"/>
    <w:rsid w:val="5FC9711C"/>
    <w:rsid w:val="5FCA6276"/>
    <w:rsid w:val="5FCB45E7"/>
    <w:rsid w:val="5FDB59BF"/>
    <w:rsid w:val="5FE50D06"/>
    <w:rsid w:val="5FF452C3"/>
    <w:rsid w:val="5FF83BE6"/>
    <w:rsid w:val="5FFB171A"/>
    <w:rsid w:val="600077DE"/>
    <w:rsid w:val="60053780"/>
    <w:rsid w:val="600A33E1"/>
    <w:rsid w:val="600C2882"/>
    <w:rsid w:val="60110014"/>
    <w:rsid w:val="60146391"/>
    <w:rsid w:val="60153B69"/>
    <w:rsid w:val="60190450"/>
    <w:rsid w:val="60273726"/>
    <w:rsid w:val="602B2B47"/>
    <w:rsid w:val="603467A9"/>
    <w:rsid w:val="60386170"/>
    <w:rsid w:val="60491527"/>
    <w:rsid w:val="604B1C88"/>
    <w:rsid w:val="6050088B"/>
    <w:rsid w:val="605E0B24"/>
    <w:rsid w:val="605E3C55"/>
    <w:rsid w:val="60627646"/>
    <w:rsid w:val="6068475A"/>
    <w:rsid w:val="606E1233"/>
    <w:rsid w:val="606F20D1"/>
    <w:rsid w:val="60704624"/>
    <w:rsid w:val="60760041"/>
    <w:rsid w:val="607F7253"/>
    <w:rsid w:val="609C6D06"/>
    <w:rsid w:val="60A80DFC"/>
    <w:rsid w:val="60AF243A"/>
    <w:rsid w:val="60B63403"/>
    <w:rsid w:val="60CD6E50"/>
    <w:rsid w:val="60E15C64"/>
    <w:rsid w:val="60E37558"/>
    <w:rsid w:val="60E9371D"/>
    <w:rsid w:val="60EE2280"/>
    <w:rsid w:val="60F16378"/>
    <w:rsid w:val="60F76904"/>
    <w:rsid w:val="60F92893"/>
    <w:rsid w:val="61085AF1"/>
    <w:rsid w:val="61247157"/>
    <w:rsid w:val="612D0B45"/>
    <w:rsid w:val="61330EDC"/>
    <w:rsid w:val="613A172E"/>
    <w:rsid w:val="61470E6A"/>
    <w:rsid w:val="614F7378"/>
    <w:rsid w:val="615114CF"/>
    <w:rsid w:val="615B0AE8"/>
    <w:rsid w:val="615F0F13"/>
    <w:rsid w:val="616770B9"/>
    <w:rsid w:val="61715BAF"/>
    <w:rsid w:val="61763492"/>
    <w:rsid w:val="617D1E7B"/>
    <w:rsid w:val="61833FD1"/>
    <w:rsid w:val="61845821"/>
    <w:rsid w:val="619A584E"/>
    <w:rsid w:val="61A066E2"/>
    <w:rsid w:val="61AA0FAF"/>
    <w:rsid w:val="61B14FC9"/>
    <w:rsid w:val="61B80D9C"/>
    <w:rsid w:val="61C20876"/>
    <w:rsid w:val="61C25D1D"/>
    <w:rsid w:val="61C72410"/>
    <w:rsid w:val="61CD4F16"/>
    <w:rsid w:val="61CD753F"/>
    <w:rsid w:val="61CF5EC5"/>
    <w:rsid w:val="61D02ADC"/>
    <w:rsid w:val="61D234A6"/>
    <w:rsid w:val="61D23FAA"/>
    <w:rsid w:val="61D50333"/>
    <w:rsid w:val="61D924F4"/>
    <w:rsid w:val="61E51061"/>
    <w:rsid w:val="61E622B8"/>
    <w:rsid w:val="61F05847"/>
    <w:rsid w:val="6201778E"/>
    <w:rsid w:val="621606CE"/>
    <w:rsid w:val="62195F65"/>
    <w:rsid w:val="622278AA"/>
    <w:rsid w:val="622E1BB9"/>
    <w:rsid w:val="623E7163"/>
    <w:rsid w:val="62424931"/>
    <w:rsid w:val="62453E81"/>
    <w:rsid w:val="624A03C3"/>
    <w:rsid w:val="624A7FF8"/>
    <w:rsid w:val="62604D55"/>
    <w:rsid w:val="626118D8"/>
    <w:rsid w:val="62661F7D"/>
    <w:rsid w:val="626E3104"/>
    <w:rsid w:val="627162D4"/>
    <w:rsid w:val="62727315"/>
    <w:rsid w:val="627358F0"/>
    <w:rsid w:val="6276036C"/>
    <w:rsid w:val="627B52F7"/>
    <w:rsid w:val="627C51B5"/>
    <w:rsid w:val="627E2B43"/>
    <w:rsid w:val="62822631"/>
    <w:rsid w:val="62871179"/>
    <w:rsid w:val="62901054"/>
    <w:rsid w:val="6294497E"/>
    <w:rsid w:val="629C7102"/>
    <w:rsid w:val="62A806A4"/>
    <w:rsid w:val="62AA7D4E"/>
    <w:rsid w:val="62AD03E8"/>
    <w:rsid w:val="62BC5814"/>
    <w:rsid w:val="62C92019"/>
    <w:rsid w:val="62CA516F"/>
    <w:rsid w:val="62D3153A"/>
    <w:rsid w:val="62E57147"/>
    <w:rsid w:val="62E84AD2"/>
    <w:rsid w:val="62EB1840"/>
    <w:rsid w:val="62F07680"/>
    <w:rsid w:val="62F12B64"/>
    <w:rsid w:val="62F3041C"/>
    <w:rsid w:val="62F3199C"/>
    <w:rsid w:val="62F93AC3"/>
    <w:rsid w:val="63004402"/>
    <w:rsid w:val="63087EC7"/>
    <w:rsid w:val="630C4A43"/>
    <w:rsid w:val="6310694A"/>
    <w:rsid w:val="63134A67"/>
    <w:rsid w:val="63142627"/>
    <w:rsid w:val="631E3BB7"/>
    <w:rsid w:val="63261362"/>
    <w:rsid w:val="633D5905"/>
    <w:rsid w:val="63427085"/>
    <w:rsid w:val="63434309"/>
    <w:rsid w:val="63514231"/>
    <w:rsid w:val="63514FEE"/>
    <w:rsid w:val="635E244B"/>
    <w:rsid w:val="63633C66"/>
    <w:rsid w:val="63634275"/>
    <w:rsid w:val="636402A6"/>
    <w:rsid w:val="636F05B4"/>
    <w:rsid w:val="636F0609"/>
    <w:rsid w:val="637309A0"/>
    <w:rsid w:val="6376498E"/>
    <w:rsid w:val="637654B1"/>
    <w:rsid w:val="63831BF3"/>
    <w:rsid w:val="63865E4F"/>
    <w:rsid w:val="63897502"/>
    <w:rsid w:val="639215F9"/>
    <w:rsid w:val="639229F2"/>
    <w:rsid w:val="63924B44"/>
    <w:rsid w:val="63932257"/>
    <w:rsid w:val="63935FFC"/>
    <w:rsid w:val="63951F2A"/>
    <w:rsid w:val="639D568F"/>
    <w:rsid w:val="63A1253E"/>
    <w:rsid w:val="63A47282"/>
    <w:rsid w:val="63A5168E"/>
    <w:rsid w:val="63AD1A11"/>
    <w:rsid w:val="63B07EE1"/>
    <w:rsid w:val="63B47B6A"/>
    <w:rsid w:val="63B51836"/>
    <w:rsid w:val="63BF1A44"/>
    <w:rsid w:val="63C408E4"/>
    <w:rsid w:val="63D46CDE"/>
    <w:rsid w:val="63DE3A06"/>
    <w:rsid w:val="63E70B1A"/>
    <w:rsid w:val="63ED1EC8"/>
    <w:rsid w:val="63F7538C"/>
    <w:rsid w:val="63FE5C55"/>
    <w:rsid w:val="64035219"/>
    <w:rsid w:val="6407755D"/>
    <w:rsid w:val="641313A7"/>
    <w:rsid w:val="64201195"/>
    <w:rsid w:val="643211FA"/>
    <w:rsid w:val="643B2CA9"/>
    <w:rsid w:val="64420BFF"/>
    <w:rsid w:val="644E43DB"/>
    <w:rsid w:val="645C02C2"/>
    <w:rsid w:val="645F27C7"/>
    <w:rsid w:val="64803CF2"/>
    <w:rsid w:val="64820B3C"/>
    <w:rsid w:val="64897182"/>
    <w:rsid w:val="648A57BF"/>
    <w:rsid w:val="649341D6"/>
    <w:rsid w:val="649D399D"/>
    <w:rsid w:val="649E7D69"/>
    <w:rsid w:val="64AB208E"/>
    <w:rsid w:val="64B36328"/>
    <w:rsid w:val="64B55CF7"/>
    <w:rsid w:val="64BC2536"/>
    <w:rsid w:val="64BD4E05"/>
    <w:rsid w:val="64D073D0"/>
    <w:rsid w:val="64D30B66"/>
    <w:rsid w:val="64D63725"/>
    <w:rsid w:val="64D70C73"/>
    <w:rsid w:val="64DC371E"/>
    <w:rsid w:val="64DE13FA"/>
    <w:rsid w:val="64E12BF0"/>
    <w:rsid w:val="64E54BF1"/>
    <w:rsid w:val="64F94C45"/>
    <w:rsid w:val="64FA0D23"/>
    <w:rsid w:val="64FF1C17"/>
    <w:rsid w:val="65025E28"/>
    <w:rsid w:val="650E0C05"/>
    <w:rsid w:val="651D00F6"/>
    <w:rsid w:val="651D1E93"/>
    <w:rsid w:val="652C6406"/>
    <w:rsid w:val="65302032"/>
    <w:rsid w:val="65342E29"/>
    <w:rsid w:val="653514E8"/>
    <w:rsid w:val="65361474"/>
    <w:rsid w:val="65384E07"/>
    <w:rsid w:val="654241E0"/>
    <w:rsid w:val="65441412"/>
    <w:rsid w:val="654F6FEB"/>
    <w:rsid w:val="65540D0F"/>
    <w:rsid w:val="65545EE4"/>
    <w:rsid w:val="655751D2"/>
    <w:rsid w:val="655E1CD1"/>
    <w:rsid w:val="65687440"/>
    <w:rsid w:val="657949D5"/>
    <w:rsid w:val="658001CC"/>
    <w:rsid w:val="65833BE6"/>
    <w:rsid w:val="658559EB"/>
    <w:rsid w:val="658C7DFF"/>
    <w:rsid w:val="659168A3"/>
    <w:rsid w:val="65944938"/>
    <w:rsid w:val="65971E6B"/>
    <w:rsid w:val="65974380"/>
    <w:rsid w:val="65AB41F4"/>
    <w:rsid w:val="65AD7ACE"/>
    <w:rsid w:val="65C33A8D"/>
    <w:rsid w:val="65C9019E"/>
    <w:rsid w:val="65D32586"/>
    <w:rsid w:val="65D405B1"/>
    <w:rsid w:val="65D86B75"/>
    <w:rsid w:val="65D972C4"/>
    <w:rsid w:val="65DA0D31"/>
    <w:rsid w:val="65ED759D"/>
    <w:rsid w:val="65F77B0B"/>
    <w:rsid w:val="65F86BD5"/>
    <w:rsid w:val="65FD0299"/>
    <w:rsid w:val="66072C07"/>
    <w:rsid w:val="660D0964"/>
    <w:rsid w:val="661D4BB9"/>
    <w:rsid w:val="66200F87"/>
    <w:rsid w:val="66207BF1"/>
    <w:rsid w:val="6627342D"/>
    <w:rsid w:val="66296578"/>
    <w:rsid w:val="662D29C5"/>
    <w:rsid w:val="662D37BE"/>
    <w:rsid w:val="66347049"/>
    <w:rsid w:val="665C33E3"/>
    <w:rsid w:val="666054B3"/>
    <w:rsid w:val="66691211"/>
    <w:rsid w:val="667A4BC8"/>
    <w:rsid w:val="667B3638"/>
    <w:rsid w:val="667E5512"/>
    <w:rsid w:val="668809F4"/>
    <w:rsid w:val="66961D0A"/>
    <w:rsid w:val="66977328"/>
    <w:rsid w:val="66B850E6"/>
    <w:rsid w:val="66D35C6A"/>
    <w:rsid w:val="66E16421"/>
    <w:rsid w:val="66E27C8F"/>
    <w:rsid w:val="66F27889"/>
    <w:rsid w:val="66F92C45"/>
    <w:rsid w:val="66FC5722"/>
    <w:rsid w:val="67025CA8"/>
    <w:rsid w:val="670C664A"/>
    <w:rsid w:val="6715317F"/>
    <w:rsid w:val="671B4662"/>
    <w:rsid w:val="67203CF9"/>
    <w:rsid w:val="67215C96"/>
    <w:rsid w:val="672251B3"/>
    <w:rsid w:val="672831FF"/>
    <w:rsid w:val="67316FEC"/>
    <w:rsid w:val="6732522B"/>
    <w:rsid w:val="673A4E05"/>
    <w:rsid w:val="67454993"/>
    <w:rsid w:val="67526629"/>
    <w:rsid w:val="67561CC8"/>
    <w:rsid w:val="675F26CB"/>
    <w:rsid w:val="67752E0A"/>
    <w:rsid w:val="678239FC"/>
    <w:rsid w:val="67875A34"/>
    <w:rsid w:val="678D7095"/>
    <w:rsid w:val="67922FE3"/>
    <w:rsid w:val="67933C1C"/>
    <w:rsid w:val="67972FFD"/>
    <w:rsid w:val="67997AEE"/>
    <w:rsid w:val="679A0379"/>
    <w:rsid w:val="679C2429"/>
    <w:rsid w:val="679D122C"/>
    <w:rsid w:val="67A15364"/>
    <w:rsid w:val="67A4793B"/>
    <w:rsid w:val="67A63CFB"/>
    <w:rsid w:val="67AA7D2C"/>
    <w:rsid w:val="67AF69D4"/>
    <w:rsid w:val="67B81CD0"/>
    <w:rsid w:val="67BA0194"/>
    <w:rsid w:val="67BB0EDA"/>
    <w:rsid w:val="67CF29F0"/>
    <w:rsid w:val="67D5584E"/>
    <w:rsid w:val="67DB6482"/>
    <w:rsid w:val="67E54156"/>
    <w:rsid w:val="67E65868"/>
    <w:rsid w:val="67EC6B60"/>
    <w:rsid w:val="67F42DD2"/>
    <w:rsid w:val="6803669F"/>
    <w:rsid w:val="680B2A2C"/>
    <w:rsid w:val="680B740C"/>
    <w:rsid w:val="680C6F2E"/>
    <w:rsid w:val="68166BD7"/>
    <w:rsid w:val="681678BF"/>
    <w:rsid w:val="681A0FB6"/>
    <w:rsid w:val="681C5910"/>
    <w:rsid w:val="681D4CD5"/>
    <w:rsid w:val="68264181"/>
    <w:rsid w:val="68303689"/>
    <w:rsid w:val="684468AD"/>
    <w:rsid w:val="6845386E"/>
    <w:rsid w:val="6848731D"/>
    <w:rsid w:val="684E3D34"/>
    <w:rsid w:val="68590DD2"/>
    <w:rsid w:val="68723472"/>
    <w:rsid w:val="68726813"/>
    <w:rsid w:val="68741237"/>
    <w:rsid w:val="68777A10"/>
    <w:rsid w:val="68792280"/>
    <w:rsid w:val="687A08BC"/>
    <w:rsid w:val="687A47D6"/>
    <w:rsid w:val="687E5D8E"/>
    <w:rsid w:val="687F0FEB"/>
    <w:rsid w:val="68842CAE"/>
    <w:rsid w:val="688A1889"/>
    <w:rsid w:val="68A55B1A"/>
    <w:rsid w:val="68BB3795"/>
    <w:rsid w:val="68BD3118"/>
    <w:rsid w:val="68C57ABB"/>
    <w:rsid w:val="68CE03B3"/>
    <w:rsid w:val="68D627CF"/>
    <w:rsid w:val="68E62028"/>
    <w:rsid w:val="68E86BDD"/>
    <w:rsid w:val="68F210BF"/>
    <w:rsid w:val="68F32F9B"/>
    <w:rsid w:val="690D2337"/>
    <w:rsid w:val="690D3C89"/>
    <w:rsid w:val="691415AA"/>
    <w:rsid w:val="691948AC"/>
    <w:rsid w:val="692B121C"/>
    <w:rsid w:val="692D0147"/>
    <w:rsid w:val="692D17EE"/>
    <w:rsid w:val="692E3076"/>
    <w:rsid w:val="69330846"/>
    <w:rsid w:val="69366222"/>
    <w:rsid w:val="693B31FC"/>
    <w:rsid w:val="693F58AB"/>
    <w:rsid w:val="694A272A"/>
    <w:rsid w:val="694D21BD"/>
    <w:rsid w:val="695175AD"/>
    <w:rsid w:val="69537713"/>
    <w:rsid w:val="69541D89"/>
    <w:rsid w:val="6955626A"/>
    <w:rsid w:val="695E0DEE"/>
    <w:rsid w:val="696B052D"/>
    <w:rsid w:val="696F0BA2"/>
    <w:rsid w:val="69751971"/>
    <w:rsid w:val="697800AE"/>
    <w:rsid w:val="697A56EF"/>
    <w:rsid w:val="697A65B0"/>
    <w:rsid w:val="697D6854"/>
    <w:rsid w:val="698D3B05"/>
    <w:rsid w:val="69913763"/>
    <w:rsid w:val="69A35B4F"/>
    <w:rsid w:val="69A4767C"/>
    <w:rsid w:val="69AF22B9"/>
    <w:rsid w:val="69BA218E"/>
    <w:rsid w:val="69BB5CD5"/>
    <w:rsid w:val="69BD333B"/>
    <w:rsid w:val="69CD22C3"/>
    <w:rsid w:val="69CF69FD"/>
    <w:rsid w:val="69D30FAD"/>
    <w:rsid w:val="69DB54EE"/>
    <w:rsid w:val="69DE6137"/>
    <w:rsid w:val="69E077A4"/>
    <w:rsid w:val="69F0058F"/>
    <w:rsid w:val="69F52D95"/>
    <w:rsid w:val="69F73032"/>
    <w:rsid w:val="69F8584A"/>
    <w:rsid w:val="69FE030F"/>
    <w:rsid w:val="6A002742"/>
    <w:rsid w:val="6A0146F3"/>
    <w:rsid w:val="6A0327EE"/>
    <w:rsid w:val="6A040262"/>
    <w:rsid w:val="6A0B4CA1"/>
    <w:rsid w:val="6A0F646E"/>
    <w:rsid w:val="6A1B1A2A"/>
    <w:rsid w:val="6A277D85"/>
    <w:rsid w:val="6A2F50E2"/>
    <w:rsid w:val="6A34158D"/>
    <w:rsid w:val="6A4267F7"/>
    <w:rsid w:val="6A435650"/>
    <w:rsid w:val="6A4444DA"/>
    <w:rsid w:val="6A457D36"/>
    <w:rsid w:val="6A471DA9"/>
    <w:rsid w:val="6A4A76C7"/>
    <w:rsid w:val="6A4B21C9"/>
    <w:rsid w:val="6A4C76D8"/>
    <w:rsid w:val="6A52585C"/>
    <w:rsid w:val="6A533D7E"/>
    <w:rsid w:val="6A59421D"/>
    <w:rsid w:val="6A675B06"/>
    <w:rsid w:val="6A681938"/>
    <w:rsid w:val="6A68206A"/>
    <w:rsid w:val="6A6B2650"/>
    <w:rsid w:val="6A7523A6"/>
    <w:rsid w:val="6A8050E7"/>
    <w:rsid w:val="6A882EF3"/>
    <w:rsid w:val="6A9173CF"/>
    <w:rsid w:val="6A95489B"/>
    <w:rsid w:val="6A9964F4"/>
    <w:rsid w:val="6A9D4B84"/>
    <w:rsid w:val="6AA403C6"/>
    <w:rsid w:val="6AB55DE3"/>
    <w:rsid w:val="6AC75A27"/>
    <w:rsid w:val="6AD5257C"/>
    <w:rsid w:val="6ADC20AD"/>
    <w:rsid w:val="6AEA5C63"/>
    <w:rsid w:val="6AF07BB3"/>
    <w:rsid w:val="6AF1149B"/>
    <w:rsid w:val="6AF219CE"/>
    <w:rsid w:val="6AF74A05"/>
    <w:rsid w:val="6AF7591A"/>
    <w:rsid w:val="6AFA3021"/>
    <w:rsid w:val="6AFA5325"/>
    <w:rsid w:val="6AFC0CDD"/>
    <w:rsid w:val="6AFD1DA5"/>
    <w:rsid w:val="6B185352"/>
    <w:rsid w:val="6B190839"/>
    <w:rsid w:val="6B1E2C3D"/>
    <w:rsid w:val="6B2218AD"/>
    <w:rsid w:val="6B23248F"/>
    <w:rsid w:val="6B255D89"/>
    <w:rsid w:val="6B265FAC"/>
    <w:rsid w:val="6B28314F"/>
    <w:rsid w:val="6B294793"/>
    <w:rsid w:val="6B2E7580"/>
    <w:rsid w:val="6B2F47B4"/>
    <w:rsid w:val="6B307EB2"/>
    <w:rsid w:val="6B393475"/>
    <w:rsid w:val="6B3B21D3"/>
    <w:rsid w:val="6B400EE2"/>
    <w:rsid w:val="6B4D5DC0"/>
    <w:rsid w:val="6B4D7801"/>
    <w:rsid w:val="6B5D5492"/>
    <w:rsid w:val="6B603139"/>
    <w:rsid w:val="6B6B31FF"/>
    <w:rsid w:val="6B7C29F9"/>
    <w:rsid w:val="6B80031A"/>
    <w:rsid w:val="6B87759C"/>
    <w:rsid w:val="6B8A5AFF"/>
    <w:rsid w:val="6B9A4540"/>
    <w:rsid w:val="6B9A6F9A"/>
    <w:rsid w:val="6B9C04CB"/>
    <w:rsid w:val="6B9E3116"/>
    <w:rsid w:val="6BA57C60"/>
    <w:rsid w:val="6BA622EC"/>
    <w:rsid w:val="6BAC39DB"/>
    <w:rsid w:val="6BB51443"/>
    <w:rsid w:val="6BBA2ECA"/>
    <w:rsid w:val="6BC128BE"/>
    <w:rsid w:val="6BC73771"/>
    <w:rsid w:val="6BCC3092"/>
    <w:rsid w:val="6BDB6BE1"/>
    <w:rsid w:val="6BE20EEF"/>
    <w:rsid w:val="6BE32480"/>
    <w:rsid w:val="6BE9158A"/>
    <w:rsid w:val="6BFA44BB"/>
    <w:rsid w:val="6C063133"/>
    <w:rsid w:val="6C0A574C"/>
    <w:rsid w:val="6C0E135D"/>
    <w:rsid w:val="6C16339B"/>
    <w:rsid w:val="6C177687"/>
    <w:rsid w:val="6C1B351F"/>
    <w:rsid w:val="6C295B2A"/>
    <w:rsid w:val="6C2A703B"/>
    <w:rsid w:val="6C462D5E"/>
    <w:rsid w:val="6C4F0592"/>
    <w:rsid w:val="6C523815"/>
    <w:rsid w:val="6C5A2194"/>
    <w:rsid w:val="6C5C4B67"/>
    <w:rsid w:val="6C5D1F1A"/>
    <w:rsid w:val="6C7A6409"/>
    <w:rsid w:val="6C7B69FD"/>
    <w:rsid w:val="6C8025D2"/>
    <w:rsid w:val="6C8069D5"/>
    <w:rsid w:val="6C855226"/>
    <w:rsid w:val="6C864298"/>
    <w:rsid w:val="6C8938B7"/>
    <w:rsid w:val="6C96191B"/>
    <w:rsid w:val="6C9C4ED3"/>
    <w:rsid w:val="6CA17924"/>
    <w:rsid w:val="6CA36961"/>
    <w:rsid w:val="6CA678CA"/>
    <w:rsid w:val="6CAD2A0B"/>
    <w:rsid w:val="6CB700F8"/>
    <w:rsid w:val="6CBA2F54"/>
    <w:rsid w:val="6CBB4168"/>
    <w:rsid w:val="6CC42C67"/>
    <w:rsid w:val="6CCB4FC3"/>
    <w:rsid w:val="6CDA5046"/>
    <w:rsid w:val="6CEA1D9D"/>
    <w:rsid w:val="6CF1527C"/>
    <w:rsid w:val="6CF54AEA"/>
    <w:rsid w:val="6D0A4737"/>
    <w:rsid w:val="6D1C6B6B"/>
    <w:rsid w:val="6D1E57CB"/>
    <w:rsid w:val="6D2328BB"/>
    <w:rsid w:val="6D233747"/>
    <w:rsid w:val="6D295163"/>
    <w:rsid w:val="6D2F17E4"/>
    <w:rsid w:val="6D412431"/>
    <w:rsid w:val="6D423D70"/>
    <w:rsid w:val="6D584AFA"/>
    <w:rsid w:val="6D60786B"/>
    <w:rsid w:val="6D772988"/>
    <w:rsid w:val="6D795B71"/>
    <w:rsid w:val="6D81444D"/>
    <w:rsid w:val="6D82448C"/>
    <w:rsid w:val="6D826F77"/>
    <w:rsid w:val="6D890C5F"/>
    <w:rsid w:val="6D8F6CC3"/>
    <w:rsid w:val="6D91178C"/>
    <w:rsid w:val="6D936953"/>
    <w:rsid w:val="6DC01437"/>
    <w:rsid w:val="6DC11AAC"/>
    <w:rsid w:val="6DCC5ED2"/>
    <w:rsid w:val="6DCE15A0"/>
    <w:rsid w:val="6DD17A5E"/>
    <w:rsid w:val="6DD42833"/>
    <w:rsid w:val="6DDA3F90"/>
    <w:rsid w:val="6DDE5FE0"/>
    <w:rsid w:val="6DEB39B0"/>
    <w:rsid w:val="6DF83AD0"/>
    <w:rsid w:val="6DF92407"/>
    <w:rsid w:val="6E096B9F"/>
    <w:rsid w:val="6E0C35A1"/>
    <w:rsid w:val="6E0F04F9"/>
    <w:rsid w:val="6E0F5E6D"/>
    <w:rsid w:val="6E0F6E6E"/>
    <w:rsid w:val="6E101D77"/>
    <w:rsid w:val="6E1232A1"/>
    <w:rsid w:val="6E145CEA"/>
    <w:rsid w:val="6E17128D"/>
    <w:rsid w:val="6E17362C"/>
    <w:rsid w:val="6E1822EF"/>
    <w:rsid w:val="6E200AA3"/>
    <w:rsid w:val="6E2431C8"/>
    <w:rsid w:val="6E263A9A"/>
    <w:rsid w:val="6E2B08E3"/>
    <w:rsid w:val="6E2B1DC2"/>
    <w:rsid w:val="6E302BDA"/>
    <w:rsid w:val="6E3A3FAD"/>
    <w:rsid w:val="6E3D758F"/>
    <w:rsid w:val="6E437723"/>
    <w:rsid w:val="6E440978"/>
    <w:rsid w:val="6E4B378C"/>
    <w:rsid w:val="6E5342B9"/>
    <w:rsid w:val="6E623BB3"/>
    <w:rsid w:val="6E636502"/>
    <w:rsid w:val="6E6852F8"/>
    <w:rsid w:val="6E757B37"/>
    <w:rsid w:val="6E7F0920"/>
    <w:rsid w:val="6E891B7F"/>
    <w:rsid w:val="6EA30D47"/>
    <w:rsid w:val="6EA33314"/>
    <w:rsid w:val="6EA33BF8"/>
    <w:rsid w:val="6EB21590"/>
    <w:rsid w:val="6EB272D7"/>
    <w:rsid w:val="6ED0039F"/>
    <w:rsid w:val="6ED077F5"/>
    <w:rsid w:val="6EEA7533"/>
    <w:rsid w:val="6EEC2652"/>
    <w:rsid w:val="6EF13EAD"/>
    <w:rsid w:val="6EF757B9"/>
    <w:rsid w:val="6EFF28C7"/>
    <w:rsid w:val="6EFF6F68"/>
    <w:rsid w:val="6F050990"/>
    <w:rsid w:val="6F0C4CC7"/>
    <w:rsid w:val="6F0E3709"/>
    <w:rsid w:val="6F19559E"/>
    <w:rsid w:val="6F1C3882"/>
    <w:rsid w:val="6F2444B7"/>
    <w:rsid w:val="6F2A69A7"/>
    <w:rsid w:val="6F2C3FE6"/>
    <w:rsid w:val="6F2E4826"/>
    <w:rsid w:val="6F322432"/>
    <w:rsid w:val="6F397F4E"/>
    <w:rsid w:val="6F3A6172"/>
    <w:rsid w:val="6F3B2442"/>
    <w:rsid w:val="6F3B449B"/>
    <w:rsid w:val="6F490FD0"/>
    <w:rsid w:val="6F4B7516"/>
    <w:rsid w:val="6F4C7BDB"/>
    <w:rsid w:val="6F4E6887"/>
    <w:rsid w:val="6F4E75C7"/>
    <w:rsid w:val="6F5A59D8"/>
    <w:rsid w:val="6F6725DB"/>
    <w:rsid w:val="6F6D3B2F"/>
    <w:rsid w:val="6F6F7FF8"/>
    <w:rsid w:val="6F7968AB"/>
    <w:rsid w:val="6F7E3D5A"/>
    <w:rsid w:val="6F8B6AB1"/>
    <w:rsid w:val="6F952050"/>
    <w:rsid w:val="6F952850"/>
    <w:rsid w:val="6F9F79A3"/>
    <w:rsid w:val="6FA72223"/>
    <w:rsid w:val="6FBB6FF2"/>
    <w:rsid w:val="6FBF363C"/>
    <w:rsid w:val="6FC30CC7"/>
    <w:rsid w:val="6FC87CBE"/>
    <w:rsid w:val="6FC93753"/>
    <w:rsid w:val="6FCD0B9A"/>
    <w:rsid w:val="6FCF19BF"/>
    <w:rsid w:val="6FD017EF"/>
    <w:rsid w:val="6FD17984"/>
    <w:rsid w:val="6FD7735A"/>
    <w:rsid w:val="6FE26A6C"/>
    <w:rsid w:val="6FE44E53"/>
    <w:rsid w:val="6FE842F9"/>
    <w:rsid w:val="6FF55EA4"/>
    <w:rsid w:val="6FF64C00"/>
    <w:rsid w:val="6FFA4257"/>
    <w:rsid w:val="7000345A"/>
    <w:rsid w:val="700F797B"/>
    <w:rsid w:val="70172C11"/>
    <w:rsid w:val="701859A7"/>
    <w:rsid w:val="701D25E3"/>
    <w:rsid w:val="701E24BE"/>
    <w:rsid w:val="70217A75"/>
    <w:rsid w:val="702C4A6D"/>
    <w:rsid w:val="70311CA2"/>
    <w:rsid w:val="70356C00"/>
    <w:rsid w:val="703663A6"/>
    <w:rsid w:val="703819F3"/>
    <w:rsid w:val="703A5B12"/>
    <w:rsid w:val="70440631"/>
    <w:rsid w:val="70491EBD"/>
    <w:rsid w:val="705171F1"/>
    <w:rsid w:val="70572F36"/>
    <w:rsid w:val="706776B1"/>
    <w:rsid w:val="70710EE0"/>
    <w:rsid w:val="707157DE"/>
    <w:rsid w:val="70792AF9"/>
    <w:rsid w:val="707A1A75"/>
    <w:rsid w:val="70867691"/>
    <w:rsid w:val="708B3CF4"/>
    <w:rsid w:val="708C2435"/>
    <w:rsid w:val="70900B26"/>
    <w:rsid w:val="709B7AB8"/>
    <w:rsid w:val="709D26B9"/>
    <w:rsid w:val="709E0D2B"/>
    <w:rsid w:val="70A740B5"/>
    <w:rsid w:val="70A812B3"/>
    <w:rsid w:val="70C06F68"/>
    <w:rsid w:val="70E57202"/>
    <w:rsid w:val="70E659D0"/>
    <w:rsid w:val="70E73209"/>
    <w:rsid w:val="71094758"/>
    <w:rsid w:val="711D38C7"/>
    <w:rsid w:val="711F6137"/>
    <w:rsid w:val="71210423"/>
    <w:rsid w:val="71275301"/>
    <w:rsid w:val="712B2321"/>
    <w:rsid w:val="713022D9"/>
    <w:rsid w:val="71307E07"/>
    <w:rsid w:val="71370AF8"/>
    <w:rsid w:val="713F51C0"/>
    <w:rsid w:val="71436D97"/>
    <w:rsid w:val="714374E2"/>
    <w:rsid w:val="715452D3"/>
    <w:rsid w:val="71576B47"/>
    <w:rsid w:val="715D527A"/>
    <w:rsid w:val="71654841"/>
    <w:rsid w:val="71695CA7"/>
    <w:rsid w:val="717278C5"/>
    <w:rsid w:val="71747BA9"/>
    <w:rsid w:val="7179193D"/>
    <w:rsid w:val="7186276D"/>
    <w:rsid w:val="7188233D"/>
    <w:rsid w:val="718D79C0"/>
    <w:rsid w:val="719515B1"/>
    <w:rsid w:val="719B06F3"/>
    <w:rsid w:val="71A47DD2"/>
    <w:rsid w:val="71B97AD7"/>
    <w:rsid w:val="71C027A5"/>
    <w:rsid w:val="71CA3AA2"/>
    <w:rsid w:val="71D60EE7"/>
    <w:rsid w:val="71EB3FF0"/>
    <w:rsid w:val="71EC5BB8"/>
    <w:rsid w:val="71F2115D"/>
    <w:rsid w:val="71F941FA"/>
    <w:rsid w:val="71FB24D5"/>
    <w:rsid w:val="720508F0"/>
    <w:rsid w:val="72095B5E"/>
    <w:rsid w:val="720E773E"/>
    <w:rsid w:val="72100805"/>
    <w:rsid w:val="721F4D4A"/>
    <w:rsid w:val="7226080D"/>
    <w:rsid w:val="722C1E47"/>
    <w:rsid w:val="722F246F"/>
    <w:rsid w:val="722F783B"/>
    <w:rsid w:val="723C48C9"/>
    <w:rsid w:val="72453910"/>
    <w:rsid w:val="72456DCE"/>
    <w:rsid w:val="724F449B"/>
    <w:rsid w:val="725153D9"/>
    <w:rsid w:val="725310CE"/>
    <w:rsid w:val="72590D7E"/>
    <w:rsid w:val="725C7CA0"/>
    <w:rsid w:val="72675AAE"/>
    <w:rsid w:val="7267724D"/>
    <w:rsid w:val="7268131A"/>
    <w:rsid w:val="726A4408"/>
    <w:rsid w:val="72822E2A"/>
    <w:rsid w:val="7283063B"/>
    <w:rsid w:val="72842D7A"/>
    <w:rsid w:val="729153CD"/>
    <w:rsid w:val="72926BD3"/>
    <w:rsid w:val="7297179D"/>
    <w:rsid w:val="72976BD6"/>
    <w:rsid w:val="72A40027"/>
    <w:rsid w:val="72B55E6F"/>
    <w:rsid w:val="72BA7D0B"/>
    <w:rsid w:val="72C07CA5"/>
    <w:rsid w:val="72C61E4C"/>
    <w:rsid w:val="72CE4266"/>
    <w:rsid w:val="72E2094B"/>
    <w:rsid w:val="72E9665E"/>
    <w:rsid w:val="72F159BE"/>
    <w:rsid w:val="72F415DE"/>
    <w:rsid w:val="72F607A2"/>
    <w:rsid w:val="72FF634B"/>
    <w:rsid w:val="73002165"/>
    <w:rsid w:val="73071DE4"/>
    <w:rsid w:val="730E6079"/>
    <w:rsid w:val="730F2965"/>
    <w:rsid w:val="73183773"/>
    <w:rsid w:val="732159A8"/>
    <w:rsid w:val="73247BB2"/>
    <w:rsid w:val="732A6414"/>
    <w:rsid w:val="732F519C"/>
    <w:rsid w:val="73307800"/>
    <w:rsid w:val="73314FAA"/>
    <w:rsid w:val="733D3526"/>
    <w:rsid w:val="733E50E1"/>
    <w:rsid w:val="7345116B"/>
    <w:rsid w:val="73484339"/>
    <w:rsid w:val="734E5485"/>
    <w:rsid w:val="73505624"/>
    <w:rsid w:val="73522DD5"/>
    <w:rsid w:val="735B530B"/>
    <w:rsid w:val="735D151B"/>
    <w:rsid w:val="73603D8A"/>
    <w:rsid w:val="73690CF6"/>
    <w:rsid w:val="73690EA6"/>
    <w:rsid w:val="73723D09"/>
    <w:rsid w:val="737352B6"/>
    <w:rsid w:val="737432EC"/>
    <w:rsid w:val="737442B3"/>
    <w:rsid w:val="737F5261"/>
    <w:rsid w:val="73830D23"/>
    <w:rsid w:val="73840EA1"/>
    <w:rsid w:val="739402F8"/>
    <w:rsid w:val="73943FFE"/>
    <w:rsid w:val="73980BB8"/>
    <w:rsid w:val="739A1277"/>
    <w:rsid w:val="739D2E37"/>
    <w:rsid w:val="739D44F8"/>
    <w:rsid w:val="73A85AE7"/>
    <w:rsid w:val="73B1786C"/>
    <w:rsid w:val="73B71078"/>
    <w:rsid w:val="73C04406"/>
    <w:rsid w:val="73C1374E"/>
    <w:rsid w:val="73C556A8"/>
    <w:rsid w:val="73C62C1F"/>
    <w:rsid w:val="73C84CD6"/>
    <w:rsid w:val="73E51599"/>
    <w:rsid w:val="73E650AA"/>
    <w:rsid w:val="73E82467"/>
    <w:rsid w:val="73EF7B82"/>
    <w:rsid w:val="73F366D4"/>
    <w:rsid w:val="73F50ECB"/>
    <w:rsid w:val="73F551BB"/>
    <w:rsid w:val="73F614B2"/>
    <w:rsid w:val="74045462"/>
    <w:rsid w:val="74075415"/>
    <w:rsid w:val="740B6475"/>
    <w:rsid w:val="741076BF"/>
    <w:rsid w:val="74144989"/>
    <w:rsid w:val="74161E73"/>
    <w:rsid w:val="741C23E5"/>
    <w:rsid w:val="741E0622"/>
    <w:rsid w:val="742278AC"/>
    <w:rsid w:val="74276996"/>
    <w:rsid w:val="743A0250"/>
    <w:rsid w:val="743C524B"/>
    <w:rsid w:val="74556E8C"/>
    <w:rsid w:val="745C0D0D"/>
    <w:rsid w:val="7460059B"/>
    <w:rsid w:val="74642C88"/>
    <w:rsid w:val="74667519"/>
    <w:rsid w:val="747E78DD"/>
    <w:rsid w:val="747F7146"/>
    <w:rsid w:val="74871CDE"/>
    <w:rsid w:val="748B561A"/>
    <w:rsid w:val="74921653"/>
    <w:rsid w:val="74923760"/>
    <w:rsid w:val="74992B8E"/>
    <w:rsid w:val="749C6CEC"/>
    <w:rsid w:val="74A3667A"/>
    <w:rsid w:val="74A82A04"/>
    <w:rsid w:val="74C6341B"/>
    <w:rsid w:val="74C63C2E"/>
    <w:rsid w:val="74C757CB"/>
    <w:rsid w:val="74EC172F"/>
    <w:rsid w:val="74F60933"/>
    <w:rsid w:val="75090455"/>
    <w:rsid w:val="751343CC"/>
    <w:rsid w:val="75203653"/>
    <w:rsid w:val="752A63F4"/>
    <w:rsid w:val="752B3CDA"/>
    <w:rsid w:val="752B75FB"/>
    <w:rsid w:val="752E3D66"/>
    <w:rsid w:val="75311FF7"/>
    <w:rsid w:val="75357843"/>
    <w:rsid w:val="75406A59"/>
    <w:rsid w:val="754107F2"/>
    <w:rsid w:val="75425473"/>
    <w:rsid w:val="75567C77"/>
    <w:rsid w:val="75627E2D"/>
    <w:rsid w:val="75641EEF"/>
    <w:rsid w:val="75687804"/>
    <w:rsid w:val="757B3305"/>
    <w:rsid w:val="75855F19"/>
    <w:rsid w:val="759F25D1"/>
    <w:rsid w:val="75A04E88"/>
    <w:rsid w:val="75A47EF4"/>
    <w:rsid w:val="75AF51C3"/>
    <w:rsid w:val="75AF6309"/>
    <w:rsid w:val="75B47D1A"/>
    <w:rsid w:val="75BE5178"/>
    <w:rsid w:val="75C2689F"/>
    <w:rsid w:val="75C348BF"/>
    <w:rsid w:val="75C4679B"/>
    <w:rsid w:val="75CF70E9"/>
    <w:rsid w:val="75D619EC"/>
    <w:rsid w:val="75D67CBB"/>
    <w:rsid w:val="75D7270D"/>
    <w:rsid w:val="75D86E02"/>
    <w:rsid w:val="75EB58E0"/>
    <w:rsid w:val="75F544F9"/>
    <w:rsid w:val="75F90252"/>
    <w:rsid w:val="75FD6877"/>
    <w:rsid w:val="76027855"/>
    <w:rsid w:val="76072539"/>
    <w:rsid w:val="76143141"/>
    <w:rsid w:val="76231693"/>
    <w:rsid w:val="76250CB4"/>
    <w:rsid w:val="762F0EA2"/>
    <w:rsid w:val="76301539"/>
    <w:rsid w:val="76343280"/>
    <w:rsid w:val="76346901"/>
    <w:rsid w:val="763B7ABA"/>
    <w:rsid w:val="763F3EF1"/>
    <w:rsid w:val="764554B9"/>
    <w:rsid w:val="76470DFE"/>
    <w:rsid w:val="76471D92"/>
    <w:rsid w:val="765F2521"/>
    <w:rsid w:val="765F65A6"/>
    <w:rsid w:val="765F77AF"/>
    <w:rsid w:val="76613620"/>
    <w:rsid w:val="76695063"/>
    <w:rsid w:val="7670765D"/>
    <w:rsid w:val="7671164C"/>
    <w:rsid w:val="76713122"/>
    <w:rsid w:val="76724725"/>
    <w:rsid w:val="767B429E"/>
    <w:rsid w:val="767D1D47"/>
    <w:rsid w:val="768D1660"/>
    <w:rsid w:val="769531F8"/>
    <w:rsid w:val="7697470E"/>
    <w:rsid w:val="769F48F1"/>
    <w:rsid w:val="76A02C95"/>
    <w:rsid w:val="76A06E52"/>
    <w:rsid w:val="76A33F5E"/>
    <w:rsid w:val="76AA7BF4"/>
    <w:rsid w:val="76AB0441"/>
    <w:rsid w:val="76AD06CB"/>
    <w:rsid w:val="76B5289C"/>
    <w:rsid w:val="76C172AE"/>
    <w:rsid w:val="76C73817"/>
    <w:rsid w:val="76C805A1"/>
    <w:rsid w:val="76E60445"/>
    <w:rsid w:val="76E64DA6"/>
    <w:rsid w:val="76E7685F"/>
    <w:rsid w:val="76F10AC2"/>
    <w:rsid w:val="76F661FF"/>
    <w:rsid w:val="7716197F"/>
    <w:rsid w:val="77177263"/>
    <w:rsid w:val="77193905"/>
    <w:rsid w:val="771A1B91"/>
    <w:rsid w:val="772A4989"/>
    <w:rsid w:val="773F1631"/>
    <w:rsid w:val="77410B15"/>
    <w:rsid w:val="77462E81"/>
    <w:rsid w:val="774E48B1"/>
    <w:rsid w:val="77594331"/>
    <w:rsid w:val="775A0716"/>
    <w:rsid w:val="7762483A"/>
    <w:rsid w:val="776325A4"/>
    <w:rsid w:val="7763711F"/>
    <w:rsid w:val="776B2949"/>
    <w:rsid w:val="776E7F0D"/>
    <w:rsid w:val="776F09FA"/>
    <w:rsid w:val="777461EE"/>
    <w:rsid w:val="777A0AB6"/>
    <w:rsid w:val="778A6D38"/>
    <w:rsid w:val="77905763"/>
    <w:rsid w:val="779070D7"/>
    <w:rsid w:val="77924B10"/>
    <w:rsid w:val="77A05C76"/>
    <w:rsid w:val="77A8677A"/>
    <w:rsid w:val="77A92AF5"/>
    <w:rsid w:val="77B33E13"/>
    <w:rsid w:val="77B35607"/>
    <w:rsid w:val="77CB758C"/>
    <w:rsid w:val="77CD242A"/>
    <w:rsid w:val="77CD76D5"/>
    <w:rsid w:val="77CE3148"/>
    <w:rsid w:val="77D13653"/>
    <w:rsid w:val="77D74598"/>
    <w:rsid w:val="77E1777B"/>
    <w:rsid w:val="77EB7035"/>
    <w:rsid w:val="77FE160B"/>
    <w:rsid w:val="78017B36"/>
    <w:rsid w:val="78091601"/>
    <w:rsid w:val="781108C9"/>
    <w:rsid w:val="78160380"/>
    <w:rsid w:val="78227F85"/>
    <w:rsid w:val="782C496B"/>
    <w:rsid w:val="782D2893"/>
    <w:rsid w:val="78302F0C"/>
    <w:rsid w:val="783C07BA"/>
    <w:rsid w:val="7842583B"/>
    <w:rsid w:val="78430BA4"/>
    <w:rsid w:val="78482C2C"/>
    <w:rsid w:val="78502BC7"/>
    <w:rsid w:val="78503258"/>
    <w:rsid w:val="785244DE"/>
    <w:rsid w:val="78573E64"/>
    <w:rsid w:val="785E57BF"/>
    <w:rsid w:val="785F4EBC"/>
    <w:rsid w:val="78632BC2"/>
    <w:rsid w:val="78632BFB"/>
    <w:rsid w:val="786D4E35"/>
    <w:rsid w:val="78702036"/>
    <w:rsid w:val="78720CE8"/>
    <w:rsid w:val="788558A5"/>
    <w:rsid w:val="78930CF0"/>
    <w:rsid w:val="78952242"/>
    <w:rsid w:val="789B39A0"/>
    <w:rsid w:val="789E76CF"/>
    <w:rsid w:val="78A145F5"/>
    <w:rsid w:val="78AA3F51"/>
    <w:rsid w:val="78B524CF"/>
    <w:rsid w:val="78BD0967"/>
    <w:rsid w:val="78C23653"/>
    <w:rsid w:val="78D12565"/>
    <w:rsid w:val="78DA1C3D"/>
    <w:rsid w:val="78E462CD"/>
    <w:rsid w:val="78EB43FF"/>
    <w:rsid w:val="78F15E69"/>
    <w:rsid w:val="78F81C4F"/>
    <w:rsid w:val="7900097B"/>
    <w:rsid w:val="790B10BC"/>
    <w:rsid w:val="790B438C"/>
    <w:rsid w:val="790F7A2D"/>
    <w:rsid w:val="791671B8"/>
    <w:rsid w:val="792140B5"/>
    <w:rsid w:val="79266F37"/>
    <w:rsid w:val="792A5234"/>
    <w:rsid w:val="792D354E"/>
    <w:rsid w:val="79423C51"/>
    <w:rsid w:val="794763F5"/>
    <w:rsid w:val="795003F5"/>
    <w:rsid w:val="79523285"/>
    <w:rsid w:val="79715576"/>
    <w:rsid w:val="797C0D19"/>
    <w:rsid w:val="79865FDF"/>
    <w:rsid w:val="79890B96"/>
    <w:rsid w:val="799B117E"/>
    <w:rsid w:val="799E3BCF"/>
    <w:rsid w:val="799F5D05"/>
    <w:rsid w:val="79AF133D"/>
    <w:rsid w:val="79AF1848"/>
    <w:rsid w:val="79B02C09"/>
    <w:rsid w:val="79B52B5A"/>
    <w:rsid w:val="79BE070B"/>
    <w:rsid w:val="79BF39D0"/>
    <w:rsid w:val="79C31953"/>
    <w:rsid w:val="79C638A9"/>
    <w:rsid w:val="79C8618A"/>
    <w:rsid w:val="79CB032D"/>
    <w:rsid w:val="79CB4BBC"/>
    <w:rsid w:val="79CB5625"/>
    <w:rsid w:val="79CC372C"/>
    <w:rsid w:val="79CE7261"/>
    <w:rsid w:val="79D9569F"/>
    <w:rsid w:val="79E76D09"/>
    <w:rsid w:val="79EB2375"/>
    <w:rsid w:val="79EE001C"/>
    <w:rsid w:val="79F04CFB"/>
    <w:rsid w:val="79F149EB"/>
    <w:rsid w:val="79F36D6B"/>
    <w:rsid w:val="79FA64BF"/>
    <w:rsid w:val="7A027752"/>
    <w:rsid w:val="7A0A49D3"/>
    <w:rsid w:val="7A0C4680"/>
    <w:rsid w:val="7A0E0ABD"/>
    <w:rsid w:val="7A1840D2"/>
    <w:rsid w:val="7A190049"/>
    <w:rsid w:val="7A1C7DE8"/>
    <w:rsid w:val="7A1F7DF6"/>
    <w:rsid w:val="7A212261"/>
    <w:rsid w:val="7A276574"/>
    <w:rsid w:val="7A2E371B"/>
    <w:rsid w:val="7A353FD1"/>
    <w:rsid w:val="7A366FED"/>
    <w:rsid w:val="7A3E691E"/>
    <w:rsid w:val="7A462215"/>
    <w:rsid w:val="7A4B67B4"/>
    <w:rsid w:val="7A59580D"/>
    <w:rsid w:val="7A674515"/>
    <w:rsid w:val="7A712457"/>
    <w:rsid w:val="7A721C32"/>
    <w:rsid w:val="7A731B14"/>
    <w:rsid w:val="7A8B661C"/>
    <w:rsid w:val="7A90387A"/>
    <w:rsid w:val="7A935390"/>
    <w:rsid w:val="7A961FFF"/>
    <w:rsid w:val="7A9F5BE9"/>
    <w:rsid w:val="7A9F712D"/>
    <w:rsid w:val="7AA04949"/>
    <w:rsid w:val="7AB5604A"/>
    <w:rsid w:val="7AB843F1"/>
    <w:rsid w:val="7AC43B2E"/>
    <w:rsid w:val="7ACA16FA"/>
    <w:rsid w:val="7ACE33A1"/>
    <w:rsid w:val="7AD73E44"/>
    <w:rsid w:val="7ADC3929"/>
    <w:rsid w:val="7AE47E88"/>
    <w:rsid w:val="7AEB0EBE"/>
    <w:rsid w:val="7AED4614"/>
    <w:rsid w:val="7B05525D"/>
    <w:rsid w:val="7B07247F"/>
    <w:rsid w:val="7B075640"/>
    <w:rsid w:val="7B07586F"/>
    <w:rsid w:val="7B0B074F"/>
    <w:rsid w:val="7B153955"/>
    <w:rsid w:val="7B177501"/>
    <w:rsid w:val="7B1D34EE"/>
    <w:rsid w:val="7B235AB7"/>
    <w:rsid w:val="7B235E2A"/>
    <w:rsid w:val="7B2A1BBF"/>
    <w:rsid w:val="7B502852"/>
    <w:rsid w:val="7B6739A2"/>
    <w:rsid w:val="7B6D03EE"/>
    <w:rsid w:val="7B8B252D"/>
    <w:rsid w:val="7BA1434B"/>
    <w:rsid w:val="7BA64F4D"/>
    <w:rsid w:val="7BAA7813"/>
    <w:rsid w:val="7BB313BA"/>
    <w:rsid w:val="7BB45585"/>
    <w:rsid w:val="7BB80C60"/>
    <w:rsid w:val="7BC1301F"/>
    <w:rsid w:val="7BC535B4"/>
    <w:rsid w:val="7BC60BA0"/>
    <w:rsid w:val="7BC65DA7"/>
    <w:rsid w:val="7BCA0E41"/>
    <w:rsid w:val="7BCA4FC8"/>
    <w:rsid w:val="7BD45EE7"/>
    <w:rsid w:val="7BD57BC8"/>
    <w:rsid w:val="7BE0423E"/>
    <w:rsid w:val="7BE42767"/>
    <w:rsid w:val="7BE70D20"/>
    <w:rsid w:val="7BED22DE"/>
    <w:rsid w:val="7BF80427"/>
    <w:rsid w:val="7C105E9C"/>
    <w:rsid w:val="7C1267F3"/>
    <w:rsid w:val="7C1D3B11"/>
    <w:rsid w:val="7C2121FD"/>
    <w:rsid w:val="7C284371"/>
    <w:rsid w:val="7C2F2EBB"/>
    <w:rsid w:val="7C2F38F8"/>
    <w:rsid w:val="7C3C3082"/>
    <w:rsid w:val="7C541685"/>
    <w:rsid w:val="7C5E43E9"/>
    <w:rsid w:val="7C7D5B37"/>
    <w:rsid w:val="7C7E7E53"/>
    <w:rsid w:val="7C891E75"/>
    <w:rsid w:val="7C9371B8"/>
    <w:rsid w:val="7C94357A"/>
    <w:rsid w:val="7C973EB6"/>
    <w:rsid w:val="7CA1607C"/>
    <w:rsid w:val="7CA36EA9"/>
    <w:rsid w:val="7CA45F2B"/>
    <w:rsid w:val="7CAC0E50"/>
    <w:rsid w:val="7CB0482F"/>
    <w:rsid w:val="7CB400C2"/>
    <w:rsid w:val="7CB76D9A"/>
    <w:rsid w:val="7CBA419A"/>
    <w:rsid w:val="7CCC5969"/>
    <w:rsid w:val="7CD12DB7"/>
    <w:rsid w:val="7CD632F2"/>
    <w:rsid w:val="7CDA1ADA"/>
    <w:rsid w:val="7CDB6CB2"/>
    <w:rsid w:val="7CE16AB8"/>
    <w:rsid w:val="7CE8229A"/>
    <w:rsid w:val="7CE96267"/>
    <w:rsid w:val="7CEA2CD8"/>
    <w:rsid w:val="7CF5330D"/>
    <w:rsid w:val="7D021071"/>
    <w:rsid w:val="7D021E01"/>
    <w:rsid w:val="7D042F1B"/>
    <w:rsid w:val="7D04622B"/>
    <w:rsid w:val="7D0A6BB3"/>
    <w:rsid w:val="7D167A02"/>
    <w:rsid w:val="7D167FBF"/>
    <w:rsid w:val="7D17743C"/>
    <w:rsid w:val="7D21396C"/>
    <w:rsid w:val="7D2A340E"/>
    <w:rsid w:val="7D350089"/>
    <w:rsid w:val="7D3E542E"/>
    <w:rsid w:val="7D491930"/>
    <w:rsid w:val="7D4967F2"/>
    <w:rsid w:val="7D4E23AF"/>
    <w:rsid w:val="7D607B2E"/>
    <w:rsid w:val="7D6119E2"/>
    <w:rsid w:val="7D6767DF"/>
    <w:rsid w:val="7D694211"/>
    <w:rsid w:val="7D7442A5"/>
    <w:rsid w:val="7D746DB5"/>
    <w:rsid w:val="7D7651BA"/>
    <w:rsid w:val="7D7E7D3D"/>
    <w:rsid w:val="7D82432E"/>
    <w:rsid w:val="7D8B66FB"/>
    <w:rsid w:val="7D8E49DB"/>
    <w:rsid w:val="7DA5098E"/>
    <w:rsid w:val="7DA80C28"/>
    <w:rsid w:val="7DA94E5F"/>
    <w:rsid w:val="7DB93D52"/>
    <w:rsid w:val="7DCA4A36"/>
    <w:rsid w:val="7DD934C7"/>
    <w:rsid w:val="7DE2711A"/>
    <w:rsid w:val="7DE9302F"/>
    <w:rsid w:val="7DE959C9"/>
    <w:rsid w:val="7DE96DFF"/>
    <w:rsid w:val="7DEA3D33"/>
    <w:rsid w:val="7DEA7D80"/>
    <w:rsid w:val="7DF12252"/>
    <w:rsid w:val="7DF44DBE"/>
    <w:rsid w:val="7DF82D64"/>
    <w:rsid w:val="7DFA2BDF"/>
    <w:rsid w:val="7DFB742C"/>
    <w:rsid w:val="7E001183"/>
    <w:rsid w:val="7E0568B6"/>
    <w:rsid w:val="7E0F7BAF"/>
    <w:rsid w:val="7E127417"/>
    <w:rsid w:val="7E16091C"/>
    <w:rsid w:val="7E1909CE"/>
    <w:rsid w:val="7E1A6FE6"/>
    <w:rsid w:val="7E257A56"/>
    <w:rsid w:val="7E2B6453"/>
    <w:rsid w:val="7E301682"/>
    <w:rsid w:val="7E3A582C"/>
    <w:rsid w:val="7E3B69CA"/>
    <w:rsid w:val="7E3D2872"/>
    <w:rsid w:val="7E55235F"/>
    <w:rsid w:val="7E567529"/>
    <w:rsid w:val="7E5824B9"/>
    <w:rsid w:val="7E6376C3"/>
    <w:rsid w:val="7E701BD1"/>
    <w:rsid w:val="7E7F69A5"/>
    <w:rsid w:val="7E8810A1"/>
    <w:rsid w:val="7E8E3E72"/>
    <w:rsid w:val="7E905962"/>
    <w:rsid w:val="7E910654"/>
    <w:rsid w:val="7E910D34"/>
    <w:rsid w:val="7EA204DE"/>
    <w:rsid w:val="7EA46710"/>
    <w:rsid w:val="7EA96C28"/>
    <w:rsid w:val="7EAA6E4C"/>
    <w:rsid w:val="7EAF4666"/>
    <w:rsid w:val="7EB61DFA"/>
    <w:rsid w:val="7EBB0492"/>
    <w:rsid w:val="7EBC65B2"/>
    <w:rsid w:val="7EC974D4"/>
    <w:rsid w:val="7ED10EFF"/>
    <w:rsid w:val="7ED42915"/>
    <w:rsid w:val="7ED55CE0"/>
    <w:rsid w:val="7EDC11FC"/>
    <w:rsid w:val="7EDC302D"/>
    <w:rsid w:val="7EE67B81"/>
    <w:rsid w:val="7EEB369A"/>
    <w:rsid w:val="7EEF751A"/>
    <w:rsid w:val="7F0A1444"/>
    <w:rsid w:val="7F18167D"/>
    <w:rsid w:val="7F1B2DEB"/>
    <w:rsid w:val="7F204883"/>
    <w:rsid w:val="7F223E31"/>
    <w:rsid w:val="7F276DB3"/>
    <w:rsid w:val="7F377A32"/>
    <w:rsid w:val="7F3F6AAB"/>
    <w:rsid w:val="7F4238C7"/>
    <w:rsid w:val="7F424026"/>
    <w:rsid w:val="7F4278B6"/>
    <w:rsid w:val="7F46274B"/>
    <w:rsid w:val="7F464BB1"/>
    <w:rsid w:val="7F481F3D"/>
    <w:rsid w:val="7F512BB6"/>
    <w:rsid w:val="7F523052"/>
    <w:rsid w:val="7F551325"/>
    <w:rsid w:val="7F56566D"/>
    <w:rsid w:val="7F5A5DF6"/>
    <w:rsid w:val="7F5D2F1C"/>
    <w:rsid w:val="7F6044B0"/>
    <w:rsid w:val="7F685B89"/>
    <w:rsid w:val="7F706AAB"/>
    <w:rsid w:val="7F726811"/>
    <w:rsid w:val="7F773FA9"/>
    <w:rsid w:val="7F875EE1"/>
    <w:rsid w:val="7F996613"/>
    <w:rsid w:val="7FA35A91"/>
    <w:rsid w:val="7FAC1EC8"/>
    <w:rsid w:val="7FAE25DC"/>
    <w:rsid w:val="7FB00778"/>
    <w:rsid w:val="7FB317CE"/>
    <w:rsid w:val="7FB8387B"/>
    <w:rsid w:val="7FC55AFE"/>
    <w:rsid w:val="7FCF3CDB"/>
    <w:rsid w:val="7FDA6ECC"/>
    <w:rsid w:val="7FE54D2C"/>
    <w:rsid w:val="7FE726DA"/>
    <w:rsid w:val="7FEC77D3"/>
    <w:rsid w:val="7FF01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ind w:firstLine="880" w:firstLineChars="200"/>
      <w:jc w:val="both"/>
    </w:pPr>
    <w:rPr>
      <w:rFonts w:ascii="Calibri" w:hAnsi="Calibri" w:eastAsia="宋体" w:cs="宋体"/>
      <w:kern w:val="2"/>
      <w:sz w:val="21"/>
      <w:szCs w:val="21"/>
      <w:lang w:val="en-US" w:eastAsia="zh-CN" w:bidi="ar-SA"/>
    </w:rPr>
  </w:style>
  <w:style w:type="paragraph" w:styleId="2">
    <w:name w:val="heading 1"/>
    <w:basedOn w:val="1"/>
    <w:next w:val="1"/>
    <w:link w:val="31"/>
    <w:qFormat/>
    <w:uiPriority w:val="0"/>
    <w:pPr>
      <w:keepNext/>
      <w:keepLines/>
      <w:spacing w:line="360" w:lineRule="auto"/>
      <w:ind w:firstLine="0" w:firstLineChars="0"/>
      <w:jc w:val="center"/>
      <w:outlineLvl w:val="0"/>
    </w:pPr>
    <w:rPr>
      <w:rFonts w:ascii="黑体" w:hAnsi="黑体" w:eastAsia="黑体" w:cs="黑体"/>
      <w:kern w:val="44"/>
      <w:sz w:val="30"/>
      <w:szCs w:val="30"/>
    </w:rPr>
  </w:style>
  <w:style w:type="paragraph" w:styleId="3">
    <w:name w:val="heading 2"/>
    <w:basedOn w:val="1"/>
    <w:next w:val="1"/>
    <w:link w:val="38"/>
    <w:qFormat/>
    <w:uiPriority w:val="0"/>
    <w:pPr>
      <w:keepNext/>
      <w:keepLines/>
      <w:spacing w:line="360" w:lineRule="auto"/>
      <w:ind w:firstLine="0" w:firstLineChars="0"/>
      <w:outlineLvl w:val="1"/>
    </w:pPr>
    <w:rPr>
      <w:rFonts w:ascii="黑体" w:hAnsi="黑体" w:eastAsia="黑体" w:cs="黑体"/>
      <w:sz w:val="28"/>
      <w:szCs w:val="28"/>
    </w:rPr>
  </w:style>
  <w:style w:type="paragraph" w:styleId="4">
    <w:name w:val="heading 3"/>
    <w:basedOn w:val="1"/>
    <w:next w:val="1"/>
    <w:link w:val="34"/>
    <w:qFormat/>
    <w:uiPriority w:val="0"/>
    <w:pPr>
      <w:spacing w:line="360" w:lineRule="auto"/>
      <w:ind w:firstLine="0" w:firstLineChars="0"/>
      <w:jc w:val="left"/>
      <w:outlineLvl w:val="2"/>
    </w:pPr>
    <w:rPr>
      <w:rFonts w:hint="eastAsia" w:ascii="黑体" w:hAnsi="黑体" w:eastAsia="黑体" w:cs="黑体"/>
      <w:kern w:val="0"/>
      <w:sz w:val="24"/>
      <w:szCs w:val="24"/>
    </w:rPr>
  </w:style>
  <w:style w:type="character" w:default="1" w:styleId="24">
    <w:name w:val="Default Paragraph Font"/>
    <w:unhideWhenUsed/>
    <w:qFormat/>
    <w:uiPriority w:val="1"/>
  </w:style>
  <w:style w:type="table" w:default="1" w:styleId="29">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qFormat/>
    <w:uiPriority w:val="39"/>
    <w:pPr>
      <w:ind w:left="2520" w:leftChars="1200"/>
    </w:pPr>
    <w:rPr>
      <w:rFonts w:eastAsia="微软雅黑"/>
      <w:sz w:val="24"/>
    </w:rPr>
  </w:style>
  <w:style w:type="paragraph" w:styleId="6">
    <w:name w:val="Document Map"/>
    <w:basedOn w:val="1"/>
    <w:link w:val="37"/>
    <w:qFormat/>
    <w:uiPriority w:val="0"/>
    <w:rPr>
      <w:rFonts w:ascii="宋体"/>
      <w:sz w:val="18"/>
      <w:szCs w:val="18"/>
    </w:rPr>
  </w:style>
  <w:style w:type="paragraph" w:styleId="7">
    <w:name w:val="Block Text"/>
    <w:basedOn w:val="1"/>
    <w:qFormat/>
    <w:uiPriority w:val="0"/>
    <w:pPr>
      <w:spacing w:line="480" w:lineRule="exact"/>
      <w:ind w:left="630" w:right="1091" w:firstLine="630"/>
    </w:pPr>
    <w:rPr>
      <w:rFonts w:ascii="仿宋_GB2312" w:eastAsia="仿宋_GB2312"/>
      <w:b/>
      <w:sz w:val="28"/>
    </w:rPr>
  </w:style>
  <w:style w:type="paragraph" w:styleId="8">
    <w:name w:val="toc 5"/>
    <w:basedOn w:val="1"/>
    <w:next w:val="1"/>
    <w:qFormat/>
    <w:uiPriority w:val="39"/>
    <w:pPr>
      <w:ind w:left="1680" w:leftChars="800"/>
    </w:pPr>
  </w:style>
  <w:style w:type="paragraph" w:styleId="9">
    <w:name w:val="toc 3"/>
    <w:basedOn w:val="1"/>
    <w:next w:val="1"/>
    <w:qFormat/>
    <w:uiPriority w:val="39"/>
    <w:pPr>
      <w:ind w:left="960" w:leftChars="400"/>
    </w:pPr>
  </w:style>
  <w:style w:type="paragraph" w:styleId="10">
    <w:name w:val="toc 8"/>
    <w:basedOn w:val="1"/>
    <w:next w:val="1"/>
    <w:qFormat/>
    <w:uiPriority w:val="39"/>
    <w:pPr>
      <w:ind w:left="2940" w:leftChars="1400"/>
    </w:pPr>
  </w:style>
  <w:style w:type="paragraph" w:styleId="11">
    <w:name w:val="Body Text Indent 2"/>
    <w:basedOn w:val="1"/>
    <w:qFormat/>
    <w:uiPriority w:val="0"/>
    <w:pPr>
      <w:ind w:firstLine="540" w:firstLineChars="257"/>
    </w:pPr>
  </w:style>
  <w:style w:type="paragraph" w:styleId="12">
    <w:name w:val="Balloon Text"/>
    <w:basedOn w:val="1"/>
    <w:link w:val="32"/>
    <w:qFormat/>
    <w:uiPriority w:val="0"/>
    <w:pPr>
      <w:spacing w:line="240" w:lineRule="auto"/>
    </w:pPr>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39"/>
  </w:style>
  <w:style w:type="paragraph" w:styleId="16">
    <w:name w:val="toc 4"/>
    <w:basedOn w:val="1"/>
    <w:next w:val="1"/>
    <w:qFormat/>
    <w:uiPriority w:val="39"/>
    <w:pPr>
      <w:ind w:left="1260" w:leftChars="600"/>
    </w:pPr>
  </w:style>
  <w:style w:type="paragraph" w:styleId="17">
    <w:name w:val="Subtitle"/>
    <w:basedOn w:val="1"/>
    <w:next w:val="1"/>
    <w:qFormat/>
    <w:uiPriority w:val="0"/>
    <w:pPr>
      <w:spacing w:line="312" w:lineRule="auto"/>
      <w:jc w:val="center"/>
      <w:outlineLvl w:val="1"/>
    </w:pPr>
    <w:rPr>
      <w:rFonts w:ascii="Cambria" w:hAnsi="Cambria"/>
      <w:b/>
      <w:bCs/>
      <w:kern w:val="28"/>
      <w:sz w:val="32"/>
      <w:szCs w:val="32"/>
    </w:rPr>
  </w:style>
  <w:style w:type="paragraph" w:styleId="18">
    <w:name w:val="toc 6"/>
    <w:basedOn w:val="1"/>
    <w:next w:val="1"/>
    <w:qFormat/>
    <w:uiPriority w:val="39"/>
    <w:pPr>
      <w:ind w:left="2100" w:leftChars="1000"/>
    </w:pPr>
  </w:style>
  <w:style w:type="paragraph" w:styleId="19">
    <w:name w:val="Body Text Indent 3"/>
    <w:basedOn w:val="1"/>
    <w:next w:val="1"/>
    <w:link w:val="41"/>
    <w:qFormat/>
    <w:uiPriority w:val="0"/>
    <w:pPr>
      <w:spacing w:line="300" w:lineRule="exact"/>
      <w:ind w:firstLine="0" w:firstLineChars="0"/>
      <w:jc w:val="center"/>
    </w:pPr>
    <w:rPr>
      <w:sz w:val="18"/>
    </w:rPr>
  </w:style>
  <w:style w:type="paragraph" w:styleId="20">
    <w:name w:val="toc 2"/>
    <w:basedOn w:val="1"/>
    <w:next w:val="1"/>
    <w:qFormat/>
    <w:uiPriority w:val="39"/>
    <w:pPr>
      <w:ind w:left="480" w:leftChars="200"/>
    </w:pPr>
  </w:style>
  <w:style w:type="paragraph" w:styleId="21">
    <w:name w:val="toc 9"/>
    <w:basedOn w:val="1"/>
    <w:next w:val="1"/>
    <w:qFormat/>
    <w:uiPriority w:val="39"/>
    <w:pPr>
      <w:ind w:left="3360" w:leftChars="1600"/>
    </w:pPr>
  </w:style>
  <w:style w:type="paragraph" w:styleId="22">
    <w:name w:val="Normal (Web)"/>
    <w:basedOn w:val="1"/>
    <w:qFormat/>
    <w:uiPriority w:val="0"/>
  </w:style>
  <w:style w:type="paragraph" w:styleId="23">
    <w:name w:val="Title"/>
    <w:basedOn w:val="1"/>
    <w:next w:val="1"/>
    <w:link w:val="35"/>
    <w:qFormat/>
    <w:uiPriority w:val="0"/>
    <w:pPr>
      <w:spacing w:before="240" w:after="60"/>
      <w:jc w:val="center"/>
      <w:outlineLvl w:val="0"/>
    </w:pPr>
    <w:rPr>
      <w:rFonts w:asciiTheme="majorHAnsi" w:hAnsiTheme="majorHAnsi" w:cstheme="majorBidi"/>
      <w:b/>
      <w:bCs/>
      <w:sz w:val="32"/>
      <w:szCs w:val="32"/>
    </w:rPr>
  </w:style>
  <w:style w:type="character" w:styleId="25">
    <w:name w:val="Strong"/>
    <w:basedOn w:val="24"/>
    <w:qFormat/>
    <w:uiPriority w:val="0"/>
    <w:rPr>
      <w:b/>
    </w:rPr>
  </w:style>
  <w:style w:type="character" w:styleId="26">
    <w:name w:val="FollowedHyperlink"/>
    <w:basedOn w:val="24"/>
    <w:qFormat/>
    <w:uiPriority w:val="0"/>
    <w:rPr>
      <w:color w:val="66AECC"/>
      <w:u w:val="single"/>
    </w:rPr>
  </w:style>
  <w:style w:type="character" w:styleId="27">
    <w:name w:val="Hyperlink"/>
    <w:basedOn w:val="24"/>
    <w:qFormat/>
    <w:uiPriority w:val="99"/>
    <w:rPr>
      <w:color w:val="006699"/>
      <w:u w:val="single"/>
    </w:rPr>
  </w:style>
  <w:style w:type="character" w:styleId="28">
    <w:name w:val="HTML Code"/>
    <w:basedOn w:val="24"/>
    <w:qFormat/>
    <w:uiPriority w:val="0"/>
    <w:rPr>
      <w:rFonts w:ascii="Courier New" w:hAnsi="Courier New" w:cs="Courier New"/>
      <w:sz w:val="24"/>
      <w:szCs w:val="24"/>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1">
    <w:name w:val="标题 1 Char"/>
    <w:link w:val="2"/>
    <w:qFormat/>
    <w:uiPriority w:val="0"/>
    <w:rPr>
      <w:rFonts w:ascii="黑体" w:hAnsi="黑体" w:eastAsia="黑体" w:cs="黑体"/>
      <w:kern w:val="44"/>
      <w:sz w:val="30"/>
      <w:szCs w:val="30"/>
    </w:rPr>
  </w:style>
  <w:style w:type="character" w:customStyle="1" w:styleId="32">
    <w:name w:val="批注框文本 Char"/>
    <w:basedOn w:val="24"/>
    <w:link w:val="12"/>
    <w:qFormat/>
    <w:uiPriority w:val="0"/>
    <w:rPr>
      <w:rFonts w:ascii="Calibri" w:hAnsi="Calibri"/>
      <w:kern w:val="2"/>
      <w:sz w:val="18"/>
      <w:szCs w:val="18"/>
    </w:rPr>
  </w:style>
  <w:style w:type="paragraph" w:customStyle="1" w:styleId="33">
    <w:name w:val="列出段落1"/>
    <w:basedOn w:val="1"/>
    <w:qFormat/>
    <w:uiPriority w:val="99"/>
    <w:pPr>
      <w:ind w:firstLine="420"/>
    </w:pPr>
  </w:style>
  <w:style w:type="character" w:customStyle="1" w:styleId="34">
    <w:name w:val="标题 3 Char"/>
    <w:basedOn w:val="24"/>
    <w:link w:val="4"/>
    <w:qFormat/>
    <w:uiPriority w:val="0"/>
    <w:rPr>
      <w:rFonts w:ascii="黑体" w:hAnsi="黑体" w:eastAsia="黑体" w:cs="黑体"/>
      <w:sz w:val="24"/>
      <w:szCs w:val="24"/>
    </w:rPr>
  </w:style>
  <w:style w:type="character" w:customStyle="1" w:styleId="35">
    <w:name w:val="标题 Char"/>
    <w:basedOn w:val="24"/>
    <w:link w:val="23"/>
    <w:qFormat/>
    <w:uiPriority w:val="0"/>
    <w:rPr>
      <w:rFonts w:asciiTheme="majorHAnsi" w:hAnsiTheme="majorHAnsi" w:cstheme="majorBidi"/>
      <w:b/>
      <w:bCs/>
      <w:kern w:val="2"/>
      <w:sz w:val="32"/>
      <w:szCs w:val="32"/>
    </w:rPr>
  </w:style>
  <w:style w:type="character" w:customStyle="1" w:styleId="36">
    <w:name w:val="占位符文本1"/>
    <w:basedOn w:val="24"/>
    <w:unhideWhenUsed/>
    <w:qFormat/>
    <w:uiPriority w:val="99"/>
    <w:rPr>
      <w:color w:val="808080"/>
    </w:rPr>
  </w:style>
  <w:style w:type="character" w:customStyle="1" w:styleId="37">
    <w:name w:val="文档结构图 Char"/>
    <w:basedOn w:val="24"/>
    <w:link w:val="6"/>
    <w:qFormat/>
    <w:uiPriority w:val="0"/>
    <w:rPr>
      <w:rFonts w:ascii="宋体" w:hAnsi="Calibri"/>
      <w:kern w:val="2"/>
      <w:sz w:val="18"/>
      <w:szCs w:val="18"/>
    </w:rPr>
  </w:style>
  <w:style w:type="character" w:customStyle="1" w:styleId="38">
    <w:name w:val="标题 2 Char"/>
    <w:basedOn w:val="24"/>
    <w:link w:val="3"/>
    <w:qFormat/>
    <w:uiPriority w:val="0"/>
    <w:rPr>
      <w:rFonts w:ascii="黑体" w:hAnsi="黑体" w:eastAsia="黑体" w:cs="黑体"/>
      <w:kern w:val="2"/>
      <w:sz w:val="28"/>
      <w:szCs w:val="28"/>
    </w:rPr>
  </w:style>
  <w:style w:type="character" w:customStyle="1" w:styleId="39">
    <w:name w:val="不明显强调1"/>
    <w:basedOn w:val="24"/>
    <w:qFormat/>
    <w:uiPriority w:val="19"/>
    <w:rPr>
      <w:i/>
      <w:iCs/>
      <w:color w:val="7F7F7F" w:themeColor="text1" w:themeTint="7F"/>
    </w:rPr>
  </w:style>
  <w:style w:type="paragraph" w:customStyle="1" w:styleId="40">
    <w:name w:val="p0"/>
    <w:basedOn w:val="1"/>
    <w:qFormat/>
    <w:uiPriority w:val="0"/>
    <w:pPr>
      <w:widowControl/>
    </w:pPr>
    <w:rPr>
      <w:rFonts w:ascii="Times New Roman" w:hAnsi="Times New Roman"/>
      <w:kern w:val="0"/>
    </w:rPr>
  </w:style>
  <w:style w:type="character" w:customStyle="1" w:styleId="41">
    <w:name w:val="正文文本缩进 3 Char"/>
    <w:link w:val="19"/>
    <w:qFormat/>
    <w:uiPriority w:val="0"/>
    <w:rPr>
      <w:rFonts w:eastAsia="宋体"/>
      <w:sz w:val="18"/>
    </w:rPr>
  </w:style>
  <w:style w:type="paragraph" w:customStyle="1" w:styleId="42">
    <w:name w:val="列出段落2"/>
    <w:basedOn w:val="1"/>
    <w:qFormat/>
    <w:uiPriority w:val="99"/>
    <w:pPr>
      <w:ind w:firstLine="42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bin"/><Relationship Id="rId98" Type="http://schemas.openxmlformats.org/officeDocument/2006/relationships/image" Target="media/image84.png"/><Relationship Id="rId97" Type="http://schemas.openxmlformats.org/officeDocument/2006/relationships/oleObject" Target="embeddings/oleObject3.bin"/><Relationship Id="rId96" Type="http://schemas.openxmlformats.org/officeDocument/2006/relationships/image" Target="media/image83.png"/><Relationship Id="rId95" Type="http://schemas.openxmlformats.org/officeDocument/2006/relationships/oleObject" Target="embeddings/oleObject2.bin"/><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oleObject" Target="embeddings/oleObject1.bin"/><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header" Target="header4.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9" Type="http://schemas.openxmlformats.org/officeDocument/2006/relationships/fontTable" Target="fontTable.xml"/><Relationship Id="rId118" Type="http://schemas.openxmlformats.org/officeDocument/2006/relationships/customXml" Target="../customXml/item2.xml"/><Relationship Id="rId117" Type="http://schemas.openxmlformats.org/officeDocument/2006/relationships/customXml" Target="../customXml/item1.xml"/><Relationship Id="rId116" Type="http://schemas.openxmlformats.org/officeDocument/2006/relationships/image" Target="media/image100.png"/><Relationship Id="rId115" Type="http://schemas.openxmlformats.org/officeDocument/2006/relationships/image" Target="media/image99.png"/><Relationship Id="rId114" Type="http://schemas.openxmlformats.org/officeDocument/2006/relationships/image" Target="media/image98.png"/><Relationship Id="rId113" Type="http://schemas.openxmlformats.org/officeDocument/2006/relationships/image" Target="media/image97.png"/><Relationship Id="rId112" Type="http://schemas.openxmlformats.org/officeDocument/2006/relationships/image" Target="media/image96.png"/><Relationship Id="rId111" Type="http://schemas.openxmlformats.org/officeDocument/2006/relationships/image" Target="media/image95.png"/><Relationship Id="rId110" Type="http://schemas.openxmlformats.org/officeDocument/2006/relationships/image" Target="media/image94.png"/><Relationship Id="rId11" Type="http://schemas.openxmlformats.org/officeDocument/2006/relationships/footer" Target="footer5.xml"/><Relationship Id="rId109" Type="http://schemas.openxmlformats.org/officeDocument/2006/relationships/image" Target="media/image93.png"/><Relationship Id="rId108" Type="http://schemas.openxmlformats.org/officeDocument/2006/relationships/image" Target="media/image92.png"/><Relationship Id="rId107" Type="http://schemas.openxmlformats.org/officeDocument/2006/relationships/image" Target="media/image91.png"/><Relationship Id="rId106" Type="http://schemas.openxmlformats.org/officeDocument/2006/relationships/image" Target="media/image90.png"/><Relationship Id="rId105" Type="http://schemas.openxmlformats.org/officeDocument/2006/relationships/image" Target="media/image89.png"/><Relationship Id="rId104" Type="http://schemas.openxmlformats.org/officeDocument/2006/relationships/image" Target="media/image88.png"/><Relationship Id="rId103" Type="http://schemas.openxmlformats.org/officeDocument/2006/relationships/image" Target="media/image87.png"/><Relationship Id="rId102" Type="http://schemas.openxmlformats.org/officeDocument/2006/relationships/image" Target="media/image86.png"/><Relationship Id="rId101" Type="http://schemas.openxmlformats.org/officeDocument/2006/relationships/oleObject" Target="embeddings/oleObject5.bin"/><Relationship Id="rId100" Type="http://schemas.openxmlformats.org/officeDocument/2006/relationships/image" Target="media/image85.png"/><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2" Type="http://schemas.openxmlformats.org/officeDocument/2006/relationships/image" Target="file:///C:\Users\Administrator\AppData\Roaming\Tencent\Users\964108982\QQ\WinTemp\RichOle\AZ7WM5D@(QEQ9%7BVBTO_9X%7BM.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116"/>
    <customShpInfo spid="_x0000_s4119"/>
    <customShpInfo spid="_x0000_s4118"/>
    <customShpInfo spid="_x0000_s412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9A2DC7-EEE1-4483-A5C6-0CF21D218CF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3355</Words>
  <Characters>19130</Characters>
  <Lines>159</Lines>
  <Paragraphs>44</Paragraphs>
  <ScaleCrop>false</ScaleCrop>
  <LinksUpToDate>false</LinksUpToDate>
  <CharactersWithSpaces>22441</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2017-07-13T05:06:00Z</dcterms:created>
  <dc:creator>Administrator</dc:creator>
  <cp:lastModifiedBy>Administrator</cp:lastModifiedBy>
  <cp:lastPrinted>2016-11-01T03:41:00Z</cp:lastPrinted>
  <dcterms:modified xsi:type="dcterms:W3CDTF">2017-09-27T01:18:50Z</dcterms:modified>
  <cp:revision>1167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