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16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4"/>
          <w:szCs w:val="1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572000" cy="68326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83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LY/T 1229-1999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60" w:lineRule="exact"/>
        <w:rPr>
          <w:sz w:val="24"/>
          <w:szCs w:val="24"/>
          <w:color w:val="auto"/>
        </w:rPr>
      </w:pPr>
    </w:p>
    <w:p>
      <w:pPr>
        <w:jc w:val="center"/>
        <w:ind w:left="2920"/>
        <w:spacing w:after="0" w:line="229" w:lineRule="exact"/>
        <w:tabs>
          <w:tab w:leader="none" w:pos="62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0"/>
          <w:szCs w:val="20"/>
          <w:color w:val="auto"/>
        </w:rPr>
        <w:t>前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20"/>
          <w:szCs w:val="20"/>
          <w:color w:val="auto"/>
        </w:rPr>
        <w:t>言</w:t>
      </w:r>
    </w:p>
    <w:p>
      <w:pPr>
        <w:spacing w:after="0" w:line="232" w:lineRule="exact"/>
        <w:rPr>
          <w:sz w:val="24"/>
          <w:szCs w:val="24"/>
          <w:color w:val="auto"/>
        </w:rPr>
      </w:pPr>
    </w:p>
    <w:p>
      <w:pPr>
        <w:jc w:val="both"/>
        <w:ind w:firstLine="280"/>
        <w:spacing w:after="0" w:line="187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4"/>
          <w:szCs w:val="14"/>
          <w:color w:val="auto"/>
        </w:rPr>
        <w:t>本标准是对 GB/T 7849-1987《森林土镶水解性氮的测定》的修订。在修订中，对不符合国家法定计t单位标准的单位、不符合全国科学名词审定委员会公布的土城学名词的名词予以修改;在编写上，按GB/T 1.1-1993的要求执行。</w:t>
      </w:r>
    </w:p>
    <w:p>
      <w:pPr>
        <w:spacing w:after="0" w:line="81" w:lineRule="exact"/>
        <w:rPr>
          <w:sz w:val="24"/>
          <w:szCs w:val="24"/>
          <w:color w:val="auto"/>
        </w:rPr>
      </w:pPr>
    </w:p>
    <w:p>
      <w:pPr>
        <w:jc w:val="both"/>
        <w:ind w:firstLine="280"/>
        <w:spacing w:after="0" w:line="19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4"/>
          <w:szCs w:val="14"/>
          <w:color w:val="auto"/>
        </w:rPr>
        <w:t>长期以来，国内多用丘林的酸水解法测定土坡水解性氮，该法对有机质含t较高的土壤，测定结果与林木生长有良好的相关性，但对有机质缺乏的土坡，侧定结果不十分理想，对石灰性土坡不合适，而且测定手续萦长。碱解扩散法的碱解、还原、扩散吸收各反应同时进行，操作简便，大批土样的分析速度快，结果的再现性较好，而且与林木孺氮情况有一定的相关性。</w:t>
      </w:r>
    </w:p>
    <w:p>
      <w:pPr>
        <w:spacing w:after="0" w:line="62" w:lineRule="exact"/>
        <w:rPr>
          <w:sz w:val="24"/>
          <w:szCs w:val="24"/>
          <w:color w:val="auto"/>
        </w:rPr>
      </w:pPr>
    </w:p>
    <w:p>
      <w:pPr>
        <w:ind w:left="300"/>
        <w:spacing w:after="0" w:line="16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4"/>
          <w:szCs w:val="14"/>
          <w:color w:val="auto"/>
        </w:rPr>
        <w:t>自本标准实施之日起，原GB/T 7849-1987作废。</w:t>
      </w:r>
    </w:p>
    <w:p>
      <w:pPr>
        <w:spacing w:after="0" w:line="40" w:lineRule="exact"/>
        <w:rPr>
          <w:sz w:val="24"/>
          <w:szCs w:val="24"/>
          <w:color w:val="auto"/>
        </w:rPr>
      </w:pPr>
    </w:p>
    <w:p>
      <w:pPr>
        <w:ind w:left="280"/>
        <w:spacing w:after="0" w:line="16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4"/>
          <w:szCs w:val="14"/>
          <w:color w:val="auto"/>
        </w:rPr>
        <w:t>本标准由中国林业科学研究院林业研究所归口。</w:t>
      </w:r>
    </w:p>
    <w:p>
      <w:pPr>
        <w:spacing w:after="0" w:line="60" w:lineRule="exact"/>
        <w:rPr>
          <w:sz w:val="24"/>
          <w:szCs w:val="24"/>
          <w:color w:val="auto"/>
        </w:rPr>
      </w:pPr>
    </w:p>
    <w:p>
      <w:pPr>
        <w:ind w:left="280"/>
        <w:spacing w:after="0" w:line="16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4"/>
          <w:szCs w:val="14"/>
          <w:color w:val="auto"/>
        </w:rPr>
        <w:t>本标准起草单位:中国林业科学研究院林业研究所森林土坡研究室。</w:t>
      </w:r>
    </w:p>
    <w:p>
      <w:pPr>
        <w:spacing w:after="0" w:line="59" w:lineRule="exact"/>
        <w:rPr>
          <w:sz w:val="24"/>
          <w:szCs w:val="24"/>
          <w:color w:val="auto"/>
        </w:rPr>
      </w:pPr>
    </w:p>
    <w:p>
      <w:pPr>
        <w:ind w:left="280"/>
        <w:spacing w:after="0" w:line="137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2"/>
          <w:szCs w:val="12"/>
          <w:color w:val="auto"/>
        </w:rPr>
        <w:t>本标准主要起草人 :张万儒、杨光遵、屠星南、张萍。</w:t>
      </w:r>
    </w:p>
    <w:p>
      <w:pPr>
        <w:sectPr>
          <w:pgSz w:w="7200" w:h="10760" w:orient="portrait"/>
          <w:cols w:equalWidth="0" w:num="1">
            <w:col w:w="6300"/>
          </w:cols>
          <w:pgMar w:left="640" w:top="1020" w:right="260" w:bottom="1440" w:gutter="0" w:footer="0" w:header="0"/>
        </w:sectPr>
      </w:pPr>
    </w:p>
    <w:bookmarkStart w:id="1" w:name="page2"/>
    <w:bookmarkEnd w:id="1"/>
    <w:p>
      <w:pPr>
        <w:ind w:left="1180"/>
        <w:spacing w:after="0" w:line="20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8"/>
          <w:szCs w:val="18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635500" cy="68707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687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中华人民共和国林业行业标准</w:t>
      </w:r>
    </w:p>
    <w:p>
      <w:pPr>
        <w:ind w:left="1220"/>
        <w:spacing w:after="0" w:line="288" w:lineRule="exact"/>
        <w:tabs>
          <w:tab w:leader="none" w:pos="47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3"/>
          <w:szCs w:val="33"/>
          <w:color w:val="auto"/>
          <w:vertAlign w:val="subscript"/>
        </w:rPr>
        <w:t>森林土壤水解性氮的测定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13"/>
          <w:szCs w:val="13"/>
          <w:color w:val="auto"/>
        </w:rPr>
        <w:t>LY/T 1229-1999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8" w:lineRule="exact"/>
        <w:rPr>
          <w:sz w:val="20"/>
          <w:szCs w:val="20"/>
          <w:color w:val="auto"/>
        </w:rPr>
      </w:pPr>
    </w:p>
    <w:p>
      <w:pPr>
        <w:ind w:left="760"/>
        <w:spacing w:after="0" w:line="137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2"/>
          <w:szCs w:val="12"/>
          <w:color w:val="auto"/>
        </w:rPr>
        <w:t>Determinationofhydrolyzablenitrogen inforestsoil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3" w:lineRule="exact"/>
        <w:rPr>
          <w:sz w:val="20"/>
          <w:szCs w:val="20"/>
          <w:color w:val="auto"/>
        </w:rPr>
      </w:pPr>
    </w:p>
    <w:p>
      <w:pPr>
        <w:ind w:left="240"/>
        <w:spacing w:after="0" w:line="137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2"/>
          <w:szCs w:val="12"/>
          <w:color w:val="auto"/>
        </w:rPr>
        <w:t>范围</w:t>
      </w:r>
    </w:p>
    <w:p>
      <w:pPr>
        <w:spacing w:after="0" w:line="164" w:lineRule="exact"/>
        <w:rPr>
          <w:sz w:val="20"/>
          <w:szCs w:val="20"/>
          <w:color w:val="auto"/>
        </w:rPr>
      </w:pPr>
    </w:p>
    <w:p>
      <w:pPr>
        <w:ind w:left="320"/>
        <w:spacing w:after="0" w:line="16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4"/>
          <w:szCs w:val="14"/>
          <w:color w:val="auto"/>
        </w:rPr>
        <w:t>本标准规定了采用碱解一扩散法测定森林土坡水解性氮的方法。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320"/>
        <w:spacing w:after="0" w:line="16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4"/>
          <w:szCs w:val="14"/>
          <w:color w:val="auto"/>
        </w:rPr>
        <w:t>本标准适用于森林土壤水解性氮的测定。</w:t>
      </w:r>
    </w:p>
    <w:p>
      <w:pPr>
        <w:spacing w:after="0" w:line="159" w:lineRule="exact"/>
        <w:rPr>
          <w:sz w:val="20"/>
          <w:szCs w:val="20"/>
          <w:color w:val="auto"/>
        </w:rPr>
      </w:pPr>
    </w:p>
    <w:p>
      <w:pPr>
        <w:ind w:left="20"/>
        <w:spacing w:after="0" w:line="137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2"/>
          <w:szCs w:val="12"/>
          <w:color w:val="auto"/>
        </w:rPr>
        <w:t>2 引用标准</w:t>
      </w:r>
    </w:p>
    <w:p>
      <w:pPr>
        <w:spacing w:after="0" w:line="184" w:lineRule="exact"/>
        <w:rPr>
          <w:sz w:val="20"/>
          <w:szCs w:val="20"/>
          <w:color w:val="auto"/>
        </w:rPr>
      </w:pPr>
    </w:p>
    <w:p>
      <w:pPr>
        <w:jc w:val="both"/>
        <w:ind w:left="20" w:right="40" w:firstLine="300"/>
        <w:spacing w:after="0" w:line="18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4"/>
          <w:szCs w:val="14"/>
          <w:color w:val="auto"/>
        </w:rPr>
        <w:t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spacing w:after="0" w:line="41" w:lineRule="exact"/>
        <w:rPr>
          <w:sz w:val="20"/>
          <w:szCs w:val="20"/>
          <w:color w:val="auto"/>
        </w:rPr>
      </w:pPr>
    </w:p>
    <w:p>
      <w:pPr>
        <w:ind w:left="300"/>
        <w:spacing w:after="0" w:line="16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4"/>
          <w:szCs w:val="14"/>
          <w:color w:val="auto"/>
        </w:rPr>
        <w:t>LY/T1228-1999 森林土壤全氮的测定</w:t>
      </w:r>
    </w:p>
    <w:p>
      <w:pPr>
        <w:spacing w:after="0" w:line="179" w:lineRule="exact"/>
        <w:rPr>
          <w:sz w:val="20"/>
          <w:szCs w:val="20"/>
          <w:color w:val="auto"/>
        </w:rPr>
      </w:pPr>
    </w:p>
    <w:p>
      <w:pPr>
        <w:ind w:left="20"/>
        <w:spacing w:after="0" w:line="137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2"/>
          <w:szCs w:val="12"/>
          <w:color w:val="auto"/>
        </w:rPr>
        <w:t>3 方法要点</w:t>
      </w:r>
    </w:p>
    <w:p>
      <w:pPr>
        <w:spacing w:after="0" w:line="184" w:lineRule="exact"/>
        <w:rPr>
          <w:sz w:val="20"/>
          <w:szCs w:val="20"/>
          <w:color w:val="auto"/>
        </w:rPr>
      </w:pPr>
    </w:p>
    <w:p>
      <w:pPr>
        <w:jc w:val="both"/>
        <w:ind w:left="20" w:right="40" w:firstLine="280"/>
        <w:spacing w:after="0" w:line="19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4"/>
          <w:szCs w:val="14"/>
          <w:color w:val="auto"/>
        </w:rPr>
        <w:t>用 1.8mol/L氢氧化钠溶液处理土壤，由于森林土壤硝态氮含I较高，须加还原剂还原，在扩散皿中，土壤于碱性条件下进行水解，使易水解态氮经碱解转化为氨态氮，扩散后由硼酸溶液吸收，用标准酸滴定，计算碱解氮的含量.潜育土壤由于硝态氮含量较低，不须加还原剂使其还原，因此氮氧化钠溶液浓度可降低到1.2mol/L,</w:t>
      </w:r>
    </w:p>
    <w:p>
      <w:pPr>
        <w:spacing w:after="0" w:line="181" w:lineRule="exact"/>
        <w:rPr>
          <w:sz w:val="20"/>
          <w:szCs w:val="20"/>
          <w:color w:val="auto"/>
        </w:rPr>
      </w:pPr>
    </w:p>
    <w:p>
      <w:pPr>
        <w:spacing w:after="0" w:line="137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2"/>
          <w:szCs w:val="12"/>
          <w:color w:val="auto"/>
        </w:rPr>
        <w:t>4 试荆</w:t>
      </w:r>
    </w:p>
    <w:p>
      <w:pPr>
        <w:spacing w:after="0" w:line="164" w:lineRule="exact"/>
        <w:rPr>
          <w:sz w:val="20"/>
          <w:szCs w:val="20"/>
          <w:color w:val="auto"/>
        </w:rPr>
      </w:pPr>
    </w:p>
    <w:p>
      <w:pPr>
        <w:ind w:left="20"/>
        <w:spacing w:after="0" w:line="18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6"/>
          <w:szCs w:val="16"/>
          <w:color w:val="auto"/>
        </w:rPr>
        <w:t>4.1 1.8mol/L氢氧化钠溶液:72.0g氢氧化钠(NaOH，分析纯)溶解于水，稀释至1L,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 w:line="16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4"/>
          <w:szCs w:val="14"/>
          <w:color w:val="auto"/>
        </w:rPr>
        <w:t>4.2 1.2mol/L氢氧化钠溶液:48.0g氢氧化钠(NaOH，分析纯)溶解于水，稀释至 IL,</w:t>
      </w:r>
    </w:p>
    <w:p>
      <w:pPr>
        <w:spacing w:after="0" w:line="51" w:lineRule="exact"/>
        <w:rPr>
          <w:sz w:val="20"/>
          <w:szCs w:val="20"/>
          <w:color w:val="auto"/>
        </w:rPr>
      </w:pPr>
    </w:p>
    <w:p>
      <w:pPr>
        <w:spacing w:after="0" w:line="172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5"/>
          <w:szCs w:val="15"/>
          <w:color w:val="auto"/>
        </w:rPr>
        <w:t>4.3 锌一硫酸亚铁还原剂:50.0g磨细并通过。.25mm筛孔的硫酸亚铁(FeSO,"7H,O，化学纯)及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ind w:left="20"/>
        <w:spacing w:after="0" w:line="18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6"/>
          <w:szCs w:val="16"/>
          <w:color w:val="auto"/>
        </w:rPr>
        <w:t>10.0g锌粉(化学纯)混匀，贮于棕色瓶中。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 w:line="16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4"/>
          <w:szCs w:val="14"/>
          <w:color w:val="auto"/>
        </w:rPr>
        <w:t>4.4 碱性胶液:同LY/T 1228-1999中3.2.1,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spacing w:after="0" w:line="16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4"/>
          <w:szCs w:val="14"/>
          <w:color w:val="auto"/>
        </w:rPr>
        <w:t>4.5 0.01mot/L盐酸标准溶液:同LY/T 1228-1999中 3.2.2,</w:t>
      </w:r>
    </w:p>
    <w:p>
      <w:pPr>
        <w:spacing w:after="0" w:line="40" w:lineRule="exact"/>
        <w:rPr>
          <w:sz w:val="20"/>
          <w:szCs w:val="20"/>
          <w:color w:val="auto"/>
        </w:rPr>
      </w:pPr>
    </w:p>
    <w:p>
      <w:pPr>
        <w:spacing w:after="0" w:line="16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4"/>
          <w:szCs w:val="14"/>
          <w:color w:val="auto"/>
        </w:rPr>
        <w:t>4.6 甲基红一澳甲酚绿混合指示剂:同 LY/T 1228-1999中2.2.4,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spacing w:after="0" w:line="16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4"/>
          <w:szCs w:val="14"/>
          <w:color w:val="auto"/>
        </w:rPr>
        <w:t>4.7 20g/L硼酸溶液:同LY/T1228-1999中 2.2.5,</w:t>
      </w:r>
    </w:p>
    <w:p>
      <w:pPr>
        <w:spacing w:after="0" w:line="159" w:lineRule="exact"/>
        <w:rPr>
          <w:sz w:val="20"/>
          <w:szCs w:val="20"/>
          <w:color w:val="auto"/>
        </w:rPr>
      </w:pPr>
    </w:p>
    <w:p>
      <w:pPr>
        <w:spacing w:after="0" w:line="137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2"/>
          <w:szCs w:val="12"/>
          <w:color w:val="auto"/>
        </w:rPr>
        <w:t>5 主要仪器</w:t>
      </w:r>
    </w:p>
    <w:p>
      <w:pPr>
        <w:spacing w:after="0" w:line="183" w:lineRule="exact"/>
        <w:rPr>
          <w:sz w:val="20"/>
          <w:szCs w:val="20"/>
          <w:color w:val="auto"/>
        </w:rPr>
      </w:pPr>
    </w:p>
    <w:p>
      <w:pPr>
        <w:ind w:left="300"/>
        <w:spacing w:after="0" w:line="137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2"/>
          <w:szCs w:val="12"/>
          <w:color w:val="auto"/>
        </w:rPr>
        <w:t>扩散皿(外室 10CM);滴管 (5mL),</w:t>
      </w:r>
    </w:p>
    <w:p>
      <w:pPr>
        <w:spacing w:after="0" w:line="183" w:lineRule="exact"/>
        <w:rPr>
          <w:sz w:val="20"/>
          <w:szCs w:val="20"/>
          <w:color w:val="auto"/>
        </w:rPr>
      </w:pPr>
    </w:p>
    <w:p>
      <w:pPr>
        <w:spacing w:after="0" w:line="137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2"/>
          <w:szCs w:val="12"/>
          <w:color w:val="auto"/>
        </w:rPr>
        <w:t>6 测定步骤</w:t>
      </w:r>
    </w:p>
    <w:p>
      <w:pPr>
        <w:spacing w:after="0" w:line="184" w:lineRule="exact"/>
        <w:rPr>
          <w:sz w:val="20"/>
          <w:szCs w:val="20"/>
          <w:color w:val="auto"/>
        </w:rPr>
      </w:pPr>
    </w:p>
    <w:p>
      <w:pPr>
        <w:spacing w:after="0" w:line="18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4"/>
          <w:szCs w:val="14"/>
          <w:color w:val="auto"/>
        </w:rPr>
        <w:t>6门 称取通过2mm筛孔的风干土样 1.00^-2.00g均匀地平铺于扩散皿外室，在土壤外室内加 1g 锌一硫酸亚铁还原剂平铺土样上(若为潜育土壤不须加还原剂)。同时做两个试剂空白试验.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spacing w:after="0" w:line="18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6"/>
          <w:szCs w:val="16"/>
          <w:color w:val="auto"/>
        </w:rPr>
        <w:t>6.2 加3mL20g/L硼酸一指示剂溶液子扩散皿内室。</w:t>
      </w:r>
    </w:p>
    <w:p>
      <w:pPr>
        <w:spacing w:after="0" w:line="118" w:lineRule="exact"/>
        <w:rPr>
          <w:sz w:val="20"/>
          <w:szCs w:val="20"/>
          <w:color w:val="auto"/>
        </w:rPr>
      </w:pPr>
    </w:p>
    <w:p>
      <w:pPr>
        <w:spacing w:after="0" w:line="160" w:lineRule="exact"/>
        <w:tabs>
          <w:tab w:leader="none" w:pos="514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4"/>
          <w:szCs w:val="14"/>
          <w:color w:val="auto"/>
        </w:rPr>
        <w:t>国家林业局1999一07一15批准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14"/>
          <w:szCs w:val="14"/>
          <w:color w:val="auto"/>
        </w:rPr>
        <w:t>1999一11一01实施</w:t>
      </w:r>
    </w:p>
    <w:p>
      <w:pPr>
        <w:sectPr>
          <w:pgSz w:w="7300" w:h="10820" w:orient="portrait"/>
          <w:cols w:equalWidth="0" w:num="1">
            <w:col w:w="6300"/>
          </w:cols>
          <w:pgMar w:left="480" w:top="1038" w:right="520" w:bottom="45" w:gutter="0" w:footer="0" w:header="0"/>
        </w:sectPr>
      </w:pPr>
    </w:p>
    <w:p>
      <w:pPr>
        <w:spacing w:after="0" w:line="119" w:lineRule="exact"/>
        <w:rPr>
          <w:sz w:val="20"/>
          <w:szCs w:val="20"/>
          <w:color w:val="auto"/>
        </w:rPr>
      </w:pPr>
    </w:p>
    <w:p>
      <w:pPr>
        <w:ind w:left="5980"/>
        <w:spacing w:after="0" w:line="92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8"/>
          <w:szCs w:val="8"/>
          <w:color w:val="auto"/>
        </w:rPr>
        <w:t>7g</w:t>
      </w:r>
    </w:p>
    <w:p>
      <w:pPr>
        <w:sectPr>
          <w:pgSz w:w="7300" w:h="10820" w:orient="portrait"/>
          <w:cols w:equalWidth="0" w:num="1">
            <w:col w:w="6300"/>
          </w:cols>
          <w:pgMar w:left="480" w:top="1038" w:right="520" w:bottom="45" w:gutter="0" w:footer="0" w:header="0"/>
          <w:type w:val="continuous"/>
        </w:sectPr>
      </w:pPr>
    </w:p>
    <w:bookmarkStart w:id="2" w:name="page3"/>
    <w:bookmarkEnd w:id="2"/>
    <w:p>
      <w:pPr>
        <w:jc w:val="center"/>
        <w:ind w:right="-159"/>
        <w:spacing w:after="0" w:line="16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4"/>
          <w:szCs w:val="1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572000" cy="68326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83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LY/T 1229-1999</w:t>
      </w:r>
    </w:p>
    <w:p>
      <w:pPr>
        <w:spacing w:after="0" w:line="240" w:lineRule="exact"/>
        <w:rPr>
          <w:sz w:val="20"/>
          <w:szCs w:val="20"/>
          <w:color w:val="auto"/>
        </w:rPr>
      </w:pPr>
    </w:p>
    <w:p>
      <w:pPr>
        <w:jc w:val="both"/>
        <w:spacing w:after="0" w:line="187" w:lineRule="exact"/>
        <w:tabs>
          <w:tab w:leader="none" w:pos="360" w:val="left"/>
        </w:tabs>
        <w:numPr>
          <w:ilvl w:val="0"/>
          <w:numId w:val="1"/>
        </w:numPr>
        <w:rPr>
          <w:rFonts w:ascii="宋体" w:cs="宋体" w:eastAsia="宋体" w:hAnsi="宋体"/>
          <w:sz w:val="14"/>
          <w:szCs w:val="14"/>
          <w:color w:val="auto"/>
        </w:rPr>
      </w:pPr>
      <w:r>
        <w:rPr>
          <w:rFonts w:ascii="宋体" w:cs="宋体" w:eastAsia="宋体" w:hAnsi="宋体"/>
          <w:sz w:val="14"/>
          <w:szCs w:val="14"/>
          <w:color w:val="auto"/>
        </w:rPr>
        <w:t>在扩散皿外室边缘上方涂碱性胶液.盖好毛玻璃并旋转数次，使毛玻璃与皿边完全粘合。然后慢慢转开毛玻璃的一边，使扩散皿的一边露出一条狭缝，在此缺口加人 10.0mL工.8mol/L氢氧化钠溶液(潜育土壤用1.2mol/L氢氧化钠溶液)于皿的外室，立即把毛玻璃盖严.</w:t>
      </w:r>
    </w:p>
    <w:p>
      <w:pPr>
        <w:spacing w:after="0" w:line="63" w:lineRule="exact"/>
        <w:rPr>
          <w:rFonts w:ascii="宋体" w:cs="宋体" w:eastAsia="宋体" w:hAnsi="宋体"/>
          <w:sz w:val="14"/>
          <w:szCs w:val="14"/>
          <w:color w:val="auto"/>
        </w:rPr>
      </w:pPr>
    </w:p>
    <w:p>
      <w:pPr>
        <w:spacing w:after="0" w:line="160" w:lineRule="exact"/>
        <w:rPr>
          <w:rFonts w:ascii="宋体" w:cs="宋体" w:eastAsia="宋体" w:hAnsi="宋体"/>
          <w:sz w:val="14"/>
          <w:szCs w:val="14"/>
          <w:color w:val="auto"/>
        </w:rPr>
      </w:pPr>
      <w:r>
        <w:rPr>
          <w:rFonts w:ascii="宋体" w:cs="宋体" w:eastAsia="宋体" w:hAnsi="宋体"/>
          <w:sz w:val="14"/>
          <w:szCs w:val="14"/>
          <w:color w:val="auto"/>
        </w:rPr>
        <w:t>6.4 水平地轻轻转动扩散皿.使溶液与土样充分混合，然后小心地用橡皮筋二根交叉成十字形圈紧，使</w:t>
      </w:r>
    </w:p>
    <w:p>
      <w:pPr>
        <w:spacing w:after="0" w:line="57" w:lineRule="exact"/>
        <w:rPr>
          <w:rFonts w:ascii="宋体" w:cs="宋体" w:eastAsia="宋体" w:hAnsi="宋体"/>
          <w:sz w:val="14"/>
          <w:szCs w:val="14"/>
          <w:color w:val="auto"/>
        </w:rPr>
      </w:pPr>
    </w:p>
    <w:p>
      <w:pPr>
        <w:spacing w:after="0" w:line="137" w:lineRule="exact"/>
        <w:rPr>
          <w:rFonts w:ascii="宋体" w:cs="宋体" w:eastAsia="宋体" w:hAnsi="宋体"/>
          <w:sz w:val="14"/>
          <w:szCs w:val="14"/>
          <w:color w:val="auto"/>
        </w:rPr>
      </w:pPr>
      <w:r>
        <w:rPr>
          <w:rFonts w:ascii="宋体" w:cs="宋体" w:eastAsia="宋体" w:hAnsi="宋体"/>
          <w:sz w:val="12"/>
          <w:szCs w:val="12"/>
          <w:color w:val="auto"/>
        </w:rPr>
        <w:t>毛玻璃固定。放在恒温箱中，于 40℃保温 24h，在此期间应间歇地水平轻轻转动 3次。</w:t>
      </w:r>
    </w:p>
    <w:p>
      <w:pPr>
        <w:spacing w:after="0" w:line="64" w:lineRule="exact"/>
        <w:rPr>
          <w:rFonts w:ascii="宋体" w:cs="宋体" w:eastAsia="宋体" w:hAnsi="宋体"/>
          <w:sz w:val="14"/>
          <w:szCs w:val="14"/>
          <w:color w:val="auto"/>
        </w:rPr>
      </w:pPr>
    </w:p>
    <w:p>
      <w:pPr>
        <w:jc w:val="both"/>
        <w:ind w:right="20"/>
        <w:spacing w:after="0" w:line="180" w:lineRule="exact"/>
        <w:rPr>
          <w:rFonts w:ascii="宋体" w:cs="宋体" w:eastAsia="宋体" w:hAnsi="宋体"/>
          <w:sz w:val="14"/>
          <w:szCs w:val="14"/>
          <w:color w:val="auto"/>
        </w:rPr>
      </w:pPr>
      <w:r>
        <w:rPr>
          <w:rFonts w:ascii="宋体" w:cs="宋体" w:eastAsia="宋体" w:hAnsi="宋体"/>
          <w:sz w:val="13"/>
          <w:szCs w:val="13"/>
          <w:color w:val="auto"/>
        </w:rPr>
        <w:t>6.5 用 0.01mol/L盐酸标准溶液滴定内室硼酸中吸收的氨量，颜色由蓝变紫红，即达终点。滴定时应用细玻璃棒搅动内室溶液，不宜摇动扩散皿，以免溢出，接近终点时可用玻璃棒少沾滴定管尖端的标准</w:t>
      </w:r>
    </w:p>
    <w:p>
      <w:pPr>
        <w:spacing w:after="0" w:line="59" w:lineRule="exact"/>
        <w:rPr>
          <w:rFonts w:ascii="宋体" w:cs="宋体" w:eastAsia="宋体" w:hAnsi="宋体"/>
          <w:sz w:val="14"/>
          <w:szCs w:val="14"/>
          <w:color w:val="auto"/>
        </w:rPr>
      </w:pPr>
    </w:p>
    <w:p>
      <w:pPr>
        <w:spacing w:after="0" w:line="137" w:lineRule="exact"/>
        <w:rPr>
          <w:rFonts w:ascii="宋体" w:cs="宋体" w:eastAsia="宋体" w:hAnsi="宋体"/>
          <w:sz w:val="14"/>
          <w:szCs w:val="14"/>
          <w:color w:val="auto"/>
        </w:rPr>
      </w:pPr>
      <w:r>
        <w:rPr>
          <w:rFonts w:ascii="宋体" w:cs="宋体" w:eastAsia="宋体" w:hAnsi="宋体"/>
          <w:sz w:val="12"/>
          <w:szCs w:val="12"/>
          <w:color w:val="auto"/>
        </w:rPr>
        <w:t>酸溶液，以防滴过终点。</w:t>
      </w:r>
    </w:p>
    <w:p>
      <w:pPr>
        <w:spacing w:after="0" w:line="183" w:lineRule="exact"/>
        <w:rPr>
          <w:sz w:val="20"/>
          <w:szCs w:val="20"/>
          <w:color w:val="auto"/>
        </w:rPr>
      </w:pPr>
    </w:p>
    <w:p>
      <w:pPr>
        <w:spacing w:after="0" w:line="137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2"/>
          <w:szCs w:val="12"/>
          <w:color w:val="auto"/>
        </w:rPr>
        <w:t>7 结果计算</w:t>
      </w:r>
    </w:p>
    <w:p>
      <w:pPr>
        <w:spacing w:after="0" w:line="179" w:lineRule="exact"/>
        <w:rPr>
          <w:sz w:val="20"/>
          <w:szCs w:val="20"/>
          <w:color w:val="auto"/>
        </w:rPr>
      </w:pPr>
    </w:p>
    <w:p>
      <w:pPr>
        <w:ind w:left="2460"/>
        <w:spacing w:after="0" w:line="137" w:lineRule="exact"/>
        <w:tabs>
          <w:tab w:leader="none" w:pos="388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2"/>
          <w:szCs w:val="12"/>
          <w:color w:val="auto"/>
        </w:rPr>
        <w:t>(V一 V.)X cX 14</w:t>
        <w:tab/>
        <w:t>____</w:t>
      </w:r>
    </w:p>
    <w:p>
      <w:pPr>
        <w:ind w:left="2040"/>
        <w:spacing w:after="0" w:line="79" w:lineRule="exact"/>
        <w:tabs>
          <w:tab w:leader="none" w:pos="3720" w:val="left"/>
          <w:tab w:leader="none" w:pos="4640" w:val="left"/>
        </w:tabs>
        <w:rPr>
          <w:sz w:val="20"/>
          <w:szCs w:val="20"/>
          <w:color w:val="auto"/>
        </w:rPr>
      </w:pPr>
      <w:r>
        <w:rPr>
          <w:rFonts w:ascii="Gulim" w:cs="Gulim" w:eastAsia="Gulim" w:hAnsi="Gulim"/>
          <w:sz w:val="8"/>
          <w:szCs w:val="8"/>
          <w:color w:val="auto"/>
        </w:rPr>
        <w:t>W N = —</w:t>
      </w:r>
      <w:r>
        <w:rPr>
          <w:sz w:val="20"/>
          <w:szCs w:val="20"/>
          <w:color w:val="auto"/>
        </w:rPr>
        <w:tab/>
      </w:r>
      <w:r>
        <w:rPr>
          <w:rFonts w:ascii="Gulim" w:cs="Gulim" w:eastAsia="Gulim" w:hAnsi="Gulim"/>
          <w:sz w:val="8"/>
          <w:szCs w:val="8"/>
          <w:color w:val="auto"/>
        </w:rPr>
        <w:t>入 1 uuu</w:t>
      </w:r>
      <w:r>
        <w:rPr>
          <w:sz w:val="20"/>
          <w:szCs w:val="20"/>
          <w:color w:val="auto"/>
        </w:rPr>
        <w:tab/>
      </w:r>
      <w:r>
        <w:rPr>
          <w:rFonts w:ascii="Gulim" w:cs="Gulim" w:eastAsia="Gulim" w:hAnsi="Gulim"/>
          <w:sz w:val="8"/>
          <w:szCs w:val="8"/>
          <w:color w:val="auto"/>
        </w:rPr>
        <w:t>...........................c 1 )</w:t>
      </w:r>
    </w:p>
    <w:p>
      <w:pPr>
        <w:jc w:val="center"/>
        <w:ind w:right="80"/>
        <w:spacing w:after="0" w:line="81" w:lineRule="exact"/>
        <w:rPr>
          <w:sz w:val="20"/>
          <w:szCs w:val="20"/>
          <w:color w:val="auto"/>
        </w:rPr>
      </w:pPr>
      <w:r>
        <w:rPr>
          <w:rFonts w:ascii="Gulim" w:cs="Gulim" w:eastAsia="Gulim" w:hAnsi="Gulim"/>
          <w:sz w:val="8"/>
          <w:szCs w:val="8"/>
          <w:color w:val="auto"/>
        </w:rPr>
        <w:t>叨 1 入 人 2</w:t>
      </w:r>
    </w:p>
    <w:p>
      <w:pPr>
        <w:spacing w:after="0" w:line="70" w:lineRule="exact"/>
        <w:rPr>
          <w:sz w:val="20"/>
          <w:szCs w:val="20"/>
          <w:color w:val="auto"/>
        </w:rPr>
      </w:pPr>
    </w:p>
    <w:p>
      <w:pPr>
        <w:spacing w:after="0" w:line="16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4"/>
          <w:szCs w:val="14"/>
          <w:color w:val="auto"/>
        </w:rPr>
        <w:t>式中:WN— 水解性氮含$ ,mg/kg;</w:t>
      </w:r>
    </w:p>
    <w:p>
      <w:pPr>
        <w:spacing w:after="0" w:line="40" w:lineRule="exact"/>
        <w:rPr>
          <w:sz w:val="20"/>
          <w:szCs w:val="20"/>
          <w:color w:val="auto"/>
        </w:rPr>
      </w:pPr>
    </w:p>
    <w:p>
      <w:pPr>
        <w:ind w:left="500"/>
        <w:spacing w:after="0" w:line="160" w:lineRule="exact"/>
        <w:tabs>
          <w:tab w:leader="none" w:pos="86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4"/>
          <w:szCs w:val="14"/>
          <w:color w:val="auto"/>
        </w:rPr>
        <w:t>V</w:t>
        <w:tab/>
        <w:t>滴定待测液用去盐酸标准溶液体积，mL;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460"/>
        <w:spacing w:after="0" w:line="16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4"/>
          <w:szCs w:val="14"/>
          <w:color w:val="auto"/>
        </w:rPr>
        <w:t>Vo— 滴定试剂空白试验用去盐酸标准溶液体积,mL;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ind w:left="540"/>
        <w:spacing w:after="0" w:line="18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6"/>
          <w:szCs w:val="16"/>
          <w:color w:val="auto"/>
        </w:rPr>
        <w:t>‘— 盐酸标准溶液的浓度，mol/L;</w:t>
      </w:r>
    </w:p>
    <w:p>
      <w:pPr>
        <w:spacing w:after="0" w:line="78" w:lineRule="exact"/>
        <w:rPr>
          <w:sz w:val="20"/>
          <w:szCs w:val="20"/>
          <w:color w:val="auto"/>
        </w:rPr>
      </w:pPr>
    </w:p>
    <w:p>
      <w:pPr>
        <w:ind w:left="440" w:right="2500"/>
        <w:spacing w:after="0" w:line="18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4"/>
          <w:szCs w:val="14"/>
          <w:color w:val="auto"/>
        </w:rPr>
        <w:t>Ks— 由风干土样换算成烘干土样的水分换算系数; m,— 风干土样质量，9;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ind w:left="460"/>
        <w:spacing w:after="0" w:line="18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6"/>
          <w:szCs w:val="16"/>
          <w:color w:val="auto"/>
        </w:rPr>
        <w:t>14 氮原子的摩尔质量,mg/mmol,</w:t>
      </w:r>
    </w:p>
    <w:p>
      <w:pPr>
        <w:spacing w:after="0" w:line="177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37"/>
        </w:trPr>
        <w:tc>
          <w:tcPr>
            <w:tcW w:w="1320" w:type="dxa"/>
            <w:vAlign w:val="bottom"/>
          </w:tcPr>
          <w:p>
            <w:pPr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12"/>
                <w:szCs w:val="12"/>
                <w:color w:val="auto"/>
              </w:rPr>
              <w:t>8 允许偏差</w:t>
            </w: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1320" w:type="dxa"/>
            <w:vAlign w:val="bottom"/>
          </w:tcPr>
          <w:p>
            <w:pPr>
              <w:ind w:left="28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12"/>
                <w:szCs w:val="12"/>
                <w:color w:val="auto"/>
              </w:rPr>
              <w:t>按表 1规定。</w:t>
            </w: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0"/>
        </w:trPr>
        <w:tc>
          <w:tcPr>
            <w:tcW w:w="13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ind w:left="132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12"/>
                <w:szCs w:val="12"/>
                <w:color w:val="auto"/>
              </w:rPr>
              <w:t>表 1</w:t>
            </w:r>
          </w:p>
        </w:tc>
        <w:tc>
          <w:tcPr>
            <w:tcW w:w="1380" w:type="dxa"/>
            <w:vAlign w:val="bottom"/>
          </w:tcPr>
          <w:p>
            <w:pPr>
              <w:ind w:left="4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12"/>
                <w:szCs w:val="12"/>
                <w:color w:val="auto"/>
              </w:rPr>
              <w:t>允许偏差</w:t>
            </w: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8"/>
        </w:trPr>
        <w:tc>
          <w:tcPr>
            <w:tcW w:w="1320" w:type="dxa"/>
            <w:vAlign w:val="bottom"/>
          </w:tcPr>
          <w:p>
            <w:pPr>
              <w:ind w:left="1220"/>
              <w:spacing w:after="0" w:line="115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10"/>
                <w:szCs w:val="10"/>
                <w:color w:val="auto"/>
                <w:w w:val="79"/>
              </w:rPr>
              <w:t>侧</w:t>
            </w:r>
          </w:p>
        </w:tc>
        <w:tc>
          <w:tcPr>
            <w:tcW w:w="1680" w:type="dxa"/>
            <w:vAlign w:val="bottom"/>
          </w:tcPr>
          <w:p>
            <w:pPr>
              <w:ind w:left="160"/>
              <w:spacing w:after="0" w:line="115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10"/>
                <w:szCs w:val="10"/>
                <w:color w:val="auto"/>
              </w:rPr>
              <w:t>定 值</w:t>
            </w:r>
          </w:p>
        </w:tc>
        <w:tc>
          <w:tcPr>
            <w:tcW w:w="1380" w:type="dxa"/>
            <w:vAlign w:val="bottom"/>
          </w:tcPr>
          <w:p>
            <w:pPr>
              <w:ind w:left="1220"/>
              <w:spacing w:after="0" w:line="115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10"/>
                <w:szCs w:val="10"/>
                <w:color w:val="auto"/>
              </w:rPr>
              <w:t>绝</w:t>
            </w:r>
          </w:p>
        </w:tc>
        <w:tc>
          <w:tcPr>
            <w:tcW w:w="520" w:type="dxa"/>
            <w:vAlign w:val="bottom"/>
          </w:tcPr>
          <w:p>
            <w:pPr>
              <w:ind w:left="80"/>
              <w:spacing w:after="0" w:line="115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10"/>
                <w:szCs w:val="10"/>
                <w:color w:val="auto"/>
              </w:rPr>
              <w:t>对 偏</w:t>
            </w:r>
          </w:p>
        </w:tc>
        <w:tc>
          <w:tcPr>
            <w:tcW w:w="140" w:type="dxa"/>
            <w:vAlign w:val="bottom"/>
          </w:tcPr>
          <w:p>
            <w:pPr>
              <w:ind w:left="40"/>
              <w:spacing w:after="0" w:line="115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10"/>
                <w:szCs w:val="10"/>
                <w:color w:val="auto"/>
                <w:w w:val="79"/>
              </w:rPr>
              <w:t>差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2"/>
        </w:trPr>
        <w:tc>
          <w:tcPr>
            <w:tcW w:w="13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jc w:val="center"/>
              <w:ind w:right="115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12"/>
                <w:szCs w:val="12"/>
                <w:color w:val="auto"/>
              </w:rPr>
              <w:t>mg/kg</w:t>
            </w: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ind w:left="8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12"/>
                <w:szCs w:val="12"/>
                <w:color w:val="auto"/>
              </w:rPr>
              <w:t>mg/kg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4"/>
        </w:trPr>
        <w:tc>
          <w:tcPr>
            <w:tcW w:w="13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jc w:val="right"/>
              <w:ind w:right="1250"/>
              <w:spacing w:after="0" w:line="92" w:lineRule="exact"/>
              <w:rPr>
                <w:sz w:val="20"/>
                <w:szCs w:val="20"/>
                <w:color w:val="auto"/>
              </w:rPr>
            </w:pPr>
            <w:r>
              <w:rPr>
                <w:rFonts w:ascii="Gulim" w:cs="Gulim" w:eastAsia="Gulim" w:hAnsi="Gulim"/>
                <w:sz w:val="8"/>
                <w:szCs w:val="8"/>
                <w:color w:val="auto"/>
              </w:rPr>
              <w:t>&gt; 200</w:t>
            </w: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520" w:type="dxa"/>
            <w:vAlign w:val="bottom"/>
            <w:vMerge w:val="restart"/>
          </w:tcPr>
          <w:p>
            <w:pPr>
              <w:jc w:val="right"/>
              <w:ind w:right="74"/>
              <w:spacing w:after="0" w:line="92" w:lineRule="exact"/>
              <w:rPr>
                <w:sz w:val="20"/>
                <w:szCs w:val="20"/>
                <w:color w:val="auto"/>
              </w:rPr>
            </w:pPr>
            <w:r>
              <w:rPr>
                <w:rFonts w:ascii="Gulim" w:cs="Gulim" w:eastAsia="Gulim" w:hAnsi="Gulim"/>
                <w:sz w:val="8"/>
                <w:szCs w:val="8"/>
                <w:color w:val="auto"/>
              </w:rPr>
              <w:t>&gt; 10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13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520" w:type="dxa"/>
            <w:vAlign w:val="bottom"/>
            <w:vMerge w:val="continue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4"/>
        </w:trPr>
        <w:tc>
          <w:tcPr>
            <w:tcW w:w="13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jc w:val="right"/>
              <w:ind w:right="1170"/>
              <w:spacing w:after="0" w:line="115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10"/>
                <w:szCs w:val="10"/>
                <w:color w:val="auto"/>
              </w:rPr>
              <w:t>200--50</w:t>
            </w: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jc w:val="right"/>
              <w:spacing w:after="0" w:line="92" w:lineRule="exact"/>
              <w:rPr>
                <w:sz w:val="20"/>
                <w:szCs w:val="20"/>
                <w:color w:val="auto"/>
              </w:rPr>
            </w:pPr>
            <w:r>
              <w:rPr>
                <w:rFonts w:ascii="Gulim" w:cs="Gulim" w:eastAsia="Gulim" w:hAnsi="Gulim"/>
                <w:sz w:val="8"/>
                <w:szCs w:val="8"/>
                <w:color w:val="auto"/>
              </w:rPr>
              <w:t>10--2.5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6"/>
        </w:trPr>
        <w:tc>
          <w:tcPr>
            <w:tcW w:w="13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jc w:val="right"/>
              <w:ind w:right="1290"/>
              <w:spacing w:after="0" w:line="92" w:lineRule="exact"/>
              <w:rPr>
                <w:sz w:val="20"/>
                <w:szCs w:val="20"/>
                <w:color w:val="auto"/>
              </w:rPr>
            </w:pPr>
            <w:r>
              <w:rPr>
                <w:rFonts w:ascii="Gulim" w:cs="Gulim" w:eastAsia="Gulim" w:hAnsi="Gulim"/>
                <w:sz w:val="8"/>
                <w:szCs w:val="8"/>
                <w:color w:val="auto"/>
              </w:rPr>
              <w:t>&lt; 50</w:t>
            </w: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jc w:val="right"/>
              <w:ind w:right="114"/>
              <w:spacing w:after="0" w:line="92" w:lineRule="exact"/>
              <w:rPr>
                <w:sz w:val="20"/>
                <w:szCs w:val="20"/>
                <w:color w:val="auto"/>
              </w:rPr>
            </w:pPr>
            <w:r>
              <w:rPr>
                <w:rFonts w:ascii="Gulim" w:cs="Gulim" w:eastAsia="Gulim" w:hAnsi="Gulim"/>
                <w:sz w:val="8"/>
                <w:szCs w:val="8"/>
                <w:color w:val="auto"/>
              </w:rPr>
              <w:t>2.5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6"/>
        </w:trPr>
        <w:tc>
          <w:tcPr>
            <w:tcW w:w="3000" w:type="dxa"/>
            <w:vAlign w:val="bottom"/>
            <w:gridSpan w:val="2"/>
          </w:tcPr>
          <w:p>
            <w:pPr>
              <w:ind w:left="24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12"/>
                <w:szCs w:val="12"/>
                <w:color w:val="auto"/>
              </w:rPr>
              <w:t>注:绝对偏差二测定值一平均值.</w:t>
            </w: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7200" w:h="10760" w:orient="portrait"/>
      <w:cols w:equalWidth="0" w:num="1">
        <w:col w:w="6240"/>
      </w:cols>
      <w:pgMar w:left="500" w:top="620" w:right="46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4008009F" w:csb1="DFD70000"/>
  </w:font>
</w:fonts>
</file>

<file path=word/numbering.xml><?xml version="1.0" encoding="utf-8"?>
<w:numbering xmlns:w="http://schemas.openxmlformats.org/wordprocessingml/2006/main">
  <w:abstractNum w:abstractNumId="0">
    <w:nsid w:val="72AE"/>
    <w:multiLevelType w:val="hybridMultilevel"/>
    <w:lvl w:ilvl="0">
      <w:lvlJc w:val="left"/>
      <w:lvlText w:val="%1"/>
      <w:numFmt w:val="decimal"/>
      <w:start w:val="63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2019-02-26T15:38:17Z</dcterms:created>
  <dcterms:modified xsi:type="dcterms:W3CDTF">2019-02-26T15:38:17Z</dcterms:modified>
</cp:coreProperties>
</file>